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1843AC9B" w:rsidR="00194987" w:rsidRPr="00EA6FE9" w:rsidRDefault="001A3983" w:rsidP="000212DD">
      <w:pPr>
        <w:spacing w:after="120" w:line="360" w:lineRule="auto"/>
        <w:jc w:val="right"/>
        <w:rPr>
          <w:sz w:val="22"/>
        </w:rPr>
      </w:pPr>
      <w:r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284634D1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946642" w:rsidRPr="007C57E5">
        <w:rPr>
          <w:sz w:val="22"/>
          <w:szCs w:val="22"/>
        </w:rPr>
        <w:t xml:space="preserve"> </w:t>
      </w:r>
      <w:r w:rsidR="0051401C">
        <w:rPr>
          <w:sz w:val="22"/>
          <w:szCs w:val="22"/>
        </w:rPr>
        <w:t>20</w:t>
      </w:r>
      <w:r w:rsidR="007C57E5">
        <w:rPr>
          <w:sz w:val="22"/>
          <w:szCs w:val="22"/>
        </w:rPr>
        <w:t>.08.2021 r.</w:t>
      </w:r>
    </w:p>
    <w:p w14:paraId="0CECC7A8" w14:textId="72C7F330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EF1709" w:rsidRPr="007C57E5">
        <w:rPr>
          <w:sz w:val="22"/>
          <w:szCs w:val="22"/>
        </w:rPr>
        <w:t>2</w:t>
      </w:r>
      <w:r w:rsidR="00C05E34">
        <w:rPr>
          <w:sz w:val="22"/>
          <w:szCs w:val="22"/>
        </w:rPr>
        <w:t>1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C05E34">
        <w:rPr>
          <w:sz w:val="22"/>
          <w:szCs w:val="22"/>
        </w:rPr>
        <w:t>RF</w:t>
      </w:r>
      <w:r w:rsidR="0051401C">
        <w:rPr>
          <w:sz w:val="22"/>
          <w:szCs w:val="22"/>
        </w:rPr>
        <w:t>/18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1D6D220C" w14:textId="292C2F9C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19B4E6D9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>pkt 2,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33FB69C8" w14:textId="4144CF97" w:rsidR="00C05E34" w:rsidRPr="00C05E34" w:rsidRDefault="00A8243D" w:rsidP="00C05E34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C05E34">
        <w:rPr>
          <w:sz w:val="22"/>
          <w:szCs w:val="22"/>
        </w:rPr>
        <w:t xml:space="preserve">Na podstawie </w:t>
      </w:r>
      <w:r w:rsidR="00056081" w:rsidRPr="00C05E34">
        <w:rPr>
          <w:sz w:val="22"/>
          <w:szCs w:val="22"/>
        </w:rPr>
        <w:t>art</w:t>
      </w:r>
      <w:r w:rsidR="008642C3" w:rsidRPr="00C05E34">
        <w:rPr>
          <w:sz w:val="22"/>
          <w:szCs w:val="22"/>
        </w:rPr>
        <w:t>.</w:t>
      </w:r>
      <w:r w:rsidR="00985EEF" w:rsidRPr="00C05E34">
        <w:rPr>
          <w:sz w:val="22"/>
          <w:szCs w:val="22"/>
        </w:rPr>
        <w:t xml:space="preserve"> 253 ust. 1 w związku z art.</w:t>
      </w:r>
      <w:r w:rsidR="008642C3" w:rsidRPr="00C05E34">
        <w:rPr>
          <w:sz w:val="22"/>
          <w:szCs w:val="22"/>
        </w:rPr>
        <w:t xml:space="preserve"> 287 ust. 1</w:t>
      </w:r>
      <w:r w:rsidRPr="00C05E34">
        <w:rPr>
          <w:sz w:val="22"/>
          <w:szCs w:val="22"/>
        </w:rPr>
        <w:t xml:space="preserve"> </w:t>
      </w:r>
      <w:r w:rsidR="001D08D2" w:rsidRPr="00C05E34">
        <w:rPr>
          <w:sz w:val="22"/>
          <w:szCs w:val="22"/>
        </w:rPr>
        <w:t>ustawy z dnia 11 września 2019 r. Prawo zamówień publicznych</w:t>
      </w:r>
      <w:r w:rsidR="005F4A45" w:rsidRPr="00C05E34">
        <w:rPr>
          <w:sz w:val="22"/>
          <w:szCs w:val="22"/>
        </w:rPr>
        <w:t xml:space="preserve"> (</w:t>
      </w:r>
      <w:proofErr w:type="spellStart"/>
      <w:r w:rsidR="006431AE" w:rsidRPr="00C05E34">
        <w:rPr>
          <w:sz w:val="22"/>
          <w:szCs w:val="22"/>
        </w:rPr>
        <w:t>t.j</w:t>
      </w:r>
      <w:proofErr w:type="spellEnd"/>
      <w:r w:rsidR="006431AE" w:rsidRPr="00C05E34">
        <w:rPr>
          <w:sz w:val="22"/>
          <w:szCs w:val="22"/>
        </w:rPr>
        <w:t xml:space="preserve">. </w:t>
      </w:r>
      <w:r w:rsidR="001D08D2" w:rsidRPr="00C05E34">
        <w:rPr>
          <w:sz w:val="22"/>
          <w:szCs w:val="22"/>
        </w:rPr>
        <w:t>Dz. U. z 20</w:t>
      </w:r>
      <w:r w:rsidR="0016495D" w:rsidRPr="00C05E34">
        <w:rPr>
          <w:sz w:val="22"/>
          <w:szCs w:val="22"/>
        </w:rPr>
        <w:t>21</w:t>
      </w:r>
      <w:r w:rsidR="001D08D2" w:rsidRPr="00C05E34">
        <w:rPr>
          <w:sz w:val="22"/>
          <w:szCs w:val="22"/>
        </w:rPr>
        <w:t xml:space="preserve"> r.</w:t>
      </w:r>
      <w:r w:rsidR="0016495D" w:rsidRPr="00C05E34">
        <w:rPr>
          <w:sz w:val="22"/>
          <w:szCs w:val="22"/>
        </w:rPr>
        <w:t>,</w:t>
      </w:r>
      <w:r w:rsidR="001D08D2" w:rsidRPr="00C05E34">
        <w:rPr>
          <w:sz w:val="22"/>
          <w:szCs w:val="22"/>
        </w:rPr>
        <w:t xml:space="preserve"> poz. </w:t>
      </w:r>
      <w:r w:rsidR="0016495D" w:rsidRPr="00C05E34">
        <w:rPr>
          <w:sz w:val="22"/>
          <w:szCs w:val="22"/>
        </w:rPr>
        <w:t>1129</w:t>
      </w:r>
      <w:r w:rsidR="001D08D2" w:rsidRPr="00C05E34">
        <w:rPr>
          <w:sz w:val="22"/>
          <w:szCs w:val="22"/>
        </w:rPr>
        <w:t xml:space="preserve"> </w:t>
      </w:r>
      <w:r w:rsidR="00056081" w:rsidRPr="00C05E34">
        <w:rPr>
          <w:sz w:val="22"/>
          <w:szCs w:val="22"/>
        </w:rPr>
        <w:t>–</w:t>
      </w:r>
      <w:r w:rsidRPr="00C05E34">
        <w:rPr>
          <w:sz w:val="22"/>
          <w:szCs w:val="22"/>
        </w:rPr>
        <w:t xml:space="preserve"> dalej zwana Ustawą)</w:t>
      </w:r>
      <w:r w:rsidR="0051301A" w:rsidRPr="00C05E34">
        <w:rPr>
          <w:sz w:val="22"/>
          <w:szCs w:val="22"/>
        </w:rPr>
        <w:t>,</w:t>
      </w:r>
      <w:r w:rsidRPr="00C05E34">
        <w:rPr>
          <w:sz w:val="22"/>
          <w:szCs w:val="22"/>
        </w:rPr>
        <w:t xml:space="preserve"> Powiat Zgier</w:t>
      </w:r>
      <w:r w:rsidR="00B07E38" w:rsidRPr="00C05E34">
        <w:rPr>
          <w:sz w:val="22"/>
          <w:szCs w:val="22"/>
        </w:rPr>
        <w:t xml:space="preserve">ski reprezentowany przez Zarząd </w:t>
      </w:r>
      <w:r w:rsidRPr="00C05E34">
        <w:rPr>
          <w:sz w:val="22"/>
          <w:szCs w:val="22"/>
        </w:rPr>
        <w:t>Powiatu Zgierskiego (zwany da</w:t>
      </w:r>
      <w:r w:rsidR="00B07E38" w:rsidRPr="00C05E34">
        <w:rPr>
          <w:sz w:val="22"/>
          <w:szCs w:val="22"/>
        </w:rPr>
        <w:t xml:space="preserve">lej Zamawiającym) </w:t>
      </w:r>
      <w:r w:rsidR="00E356E4" w:rsidRPr="00C05E34">
        <w:rPr>
          <w:sz w:val="22"/>
          <w:szCs w:val="22"/>
        </w:rPr>
        <w:t>dokonał wyboru najkorzystniejszej oferty spośród niepodlegających odrzuceniu ofert</w:t>
      </w:r>
      <w:r w:rsidR="006431AE" w:rsidRPr="00C05E34">
        <w:rPr>
          <w:sz w:val="22"/>
          <w:szCs w:val="22"/>
        </w:rPr>
        <w:t>,</w:t>
      </w:r>
      <w:r w:rsidR="00E356E4" w:rsidRPr="00C05E34">
        <w:rPr>
          <w:sz w:val="22"/>
          <w:szCs w:val="22"/>
        </w:rPr>
        <w:t xml:space="preserve"> złożonych w odpowiedzi na ogłoszenie o zamówieniu w postępowaniu prowadzonym w trybie podstawowy</w:t>
      </w:r>
      <w:r w:rsidR="00B35D6C" w:rsidRPr="00C05E34">
        <w:rPr>
          <w:sz w:val="22"/>
          <w:szCs w:val="22"/>
        </w:rPr>
        <w:t xml:space="preserve">m – art. 275 pkt 2 Ustawy </w:t>
      </w:r>
      <w:r w:rsidR="00E356E4" w:rsidRPr="00C05E34">
        <w:rPr>
          <w:sz w:val="22"/>
          <w:szCs w:val="22"/>
        </w:rPr>
        <w:t>pn.:</w:t>
      </w:r>
      <w:r w:rsidR="00E356E4" w:rsidRPr="00C05E34">
        <w:rPr>
          <w:b/>
          <w:bCs/>
          <w:color w:val="000000"/>
          <w:sz w:val="22"/>
          <w:szCs w:val="22"/>
        </w:rPr>
        <w:t xml:space="preserve"> </w:t>
      </w:r>
      <w:r w:rsidR="00C05E34" w:rsidRPr="00C05E34">
        <w:rPr>
          <w:b/>
          <w:bCs/>
          <w:color w:val="000000"/>
          <w:sz w:val="22"/>
          <w:szCs w:val="22"/>
        </w:rPr>
        <w:t xml:space="preserve"> </w:t>
      </w:r>
      <w:r w:rsidR="00C05E34" w:rsidRPr="00C05E34">
        <w:rPr>
          <w:rFonts w:eastAsia="Calibri"/>
          <w:kern w:val="3"/>
          <w:sz w:val="22"/>
          <w:szCs w:val="22"/>
          <w:lang w:eastAsia="en-US"/>
        </w:rPr>
        <w:t>„</w:t>
      </w:r>
      <w:r w:rsidR="00C05E34" w:rsidRPr="00C05E34">
        <w:rPr>
          <w:rFonts w:eastAsia="Calibri"/>
          <w:b/>
          <w:bCs/>
          <w:iCs/>
          <w:kern w:val="3"/>
          <w:sz w:val="22"/>
          <w:szCs w:val="22"/>
          <w:lang w:eastAsia="en-US"/>
        </w:rPr>
        <w:t>Przebudowa drogi - wykonanie nakładki asfaltowej w pasie drogi powiatowej Nr 3705 E relacji Parzęczew - gr. powiatu (Budzynek), gm. Parzęczew - III etap”.</w:t>
      </w:r>
    </w:p>
    <w:p w14:paraId="4F15F5D9" w14:textId="77777777" w:rsidR="00C05E34" w:rsidRPr="00C05E34" w:rsidRDefault="00C05E34" w:rsidP="00C05E34">
      <w:pPr>
        <w:widowControl/>
        <w:tabs>
          <w:tab w:val="left" w:pos="0"/>
          <w:tab w:val="left" w:pos="7230"/>
        </w:tabs>
        <w:autoSpaceDN w:val="0"/>
        <w:jc w:val="both"/>
        <w:textAlignment w:val="baseline"/>
        <w:rPr>
          <w:rFonts w:eastAsia="SimSun"/>
          <w:b/>
          <w:bCs/>
          <w:kern w:val="3"/>
          <w:sz w:val="22"/>
          <w:szCs w:val="22"/>
          <w:lang w:eastAsia="zh-CN" w:bidi="hi-IN"/>
        </w:rPr>
      </w:pPr>
    </w:p>
    <w:p w14:paraId="6F900690" w14:textId="31236D82" w:rsidR="00B35D6C" w:rsidRPr="00925F0E" w:rsidRDefault="00E356E4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925F0E">
        <w:rPr>
          <w:sz w:val="22"/>
          <w:szCs w:val="22"/>
        </w:rPr>
        <w:t>Zgodnie z art. 253</w:t>
      </w:r>
      <w:r w:rsidR="00F505BF" w:rsidRPr="00925F0E">
        <w:rPr>
          <w:sz w:val="22"/>
          <w:szCs w:val="22"/>
        </w:rPr>
        <w:t xml:space="preserve"> Ustawy, Zamawiający </w:t>
      </w:r>
      <w:r w:rsidR="00D765AF" w:rsidRPr="00925F0E">
        <w:rPr>
          <w:sz w:val="22"/>
          <w:szCs w:val="22"/>
        </w:rPr>
        <w:t>informuje</w:t>
      </w:r>
      <w:r w:rsidR="00F505BF" w:rsidRPr="00925F0E">
        <w:rPr>
          <w:sz w:val="22"/>
          <w:szCs w:val="22"/>
        </w:rPr>
        <w:t xml:space="preserve">, że najkorzystniejszy bilans maksymalnej liczby przyznanych punktów w oparciu o ustalone kryteria otrzymała </w:t>
      </w:r>
      <w:r w:rsidR="00F505BF" w:rsidRPr="00925F0E">
        <w:rPr>
          <w:b/>
          <w:bCs/>
          <w:sz w:val="22"/>
          <w:szCs w:val="22"/>
        </w:rPr>
        <w:t xml:space="preserve">oferta nr </w:t>
      </w:r>
      <w:r w:rsidR="00C05E34">
        <w:rPr>
          <w:b/>
          <w:bCs/>
          <w:sz w:val="22"/>
          <w:szCs w:val="22"/>
        </w:rPr>
        <w:t xml:space="preserve">5 </w:t>
      </w:r>
      <w:r w:rsidR="00F505BF" w:rsidRPr="00925F0E">
        <w:rPr>
          <w:sz w:val="22"/>
          <w:szCs w:val="22"/>
        </w:rPr>
        <w:t>złożona przez Wykonawcę działającego pod firmą</w:t>
      </w:r>
      <w:r w:rsidR="00C05E34">
        <w:rPr>
          <w:sz w:val="22"/>
          <w:szCs w:val="22"/>
        </w:rPr>
        <w:t xml:space="preserve">: </w:t>
      </w:r>
      <w:r w:rsidR="00F505BF" w:rsidRPr="00925F0E">
        <w:rPr>
          <w:sz w:val="22"/>
          <w:szCs w:val="22"/>
        </w:rPr>
        <w:t xml:space="preserve"> </w:t>
      </w:r>
      <w:r w:rsidR="00C05E34" w:rsidRPr="00C05E34">
        <w:rPr>
          <w:rFonts w:eastAsia="Calibri"/>
          <w:b/>
          <w:bCs/>
          <w:kern w:val="3"/>
          <w:sz w:val="22"/>
          <w:szCs w:val="22"/>
          <w:lang w:eastAsia="en-US"/>
        </w:rPr>
        <w:t>P.U.H. „DOMAX” Arkadiusz Mika, ul. Grabińska 8, 42-283 Boronów</w:t>
      </w:r>
      <w:r w:rsidR="00C05E34">
        <w:rPr>
          <w:rFonts w:eastAsia="Calibri"/>
          <w:b/>
          <w:bCs/>
          <w:kern w:val="3"/>
          <w:sz w:val="22"/>
          <w:szCs w:val="22"/>
          <w:lang w:eastAsia="en-US"/>
        </w:rPr>
        <w:t>.</w:t>
      </w:r>
      <w:r w:rsidR="00C05E34" w:rsidRPr="00925F0E">
        <w:rPr>
          <w:color w:val="000000"/>
          <w:sz w:val="22"/>
          <w:szCs w:val="22"/>
        </w:rPr>
        <w:t xml:space="preserve"> </w:t>
      </w:r>
      <w:r w:rsidR="00F505BF" w:rsidRPr="00925F0E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925F0E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C7A47FC" w14:textId="169A8D19" w:rsidR="00F505BF" w:rsidRPr="00925F0E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color w:val="000000"/>
          <w:sz w:val="22"/>
          <w:szCs w:val="22"/>
        </w:rPr>
        <w:t>Ocenie podlegały następujące oferty:</w:t>
      </w:r>
    </w:p>
    <w:p w14:paraId="0F4BE90A" w14:textId="77777777" w:rsidR="00F505BF" w:rsidRPr="00F505BF" w:rsidRDefault="00F505BF" w:rsidP="00F505B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103"/>
        <w:gridCol w:w="1264"/>
        <w:gridCol w:w="1439"/>
      </w:tblGrid>
      <w:tr w:rsidR="00C05E34" w:rsidRPr="00C05E34" w14:paraId="0E50EE73" w14:textId="77777777" w:rsidTr="00BC3A7D">
        <w:trPr>
          <w:trHeight w:val="643"/>
        </w:trPr>
        <w:tc>
          <w:tcPr>
            <w:tcW w:w="704" w:type="dxa"/>
            <w:vMerge w:val="restart"/>
            <w:vAlign w:val="center"/>
          </w:tcPr>
          <w:p w14:paraId="7CE0A538" w14:textId="77777777" w:rsidR="00C05E34" w:rsidRPr="00C05E34" w:rsidRDefault="00C05E34" w:rsidP="00C05E3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827" w:type="dxa"/>
            <w:vMerge w:val="restart"/>
            <w:vAlign w:val="center"/>
          </w:tcPr>
          <w:p w14:paraId="512F6116" w14:textId="77777777" w:rsidR="00C05E34" w:rsidRPr="00C05E34" w:rsidRDefault="00C05E34" w:rsidP="00C05E3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60" w:type="dxa"/>
            <w:vMerge w:val="restart"/>
            <w:vAlign w:val="center"/>
          </w:tcPr>
          <w:p w14:paraId="21AC59B1" w14:textId="77777777" w:rsidR="00C05E34" w:rsidRPr="00C05E34" w:rsidRDefault="00C05E34" w:rsidP="00C05E3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6BF9A6D3" w14:textId="77777777" w:rsidR="00C05E34" w:rsidRPr="00C05E34" w:rsidRDefault="00C05E34" w:rsidP="00C05E3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67" w:type="dxa"/>
            <w:gridSpan w:val="2"/>
            <w:vAlign w:val="center"/>
          </w:tcPr>
          <w:p w14:paraId="6381F073" w14:textId="77777777" w:rsidR="00C05E34" w:rsidRPr="00C05E34" w:rsidRDefault="00C05E34" w:rsidP="00C05E3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439" w:type="dxa"/>
            <w:vMerge w:val="restart"/>
            <w:vAlign w:val="center"/>
          </w:tcPr>
          <w:p w14:paraId="0AF2591A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C05E34" w:rsidRPr="00C05E34" w14:paraId="32737B25" w14:textId="77777777" w:rsidTr="00BC3A7D">
        <w:trPr>
          <w:trHeight w:val="643"/>
        </w:trPr>
        <w:tc>
          <w:tcPr>
            <w:tcW w:w="704" w:type="dxa"/>
            <w:vMerge/>
            <w:vAlign w:val="center"/>
          </w:tcPr>
          <w:p w14:paraId="51D86780" w14:textId="77777777" w:rsidR="00C05E34" w:rsidRPr="00C05E34" w:rsidRDefault="00C05E34" w:rsidP="00C05E3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76077C67" w14:textId="77777777" w:rsidR="00C05E34" w:rsidRPr="00C05E34" w:rsidRDefault="00C05E34" w:rsidP="00C05E3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3C72A2" w14:textId="77777777" w:rsidR="00C05E34" w:rsidRPr="00C05E34" w:rsidRDefault="00C05E34" w:rsidP="00C05E3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14:paraId="62066407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2A383CB5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64" w:type="dxa"/>
            <w:vAlign w:val="center"/>
          </w:tcPr>
          <w:p w14:paraId="4A7DAF44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52B9906E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C05E3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439" w:type="dxa"/>
            <w:vMerge/>
            <w:vAlign w:val="center"/>
          </w:tcPr>
          <w:p w14:paraId="33E6A5CD" w14:textId="77777777" w:rsidR="00C05E34" w:rsidRPr="00C05E34" w:rsidRDefault="00C05E34" w:rsidP="00C05E3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C05E34" w:rsidRPr="00C05E34" w14:paraId="2543025A" w14:textId="77777777" w:rsidTr="00BC3A7D">
        <w:trPr>
          <w:trHeight w:hRule="exact" w:val="737"/>
        </w:trPr>
        <w:tc>
          <w:tcPr>
            <w:tcW w:w="704" w:type="dxa"/>
            <w:vAlign w:val="center"/>
          </w:tcPr>
          <w:p w14:paraId="134813D5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09A" w14:textId="77777777" w:rsidR="00C05E34" w:rsidRPr="00C05E34" w:rsidRDefault="00C05E34" w:rsidP="00C05E34">
            <w:pPr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WŁODAN Sp. z o.o., Sp. k, Porszewice 31, 95-200 Pabianice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610" w14:textId="77777777" w:rsidR="00C05E34" w:rsidRPr="00C05E34" w:rsidRDefault="00C05E34" w:rsidP="00C05E3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695 196,00 zł</w:t>
            </w:r>
          </w:p>
        </w:tc>
        <w:tc>
          <w:tcPr>
            <w:tcW w:w="1103" w:type="dxa"/>
            <w:vAlign w:val="center"/>
          </w:tcPr>
          <w:p w14:paraId="09FBFFCB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58,78 pkt</w:t>
            </w:r>
          </w:p>
        </w:tc>
        <w:tc>
          <w:tcPr>
            <w:tcW w:w="1264" w:type="dxa"/>
            <w:vAlign w:val="center"/>
          </w:tcPr>
          <w:p w14:paraId="2390C944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04860A3A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98,78 pkt</w:t>
            </w:r>
          </w:p>
        </w:tc>
      </w:tr>
      <w:tr w:rsidR="00C05E34" w:rsidRPr="00C05E34" w14:paraId="5E071732" w14:textId="77777777" w:rsidTr="00BC3A7D">
        <w:trPr>
          <w:trHeight w:hRule="exact" w:val="737"/>
        </w:trPr>
        <w:tc>
          <w:tcPr>
            <w:tcW w:w="704" w:type="dxa"/>
            <w:vAlign w:val="center"/>
          </w:tcPr>
          <w:p w14:paraId="16BE01C7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2EC" w14:textId="77777777" w:rsidR="00C05E34" w:rsidRPr="00C05E34" w:rsidRDefault="00C05E34" w:rsidP="00C05E34">
            <w:pPr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Przedsiębiorstwo Robót Drogowych S.A., ul. Łódzka 108, 99-200 Poddębice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0FB" w14:textId="77777777" w:rsidR="00C05E34" w:rsidRPr="00C05E34" w:rsidRDefault="00C05E34" w:rsidP="00C05E3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715 220,40 zł</w:t>
            </w:r>
          </w:p>
        </w:tc>
        <w:tc>
          <w:tcPr>
            <w:tcW w:w="1103" w:type="dxa"/>
            <w:vAlign w:val="center"/>
          </w:tcPr>
          <w:p w14:paraId="47FFDE55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57,13 pkt</w:t>
            </w:r>
          </w:p>
        </w:tc>
        <w:tc>
          <w:tcPr>
            <w:tcW w:w="1264" w:type="dxa"/>
            <w:vAlign w:val="center"/>
          </w:tcPr>
          <w:p w14:paraId="3E0131DB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4EE26344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97,13 pkt</w:t>
            </w:r>
          </w:p>
        </w:tc>
      </w:tr>
      <w:tr w:rsidR="00C05E34" w:rsidRPr="00C05E34" w14:paraId="05767330" w14:textId="77777777" w:rsidTr="00BC3A7D">
        <w:trPr>
          <w:trHeight w:hRule="exact" w:val="1213"/>
        </w:trPr>
        <w:tc>
          <w:tcPr>
            <w:tcW w:w="704" w:type="dxa"/>
            <w:vAlign w:val="center"/>
          </w:tcPr>
          <w:p w14:paraId="5111BDCB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EC6A" w14:textId="77777777" w:rsidR="00C05E34" w:rsidRPr="00C05E34" w:rsidRDefault="00C05E34" w:rsidP="00C05E34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</w:p>
          <w:p w14:paraId="283C65EB" w14:textId="77777777" w:rsidR="00C05E34" w:rsidRPr="00C05E34" w:rsidRDefault="00C05E34" w:rsidP="00C05E34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Przedsiębiorstwo Budowy Dróg i Mostów „ERBEDIM” Sp. z o.o., ul. Żelazna 3, 97-300 Piotrków Trybunalski</w:t>
            </w:r>
          </w:p>
          <w:p w14:paraId="301E9FD2" w14:textId="77777777" w:rsidR="00C05E34" w:rsidRPr="00C05E34" w:rsidRDefault="00C05E34" w:rsidP="00C05E34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</w:p>
          <w:p w14:paraId="21E5FEA7" w14:textId="77777777" w:rsidR="00C05E34" w:rsidRPr="00C05E34" w:rsidRDefault="00C05E34" w:rsidP="00C05E34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</w:p>
          <w:p w14:paraId="0F670B76" w14:textId="77777777" w:rsidR="00C05E34" w:rsidRPr="00C05E34" w:rsidRDefault="00C05E34" w:rsidP="00C05E34">
            <w:pPr>
              <w:rPr>
                <w:sz w:val="22"/>
              </w:rPr>
            </w:pPr>
          </w:p>
          <w:p w14:paraId="7F2F6995" w14:textId="77777777" w:rsidR="00C05E34" w:rsidRPr="00C05E34" w:rsidRDefault="00C05E34" w:rsidP="00C05E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06A" w14:textId="77777777" w:rsidR="00C05E34" w:rsidRPr="00C05E34" w:rsidRDefault="00C05E34" w:rsidP="00C05E3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681 704,19 zł</w:t>
            </w:r>
          </w:p>
        </w:tc>
        <w:tc>
          <w:tcPr>
            <w:tcW w:w="1103" w:type="dxa"/>
            <w:vAlign w:val="center"/>
          </w:tcPr>
          <w:p w14:paraId="67CF72F0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59,94 pkt</w:t>
            </w:r>
          </w:p>
        </w:tc>
        <w:tc>
          <w:tcPr>
            <w:tcW w:w="1264" w:type="dxa"/>
            <w:vAlign w:val="center"/>
          </w:tcPr>
          <w:p w14:paraId="1C7958A0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7649BA21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99,94 pkt</w:t>
            </w:r>
          </w:p>
        </w:tc>
      </w:tr>
      <w:tr w:rsidR="00C05E34" w:rsidRPr="00C05E34" w14:paraId="455A1F15" w14:textId="77777777" w:rsidTr="00BC3A7D">
        <w:trPr>
          <w:trHeight w:hRule="exact" w:val="999"/>
        </w:trPr>
        <w:tc>
          <w:tcPr>
            <w:tcW w:w="704" w:type="dxa"/>
            <w:vAlign w:val="center"/>
          </w:tcPr>
          <w:p w14:paraId="2C2D9AD5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sz w:val="20"/>
              </w:rPr>
            </w:pPr>
            <w:r w:rsidRPr="00C05E34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F2A" w14:textId="1F05E475" w:rsidR="00C05E34" w:rsidRPr="00C05E34" w:rsidRDefault="00C05E34" w:rsidP="00C05E34">
            <w:pPr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HUBERTUS Mariusz Malarczyk, </w:t>
            </w: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             </w:t>
            </w: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al. Piłsudskiego 67/49,  90-329 Łódź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A87" w14:textId="77777777" w:rsidR="00C05E34" w:rsidRPr="00C05E34" w:rsidRDefault="00C05E34" w:rsidP="00C05E3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725 515,50 zł</w:t>
            </w:r>
          </w:p>
        </w:tc>
        <w:tc>
          <w:tcPr>
            <w:tcW w:w="1103" w:type="dxa"/>
            <w:vAlign w:val="center"/>
          </w:tcPr>
          <w:p w14:paraId="1B46F904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56,32 pkt</w:t>
            </w:r>
          </w:p>
        </w:tc>
        <w:tc>
          <w:tcPr>
            <w:tcW w:w="1264" w:type="dxa"/>
            <w:vAlign w:val="center"/>
          </w:tcPr>
          <w:p w14:paraId="0CCBDE7B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0422C7DD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96,32 pkt</w:t>
            </w:r>
          </w:p>
        </w:tc>
      </w:tr>
      <w:tr w:rsidR="00C05E34" w:rsidRPr="00C05E34" w14:paraId="0FE6F739" w14:textId="77777777" w:rsidTr="00BC3A7D">
        <w:trPr>
          <w:trHeight w:hRule="exact" w:val="999"/>
        </w:trPr>
        <w:tc>
          <w:tcPr>
            <w:tcW w:w="704" w:type="dxa"/>
            <w:vAlign w:val="center"/>
          </w:tcPr>
          <w:p w14:paraId="2D675281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sz w:val="20"/>
              </w:rPr>
            </w:pPr>
            <w:r w:rsidRPr="00C05E34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B96" w14:textId="0C08D11B" w:rsidR="00C05E34" w:rsidRPr="00C05E34" w:rsidRDefault="00C05E34" w:rsidP="00C05E34">
            <w:pPr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P.U.H. „DOMAX” Arkadiusz Mika, </w:t>
            </w: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              </w:t>
            </w: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ul. Grabińska 8, 42-283 Boronów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9B2" w14:textId="77777777" w:rsidR="00C05E34" w:rsidRPr="00C05E34" w:rsidRDefault="00C05E34" w:rsidP="00C05E3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C05E34">
              <w:rPr>
                <w:rFonts w:eastAsia="Calibri"/>
                <w:kern w:val="3"/>
                <w:sz w:val="22"/>
                <w:szCs w:val="22"/>
                <w:lang w:eastAsia="en-US"/>
              </w:rPr>
              <w:t>681 026,40 zł</w:t>
            </w:r>
          </w:p>
        </w:tc>
        <w:tc>
          <w:tcPr>
            <w:tcW w:w="1103" w:type="dxa"/>
            <w:vAlign w:val="center"/>
          </w:tcPr>
          <w:p w14:paraId="0FD2536A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264" w:type="dxa"/>
            <w:vAlign w:val="center"/>
          </w:tcPr>
          <w:p w14:paraId="12D6C381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5416F5F7" w14:textId="77777777" w:rsidR="00C05E34" w:rsidRPr="00C05E34" w:rsidRDefault="00C05E34" w:rsidP="00C05E3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C05E34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</w:tbl>
    <w:p w14:paraId="3C047927" w14:textId="00B97E82" w:rsidR="008642C3" w:rsidRDefault="008642C3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6736E424" w14:textId="3FDB2BA5" w:rsidR="00C05E34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562633D4" w14:textId="129F3285" w:rsidR="00C05E34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0061DE61" w14:textId="77777777" w:rsidR="00C05E34" w:rsidRPr="00B35D6C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559F8EEE" w14:textId="77777777" w:rsidR="005904E1" w:rsidRPr="008642C3" w:rsidRDefault="005904E1" w:rsidP="00F506A6">
      <w:pPr>
        <w:pStyle w:val="Standard"/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</w:p>
    <w:p w14:paraId="4AE824CF" w14:textId="53102A3F" w:rsidR="00C05E34" w:rsidRPr="00C05E34" w:rsidRDefault="0016495D" w:rsidP="001118A3">
      <w:pPr>
        <w:pStyle w:val="Standard"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b/>
          <w:bCs/>
          <w:color w:val="000000"/>
          <w:sz w:val="22"/>
          <w:szCs w:val="22"/>
        </w:rPr>
      </w:pPr>
      <w:r w:rsidRPr="00C05E34">
        <w:rPr>
          <w:color w:val="000000"/>
          <w:sz w:val="22"/>
          <w:szCs w:val="22"/>
        </w:rPr>
        <w:t xml:space="preserve">Umowa na wykonanie przedmiotowego zamówienia publicznego zostanie zawarta na </w:t>
      </w:r>
      <w:r w:rsidRPr="00C05E34">
        <w:rPr>
          <w:b/>
          <w:bCs/>
          <w:color w:val="000000"/>
          <w:sz w:val="22"/>
          <w:szCs w:val="22"/>
        </w:rPr>
        <w:t xml:space="preserve">kwotę brutto </w:t>
      </w:r>
      <w:r w:rsidR="00C05E34" w:rsidRPr="00C05E34">
        <w:rPr>
          <w:rFonts w:eastAsia="Calibri"/>
          <w:b/>
          <w:bCs/>
          <w:kern w:val="3"/>
          <w:sz w:val="22"/>
          <w:szCs w:val="22"/>
          <w:lang w:eastAsia="en-US"/>
        </w:rPr>
        <w:t>681 026,40 zł.</w:t>
      </w:r>
    </w:p>
    <w:p w14:paraId="2E31A71A" w14:textId="77777777" w:rsidR="00C05E34" w:rsidRPr="00C05E34" w:rsidRDefault="00C05E34" w:rsidP="00C05E3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1F284A1C" w14:textId="46D8EB05" w:rsidR="00B672A8" w:rsidRPr="00C05E34" w:rsidRDefault="00B672A8" w:rsidP="006431AE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10A17F6D" w14:textId="77777777" w:rsidR="00C05E34" w:rsidRDefault="00C05E34" w:rsidP="00C05E34">
      <w:pPr>
        <w:pStyle w:val="Akapitzlist"/>
        <w:rPr>
          <w:sz w:val="22"/>
          <w:szCs w:val="22"/>
          <w:u w:val="single"/>
        </w:rPr>
      </w:pPr>
    </w:p>
    <w:p w14:paraId="723035A3" w14:textId="45161810" w:rsidR="0016495D" w:rsidRPr="00471744" w:rsidRDefault="0016495D" w:rsidP="006431AE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471744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C05E34" w:rsidRPr="00C05E34">
        <w:rPr>
          <w:b/>
          <w:bCs/>
          <w:sz w:val="22"/>
          <w:szCs w:val="22"/>
        </w:rPr>
        <w:t>34 051,32</w:t>
      </w:r>
      <w:r w:rsidRPr="00471744">
        <w:rPr>
          <w:b/>
          <w:bCs/>
          <w:sz w:val="22"/>
          <w:szCs w:val="22"/>
        </w:rPr>
        <w:t xml:space="preserve"> zł. </w:t>
      </w:r>
      <w:r w:rsidR="00C05E34">
        <w:rPr>
          <w:b/>
          <w:bCs/>
          <w:sz w:val="22"/>
          <w:szCs w:val="22"/>
        </w:rPr>
        <w:t xml:space="preserve"> </w:t>
      </w:r>
      <w:r w:rsidRPr="00471744">
        <w:rPr>
          <w:sz w:val="22"/>
          <w:szCs w:val="22"/>
        </w:rPr>
        <w:t>Zasady wnoszenia zabezpieczenia należytego wykonania umowy i jego zwrotu określa Ustawa.</w:t>
      </w:r>
    </w:p>
    <w:p w14:paraId="46B39F7F" w14:textId="77777777" w:rsidR="0016495D" w:rsidRPr="00471744" w:rsidRDefault="0016495D" w:rsidP="00C92ED0">
      <w:pPr>
        <w:pStyle w:val="Standard"/>
        <w:tabs>
          <w:tab w:val="left" w:pos="0"/>
        </w:tabs>
        <w:ind w:left="426" w:hanging="142"/>
        <w:jc w:val="both"/>
        <w:rPr>
          <w:b/>
          <w:bCs/>
          <w:color w:val="000000"/>
          <w:sz w:val="22"/>
          <w:szCs w:val="22"/>
        </w:rPr>
      </w:pPr>
    </w:p>
    <w:p w14:paraId="4ADE4004" w14:textId="77777777" w:rsidR="00B35D6C" w:rsidRPr="00471744" w:rsidRDefault="00B35D6C" w:rsidP="00B35D6C">
      <w:pPr>
        <w:pStyle w:val="Tekstpodstawowywcity3"/>
        <w:spacing w:after="0"/>
        <w:ind w:left="0"/>
        <w:rPr>
          <w:b/>
          <w:sz w:val="22"/>
          <w:szCs w:val="22"/>
          <w:u w:val="single"/>
        </w:rPr>
      </w:pPr>
    </w:p>
    <w:p w14:paraId="0C822DC6" w14:textId="77777777" w:rsidR="00B35D6C" w:rsidRPr="00471744" w:rsidRDefault="00B35D6C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76A6E0C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190C65E1" w14:textId="77777777" w:rsidR="00C05E34" w:rsidRPr="00471744" w:rsidRDefault="00C05E34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31E527B7" w14:textId="6CC4406A" w:rsidR="006431AE" w:rsidRPr="0051401C" w:rsidRDefault="0051401C" w:rsidP="0051401C">
      <w:pPr>
        <w:pStyle w:val="Akapitzlist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 w:rsidRPr="0051401C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                                         Zarząd Powiatu Zgierskiego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D5809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401C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C05E34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B3FC0"/>
    <w:rsid w:val="00DB4054"/>
    <w:rsid w:val="00DB6A1C"/>
    <w:rsid w:val="00DC5DBD"/>
    <w:rsid w:val="00DF4B65"/>
    <w:rsid w:val="00DF4FE0"/>
    <w:rsid w:val="00DF68E5"/>
    <w:rsid w:val="00E17D1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1DAF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30</cp:revision>
  <cp:lastPrinted>2021-08-20T11:46:00Z</cp:lastPrinted>
  <dcterms:created xsi:type="dcterms:W3CDTF">2021-06-21T10:01:00Z</dcterms:created>
  <dcterms:modified xsi:type="dcterms:W3CDTF">2021-08-20T12:32:00Z</dcterms:modified>
</cp:coreProperties>
</file>