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2D6C2D47"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20D44">
        <w:rPr>
          <w:rFonts w:ascii="Arial" w:hAnsi="Arial" w:cs="Arial"/>
          <w:b/>
          <w:lang w:eastAsia="en-US"/>
        </w:rPr>
        <w:t>1</w:t>
      </w:r>
      <w:r w:rsidR="00506E40">
        <w:rPr>
          <w:rFonts w:ascii="Arial" w:hAnsi="Arial" w:cs="Arial"/>
          <w:b/>
          <w:lang w:eastAsia="en-US"/>
        </w:rPr>
        <w:t>8</w:t>
      </w:r>
      <w:r w:rsidR="00A01560">
        <w:rPr>
          <w:rFonts w:ascii="Arial" w:hAnsi="Arial" w:cs="Arial"/>
          <w:b/>
          <w:lang w:eastAsia="en-US"/>
        </w:rPr>
        <w:t>.202</w:t>
      </w:r>
      <w:r w:rsidR="00641E7F">
        <w:rPr>
          <w:rFonts w:ascii="Arial" w:hAnsi="Arial" w:cs="Arial"/>
          <w:b/>
          <w:lang w:eastAsia="en-US"/>
        </w:rPr>
        <w:t>2</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FB9CEA2"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CHOWIE – ETAP 1</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5B71C6FF"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wymianę porycia dachowego, wymianę instalacji odgromowej, uzupełnienie i pomalowanie elewacji.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7C58F042"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 xml:space="preserve">dukacyjnego w Trzebiechowie </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374276DC"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19508EAD"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REMONT ZESPOŁU EDUKACYJNEGO W TRZEBIECHOWIE – WTAP 1</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6874B44A" w:rsidR="0009063C" w:rsidRDefault="0009063C" w:rsidP="00397A26">
      <w:pPr>
        <w:pStyle w:val="Tekstpodstawowy"/>
        <w:spacing w:after="0" w:line="240" w:lineRule="auto"/>
        <w:ind w:left="0" w:firstLine="0"/>
        <w:jc w:val="left"/>
        <w:rPr>
          <w:rFonts w:ascii="Arial" w:hAnsi="Arial" w:cs="Arial"/>
        </w:rPr>
      </w:pPr>
      <w:r>
        <w:rPr>
          <w:rFonts w:ascii="Arial" w:hAnsi="Arial" w:cs="Arial"/>
        </w:rPr>
        <w:t xml:space="preserve">a także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0B32C802"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100223"/>
    <w:rsid w:val="001117CC"/>
    <w:rsid w:val="00131044"/>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5378</Words>
  <Characters>32269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46</cp:revision>
  <dcterms:created xsi:type="dcterms:W3CDTF">2018-04-12T06:41:00Z</dcterms:created>
  <dcterms:modified xsi:type="dcterms:W3CDTF">2022-12-19T11:35:00Z</dcterms:modified>
</cp:coreProperties>
</file>