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77777777"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(Dz. U. z 2019 r. poz. 2019) – dalej ustawy PZP </w:t>
      </w:r>
    </w:p>
    <w:p w14:paraId="3077C90A" w14:textId="77777777" w:rsidR="005C2F6D" w:rsidRDefault="005C2F6D" w:rsidP="005C2F6D">
      <w:pPr>
        <w:jc w:val="center"/>
        <w:rPr>
          <w:b/>
          <w:bCs/>
          <w:sz w:val="20"/>
          <w:szCs w:val="20"/>
        </w:rPr>
      </w:pPr>
    </w:p>
    <w:p w14:paraId="7E683FBF" w14:textId="52D4BAD8" w:rsidR="005C2F6D" w:rsidRPr="0060369B" w:rsidRDefault="00173B7C" w:rsidP="00173B7C">
      <w:pPr>
        <w:jc w:val="center"/>
        <w:rPr>
          <w:b/>
          <w:bCs/>
        </w:rPr>
      </w:pPr>
      <w:r w:rsidRPr="00173B7C">
        <w:rPr>
          <w:b/>
          <w:bCs/>
        </w:rPr>
        <w:t>Kształcenie ustawiczne w branżach</w:t>
      </w:r>
      <w:r>
        <w:rPr>
          <w:b/>
          <w:bCs/>
        </w:rPr>
        <w:t xml:space="preserve"> </w:t>
      </w:r>
      <w:r w:rsidRPr="00173B7C">
        <w:rPr>
          <w:b/>
          <w:bCs/>
        </w:rPr>
        <w:t>kluczowych (Kwalifikacyjne Kursy</w:t>
      </w:r>
      <w:r>
        <w:rPr>
          <w:b/>
          <w:bCs/>
        </w:rPr>
        <w:t xml:space="preserve"> </w:t>
      </w:r>
      <w:r w:rsidRPr="00173B7C">
        <w:rPr>
          <w:b/>
          <w:bCs/>
        </w:rPr>
        <w:t>Zawodowe/Kursy Umiejętności</w:t>
      </w:r>
      <w:r>
        <w:rPr>
          <w:b/>
          <w:bCs/>
        </w:rPr>
        <w:t xml:space="preserve"> </w:t>
      </w:r>
      <w:r w:rsidRPr="00173B7C">
        <w:rPr>
          <w:b/>
          <w:bCs/>
        </w:rPr>
        <w:t>Zawodowych</w:t>
      </w:r>
      <w:r>
        <w:rPr>
          <w:b/>
          <w:bCs/>
        </w:rPr>
        <w:t>/Kursy Zawodowe</w:t>
      </w:r>
      <w:r w:rsidRPr="00173B7C">
        <w:rPr>
          <w:b/>
          <w:bCs/>
        </w:rPr>
        <w:t>)</w:t>
      </w:r>
      <w:r>
        <w:rPr>
          <w:b/>
          <w:bCs/>
        </w:rPr>
        <w:t xml:space="preserve"> – przeprowadzenie kursów w ramach projektu „</w:t>
      </w:r>
      <w:r w:rsidRPr="00173B7C">
        <w:rPr>
          <w:b/>
          <w:bCs/>
        </w:rPr>
        <w:t>Zawodowcy na topie - podniesienie jakości szkolnictwa zawodowego w powiecie lęborskim poprzez przebudowę, rozbudowę, modernizację infrastruktury</w:t>
      </w:r>
      <w:r>
        <w:rPr>
          <w:b/>
          <w:bCs/>
        </w:rPr>
        <w:t xml:space="preserve"> </w:t>
      </w:r>
      <w:r w:rsidRPr="00173B7C">
        <w:rPr>
          <w:b/>
          <w:bCs/>
        </w:rPr>
        <w:t>szkół zawodowych w Lęborku, ich wyposażenie i doposażenie oraz kształcenie ustawiczne</w:t>
      </w:r>
      <w:r>
        <w:rPr>
          <w:b/>
          <w:bCs/>
        </w:rPr>
        <w:t xml:space="preserve">” </w:t>
      </w:r>
      <w:r w:rsidRPr="00173B7C">
        <w:rPr>
          <w:b/>
          <w:bCs/>
        </w:rPr>
        <w:t xml:space="preserve">współfinansowanego ze środków Europejskiego Funduszu Rozwoju Regionalnego w ramach Regionalnego Programu Operacyjnego Województwa Pomorskiego na lata 2014-2020 </w:t>
      </w:r>
    </w:p>
    <w:p w14:paraId="00628EA8" w14:textId="77777777" w:rsidR="00E279FA" w:rsidRDefault="00E279FA">
      <w:pPr>
        <w:jc w:val="center"/>
      </w:pPr>
    </w:p>
    <w:p w14:paraId="600777B4" w14:textId="77777777" w:rsidR="00E279FA" w:rsidRDefault="00E279FA"/>
    <w:p w14:paraId="198828D5" w14:textId="77777777" w:rsidR="00E279FA" w:rsidRDefault="00E279FA">
      <w:pPr>
        <w:jc w:val="center"/>
        <w:rPr>
          <w:sz w:val="16"/>
          <w:szCs w:val="16"/>
        </w:rPr>
      </w:pPr>
    </w:p>
    <w:p w14:paraId="06FB068F" w14:textId="23DDA40F" w:rsidR="00E279FA" w:rsidRDefault="00883F9D">
      <w:pPr>
        <w:jc w:val="center"/>
      </w:pPr>
      <w:r>
        <w:t xml:space="preserve">Nr postępowania: </w:t>
      </w:r>
      <w:r w:rsidR="001F0B75">
        <w:rPr>
          <w:rFonts w:ascii="Calibri" w:eastAsia="Calibri" w:hAnsi="Calibri" w:cs="Calibri"/>
          <w:color w:val="434343"/>
        </w:rPr>
        <w:t>PO.272.1.</w:t>
      </w:r>
      <w:r w:rsidR="00A43C60">
        <w:rPr>
          <w:rFonts w:ascii="Calibri" w:eastAsia="Calibri" w:hAnsi="Calibri" w:cs="Calibri"/>
          <w:color w:val="434343"/>
        </w:rPr>
        <w:t>3</w:t>
      </w:r>
      <w:r w:rsidR="001F0B75">
        <w:rPr>
          <w:rFonts w:ascii="Calibri" w:eastAsia="Calibri" w:hAnsi="Calibri" w:cs="Calibri"/>
          <w:color w:val="434343"/>
        </w:rPr>
        <w:t>.2021</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1AFC4E31" w14:textId="77777777" w:rsidR="00E279FA" w:rsidRDefault="00E279FA"/>
    <w:p w14:paraId="5C507EF2" w14:textId="77777777" w:rsidR="00E279FA" w:rsidRDefault="00E279FA">
      <w:pPr>
        <w:jc w:val="center"/>
      </w:pPr>
    </w:p>
    <w:p w14:paraId="1722FF41" w14:textId="77777777" w:rsidR="00E279FA" w:rsidRDefault="00E279FA">
      <w:pPr>
        <w:jc w:val="center"/>
      </w:pPr>
    </w:p>
    <w:p w14:paraId="34A72553" w14:textId="3CC36F76" w:rsidR="00E279FA" w:rsidRPr="00C9153C" w:rsidRDefault="00B314B8">
      <w:pPr>
        <w:jc w:val="center"/>
        <w:rPr>
          <w:b/>
        </w:rPr>
      </w:pPr>
      <w:r>
        <w:rPr>
          <w:b/>
        </w:rPr>
        <w:t>21 kwietnia 2021</w:t>
      </w:r>
      <w:r w:rsidR="00C9153C" w:rsidRPr="00C9153C">
        <w:rPr>
          <w:b/>
        </w:rPr>
        <w:t xml:space="preserve"> r.</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2570A70E" w14:textId="77777777" w:rsidR="001A7E5C" w:rsidRDefault="001A7E5C" w:rsidP="006B3DB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wskazane poniżej czynności w trakcie realizacji zamówienia:</w:t>
      </w:r>
      <w:bookmarkStart w:id="3" w:name="page19"/>
      <w:bookmarkEnd w:id="3"/>
    </w:p>
    <w:p w14:paraId="4F0F3860" w14:textId="77777777" w:rsidR="001A7E5C" w:rsidRDefault="001A7E5C" w:rsidP="00B2140F">
      <w:pPr>
        <w:tabs>
          <w:tab w:val="left" w:pos="840"/>
        </w:tabs>
        <w:spacing w:line="0" w:lineRule="atLeast"/>
        <w:ind w:left="1080"/>
        <w:jc w:val="both"/>
      </w:pPr>
    </w:p>
    <w:p w14:paraId="345E09AB" w14:textId="6DC58F16" w:rsidR="001A7E5C" w:rsidRDefault="001A7E5C" w:rsidP="00B2140F">
      <w:pPr>
        <w:tabs>
          <w:tab w:val="left" w:pos="840"/>
        </w:tabs>
        <w:spacing w:line="0" w:lineRule="atLeast"/>
        <w:ind w:left="1080"/>
        <w:jc w:val="both"/>
      </w:pPr>
      <w:r>
        <w:t>Wszystkie czynności związane z:</w:t>
      </w:r>
    </w:p>
    <w:p w14:paraId="16A5ADA8" w14:textId="77777777" w:rsidR="001A7E5C" w:rsidRDefault="001A7E5C" w:rsidP="00B2140F">
      <w:pPr>
        <w:spacing w:line="16" w:lineRule="exact"/>
        <w:jc w:val="both"/>
        <w:rPr>
          <w:rFonts w:ascii="Times New Roman" w:eastAsia="Times New Roman" w:hAnsi="Times New Roman"/>
        </w:rPr>
      </w:pPr>
    </w:p>
    <w:p w14:paraId="6D03B2E9" w14:textId="218706C6" w:rsidR="001A7E5C" w:rsidRPr="001A7E5C" w:rsidRDefault="001A7E5C" w:rsidP="006B3DBC">
      <w:pPr>
        <w:pStyle w:val="Akapitzlist"/>
        <w:numPr>
          <w:ilvl w:val="0"/>
          <w:numId w:val="38"/>
        </w:numPr>
        <w:spacing w:line="245" w:lineRule="auto"/>
        <w:jc w:val="both"/>
        <w:rPr>
          <w:i/>
        </w:rPr>
      </w:pPr>
      <w:r w:rsidRPr="001A7E5C">
        <w:rPr>
          <w:i/>
        </w:rPr>
        <w:t xml:space="preserve">przeprowadzeniem kursu np. administracyjne za wyjątkiem czynności świadczonych przez </w:t>
      </w:r>
      <w:r w:rsidRPr="001A7E5C">
        <w:rPr>
          <w:i/>
          <w:u w:val="single"/>
        </w:rPr>
        <w:t>trenerów,</w:t>
      </w:r>
      <w:r w:rsidRPr="001A7E5C">
        <w:rPr>
          <w:i/>
        </w:rPr>
        <w:t xml:space="preserve"> </w:t>
      </w:r>
      <w:r w:rsidRPr="001A7E5C">
        <w:rPr>
          <w:i/>
          <w:u w:val="single"/>
        </w:rPr>
        <w:t>wykładowców,</w:t>
      </w:r>
      <w:r w:rsidRPr="001A7E5C">
        <w:rPr>
          <w:i/>
        </w:rPr>
        <w:t xml:space="preserve"> </w:t>
      </w:r>
      <w:r w:rsidRPr="001A7E5C">
        <w:rPr>
          <w:i/>
          <w:u w:val="single"/>
        </w:rPr>
        <w:t>szkoleniowców, instruktorów,</w:t>
      </w:r>
      <w:r w:rsidRPr="001A7E5C">
        <w:rPr>
          <w:i/>
        </w:rPr>
        <w:t xml:space="preserve"> </w:t>
      </w:r>
      <w:r w:rsidRPr="001A7E5C">
        <w:rPr>
          <w:i/>
          <w:u w:val="single"/>
        </w:rPr>
        <w:t>prowadzących</w:t>
      </w:r>
      <w:r w:rsidRPr="001A7E5C">
        <w:rPr>
          <w:i/>
        </w:rPr>
        <w:t xml:space="preserve"> </w:t>
      </w:r>
      <w:r w:rsidRPr="001A7E5C">
        <w:rPr>
          <w:i/>
          <w:u w:val="single"/>
        </w:rPr>
        <w:t>zajęcia/kurs</w:t>
      </w:r>
      <w:r>
        <w:rPr>
          <w:i/>
          <w:u w:val="single"/>
        </w:rPr>
        <w:t>/szkolenie</w:t>
      </w:r>
      <w:r w:rsidRPr="001A7E5C">
        <w:rPr>
          <w:i/>
        </w:rPr>
        <w:t>.</w:t>
      </w:r>
    </w:p>
    <w:p w14:paraId="41F38D48" w14:textId="77777777" w:rsidR="001A7E5C" w:rsidRDefault="001A7E5C" w:rsidP="00B2140F">
      <w:pPr>
        <w:spacing w:line="247" w:lineRule="exact"/>
        <w:jc w:val="both"/>
        <w:rPr>
          <w:rFonts w:ascii="Times New Roman" w:eastAsia="Times New Roman" w:hAnsi="Times New Roman"/>
        </w:rPr>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77777777"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024F1E8F" w14:textId="77777777" w:rsidR="001A7E5C" w:rsidRDefault="001A7E5C" w:rsidP="006B3DBC">
      <w:pPr>
        <w:numPr>
          <w:ilvl w:val="3"/>
          <w:numId w:val="34"/>
        </w:numPr>
        <w:tabs>
          <w:tab w:val="left" w:pos="2240"/>
        </w:tabs>
        <w:spacing w:line="0" w:lineRule="atLeast"/>
        <w:ind w:left="2240" w:hanging="702"/>
        <w:jc w:val="both"/>
      </w:pPr>
      <w:r>
        <w:t>datę złożenia oświadczenia, wskazanie, że objęte wezwaniem czynności</w:t>
      </w:r>
    </w:p>
    <w:p w14:paraId="3053F525" w14:textId="77777777" w:rsidR="001A7E5C" w:rsidRDefault="001A7E5C" w:rsidP="00B2140F">
      <w:pPr>
        <w:spacing w:line="16" w:lineRule="exact"/>
        <w:jc w:val="both"/>
        <w:rPr>
          <w:rFonts w:ascii="Times New Roman" w:eastAsia="Times New Roman" w:hAnsi="Times New Roman"/>
        </w:rPr>
      </w:pPr>
    </w:p>
    <w:p w14:paraId="1FF051D4" w14:textId="77777777" w:rsidR="001A7E5C" w:rsidRDefault="001A7E5C" w:rsidP="00B2140F">
      <w:pPr>
        <w:spacing w:line="247" w:lineRule="auto"/>
        <w:ind w:left="2240"/>
        <w:jc w:val="both"/>
      </w:pP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61524416" w:rsidR="001A7E5C" w:rsidRDefault="001A7E5C" w:rsidP="006B3DBC">
      <w:pPr>
        <w:numPr>
          <w:ilvl w:val="0"/>
          <w:numId w:val="35"/>
        </w:numPr>
        <w:tabs>
          <w:tab w:val="left" w:pos="1540"/>
        </w:tabs>
        <w:spacing w:line="242" w:lineRule="auto"/>
        <w:ind w:left="1540" w:hanging="711"/>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Imię i nazwisko pracownika nie podlega anonim</w:t>
      </w:r>
      <w:r w:rsidR="00B2140F">
        <w:t>i</w:t>
      </w:r>
      <w:r>
        <w:t>zacji. Informacje takie jak: data zawarcia umow</w:t>
      </w:r>
      <w:r w:rsidR="00B2140F">
        <w:t>y, rodzaj umowy 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6B3DBC">
      <w:pPr>
        <w:numPr>
          <w:ilvl w:val="0"/>
          <w:numId w:val="36"/>
        </w:numPr>
        <w:tabs>
          <w:tab w:val="left" w:pos="1540"/>
        </w:tabs>
        <w:spacing w:line="0" w:lineRule="atLeast"/>
        <w:ind w:left="1540"/>
        <w:jc w:val="both"/>
      </w:pPr>
      <w:r>
        <w:t>zaświadczenie  właściwego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4" w:name="page20"/>
      <w:bookmarkEnd w:id="4"/>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danych osobowych pracowników, zgodnie z przepisami ustawy z dnia 29 sierpnia 1997 r. o ochronie danych osobowych. Imię i nazwisko pracownika nie podlega anonimizacji.</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550E2F04" w14:textId="34911CB2" w:rsidR="00A82E93" w:rsidRPr="00BA58E6" w:rsidRDefault="00883F9D" w:rsidP="00A82E93">
      <w:pPr>
        <w:numPr>
          <w:ilvl w:val="0"/>
          <w:numId w:val="1"/>
        </w:numPr>
        <w:spacing w:before="240" w:line="360" w:lineRule="auto"/>
        <w:ind w:left="434"/>
        <w:jc w:val="both"/>
      </w:pPr>
      <w:r w:rsidRPr="00BA58E6">
        <w:t xml:space="preserve">Przedmiotem zamówienia jest </w:t>
      </w:r>
      <w:bookmarkStart w:id="6" w:name="_Hlk439595"/>
      <w:r w:rsidR="000607FC" w:rsidRPr="00BA58E6">
        <w:t xml:space="preserve">przeprowadzenie kursów w ramach </w:t>
      </w:r>
      <w:bookmarkEnd w:id="6"/>
      <w:r w:rsidR="00173B7C" w:rsidRPr="00173B7C">
        <w:t>„Zawodowcy na topie - podniesienie jakości szkolnictwa zawodowego w powiecie lęborskim poprzez przebudowę, rozbudowę, modernizację infrastruktury szkół zawodowych w Lęborku, ich wyposażenie i doposażenie oraz kształcenie ustawiczne” współfinansowanego ze środków Europejskiego Funduszu Rozwoju Regionalnego w ramach Regionalnego Programu Operacyjnego Województwa Pomorskiego na lata 2014-2020 (Oś Priorytetowa IV Kształcenie Zawodowe, Działanie 4.1 Infrastruktura ponadgimnazjalnych szkół zawodowych</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1C2E991A" w14:textId="77777777" w:rsidR="000607FC" w:rsidRPr="00BA58E6" w:rsidRDefault="000607FC" w:rsidP="000607FC">
      <w:pPr>
        <w:spacing w:before="240" w:line="360" w:lineRule="auto"/>
        <w:ind w:left="434"/>
        <w:jc w:val="both"/>
      </w:pPr>
    </w:p>
    <w:p w14:paraId="42B43C75" w14:textId="77777777" w:rsidR="00E279FA" w:rsidRPr="00BA58E6" w:rsidRDefault="00883F9D">
      <w:pPr>
        <w:numPr>
          <w:ilvl w:val="0"/>
          <w:numId w:val="1"/>
        </w:numPr>
        <w:spacing w:line="360" w:lineRule="auto"/>
        <w:ind w:left="434"/>
        <w:jc w:val="both"/>
      </w:pPr>
      <w:r w:rsidRPr="00BA58E6">
        <w:t xml:space="preserve">Wspólny Słownik Zamówień CPV: </w:t>
      </w:r>
    </w:p>
    <w:p w14:paraId="17802F52" w14:textId="77777777" w:rsidR="00870087" w:rsidRPr="00BA58E6" w:rsidRDefault="00870087" w:rsidP="00870087">
      <w:pPr>
        <w:tabs>
          <w:tab w:val="left" w:pos="0"/>
        </w:tabs>
        <w:ind w:left="284"/>
        <w:jc w:val="both"/>
      </w:pPr>
      <w:r w:rsidRPr="00BA58E6">
        <w:t xml:space="preserve">80.50.00.00-9   </w:t>
      </w:r>
      <w:r w:rsidRPr="00BA58E6">
        <w:tab/>
        <w:t>Usługi szkoleniowe</w:t>
      </w:r>
    </w:p>
    <w:p w14:paraId="2BA415F6" w14:textId="77777777" w:rsidR="00870087" w:rsidRPr="00BA58E6" w:rsidRDefault="00870087" w:rsidP="00870087">
      <w:pPr>
        <w:tabs>
          <w:tab w:val="left" w:pos="0"/>
        </w:tabs>
        <w:ind w:left="284"/>
        <w:jc w:val="both"/>
      </w:pPr>
      <w:r w:rsidRPr="00BA58E6">
        <w:t xml:space="preserve">80.51.00.00-2   </w:t>
      </w:r>
      <w:r w:rsidRPr="00BA58E6">
        <w:tab/>
        <w:t>Usługi szkolenia specjalistycznego</w:t>
      </w:r>
    </w:p>
    <w:p w14:paraId="50EB488C" w14:textId="77777777" w:rsidR="00870087" w:rsidRPr="001F0B75" w:rsidRDefault="00870087" w:rsidP="006B3DBC">
      <w:pPr>
        <w:pStyle w:val="Akapitzlist"/>
        <w:numPr>
          <w:ilvl w:val="4"/>
          <w:numId w:val="29"/>
        </w:numPr>
        <w:tabs>
          <w:tab w:val="left" w:pos="0"/>
        </w:tabs>
        <w:spacing w:after="0"/>
        <w:jc w:val="both"/>
        <w:rPr>
          <w:rFonts w:ascii="Arial" w:hAnsi="Arial" w:cs="Arial"/>
        </w:rPr>
      </w:pPr>
      <w:r w:rsidRPr="001F0B75">
        <w:rPr>
          <w:rFonts w:ascii="Arial" w:hAnsi="Arial" w:cs="Arial"/>
        </w:rPr>
        <w:t>Usługi szkolenia zawodowego</w:t>
      </w:r>
    </w:p>
    <w:p w14:paraId="6D4AF5F4" w14:textId="77777777" w:rsidR="00870087" w:rsidRPr="00BA58E6" w:rsidRDefault="00870087" w:rsidP="00870087">
      <w:pPr>
        <w:spacing w:line="360" w:lineRule="auto"/>
        <w:ind w:left="434"/>
        <w:jc w:val="both"/>
      </w:pPr>
    </w:p>
    <w:p w14:paraId="6FCA7C56" w14:textId="77777777" w:rsidR="00E6323B" w:rsidRPr="00BA58E6" w:rsidRDefault="00870087" w:rsidP="00870087">
      <w:pPr>
        <w:numPr>
          <w:ilvl w:val="0"/>
          <w:numId w:val="1"/>
        </w:numPr>
        <w:spacing w:line="360" w:lineRule="auto"/>
        <w:ind w:left="434"/>
        <w:jc w:val="both"/>
      </w:pPr>
      <w:r w:rsidRPr="00BA58E6">
        <w:t>Zamawiający dopuszcza składanie ofert częściowych. Każdy Wykonawca może złożyć ofertę na dowolną liczbę części, z zastrzeżeniem możliwości złożenia tylko jednej oferty na każdą część zamówienia. Zamawiający nie określa maksymalnej liczby części zamówienia, na które może zostać udzielone zamówienie jednemu Wykonawcy.</w:t>
      </w:r>
    </w:p>
    <w:p w14:paraId="4610E242" w14:textId="67DBE88B" w:rsidR="00E6323B" w:rsidRPr="00BA58E6" w:rsidRDefault="00E6323B" w:rsidP="00E6323B">
      <w:pPr>
        <w:spacing w:line="360" w:lineRule="auto"/>
        <w:ind w:left="434"/>
        <w:jc w:val="both"/>
      </w:pPr>
      <w:r w:rsidRPr="00BA58E6">
        <w:t xml:space="preserve">Przedmiot zamówienia został podzielony na </w:t>
      </w:r>
      <w:r w:rsidR="00173B7C">
        <w:t>2</w:t>
      </w:r>
      <w:r w:rsidRPr="00BA58E6">
        <w:t xml:space="preserve"> następując</w:t>
      </w:r>
      <w:r w:rsidR="00173B7C">
        <w:t>e</w:t>
      </w:r>
      <w:r w:rsidRPr="00BA58E6">
        <w:t xml:space="preserve"> części:</w:t>
      </w:r>
    </w:p>
    <w:p w14:paraId="10C4D0ED" w14:textId="3DFEEC9E" w:rsidR="00E6323B" w:rsidRPr="00BA58E6" w:rsidRDefault="00E6323B" w:rsidP="00E6323B">
      <w:pPr>
        <w:spacing w:line="240" w:lineRule="auto"/>
        <w:ind w:left="437"/>
        <w:jc w:val="both"/>
        <w:rPr>
          <w:i/>
          <w:iCs/>
        </w:rPr>
      </w:pPr>
      <w:bookmarkStart w:id="7" w:name="_Hlk64379662"/>
      <w:bookmarkStart w:id="8" w:name="_Hlk525125818"/>
      <w:r w:rsidRPr="00BA58E6">
        <w:rPr>
          <w:i/>
          <w:iCs/>
        </w:rPr>
        <w:t xml:space="preserve">Część 1 - </w:t>
      </w:r>
      <w:bookmarkEnd w:id="7"/>
      <w:bookmarkEnd w:id="8"/>
      <w:r w:rsidR="00173B7C">
        <w:rPr>
          <w:i/>
          <w:iCs/>
        </w:rPr>
        <w:t>P</w:t>
      </w:r>
      <w:r w:rsidR="00173B7C" w:rsidRPr="00173B7C">
        <w:rPr>
          <w:i/>
          <w:iCs/>
        </w:rPr>
        <w:t xml:space="preserve">rzeprowadzenie kursu „Prowadzenie spraw kadrowo-płacowych" </w:t>
      </w:r>
    </w:p>
    <w:p w14:paraId="698FCA7E" w14:textId="10CDF526" w:rsidR="00E6323B" w:rsidRPr="00BA58E6" w:rsidRDefault="00E6323B" w:rsidP="00E6323B">
      <w:pPr>
        <w:spacing w:line="240" w:lineRule="auto"/>
        <w:ind w:left="437"/>
        <w:jc w:val="both"/>
        <w:rPr>
          <w:i/>
          <w:iCs/>
        </w:rPr>
      </w:pPr>
      <w:bookmarkStart w:id="9" w:name="_Hlk436937"/>
      <w:r w:rsidRPr="00BA58E6">
        <w:rPr>
          <w:i/>
          <w:iCs/>
        </w:rPr>
        <w:t xml:space="preserve">Część 2 - </w:t>
      </w:r>
      <w:bookmarkEnd w:id="9"/>
      <w:r w:rsidR="00173B7C">
        <w:rPr>
          <w:i/>
          <w:iCs/>
        </w:rPr>
        <w:t>P</w:t>
      </w:r>
      <w:r w:rsidR="00173B7C" w:rsidRPr="00173B7C">
        <w:rPr>
          <w:i/>
          <w:iCs/>
        </w:rPr>
        <w:t>rzeprowadzenie kursu „Sporządzanie kosztorysów oraz przygotowanie dokumentacji przetargowej"</w:t>
      </w:r>
    </w:p>
    <w:p w14:paraId="2B3BFE86" w14:textId="77777777" w:rsidR="00E6323B" w:rsidRPr="00BA58E6" w:rsidRDefault="00E6323B" w:rsidP="00E6323B">
      <w:pPr>
        <w:spacing w:line="360" w:lineRule="auto"/>
        <w:ind w:left="434"/>
        <w:jc w:val="both"/>
      </w:pPr>
    </w:p>
    <w:p w14:paraId="37A034E5" w14:textId="77777777" w:rsidR="00870087" w:rsidRPr="00BA58E6" w:rsidRDefault="00495FEF" w:rsidP="00E6323B">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10" w:name="_s0i9odf430x7" w:colFirst="0" w:colLast="0"/>
      <w:bookmarkEnd w:id="10"/>
      <w:r w:rsidRPr="00BA58E6">
        <w:rPr>
          <w:color w:val="000000"/>
        </w:rPr>
        <w:t xml:space="preserve">Szczegółowy opis oraz sposób realizacji zamówienia zawiera </w:t>
      </w:r>
      <w:bookmarkStart w:id="11"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11"/>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12" w:name="_l3y36xf8w2mt" w:colFirst="0" w:colLast="0"/>
      <w:bookmarkEnd w:id="12"/>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13" w:name="_6katmqtjrys4" w:colFirst="0" w:colLast="0"/>
      <w:bookmarkEnd w:id="13"/>
      <w:r>
        <w:t>VII. Termin wykonania zamówienia</w:t>
      </w:r>
    </w:p>
    <w:p w14:paraId="0C0CB38D" w14:textId="3EE8024A"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173B7C">
        <w:t>17</w:t>
      </w:r>
      <w:r w:rsidR="001B2F11" w:rsidRPr="00BA58E6">
        <w:t xml:space="preserve"> września 2021 roku. </w:t>
      </w:r>
    </w:p>
    <w:p w14:paraId="5E50D8C6" w14:textId="5CDC930D"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3A414D">
        <w:rPr>
          <w:b/>
          <w:bCs/>
        </w:rPr>
        <w:t>4</w:t>
      </w:r>
      <w:r w:rsidRPr="00BA58E6">
        <w:rPr>
          <w:b/>
        </w:rPr>
        <w:t xml:space="preserve"> 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4" w:name="_nz5qrlch0jbr" w:colFirst="0" w:colLast="0"/>
      <w:bookmarkEnd w:id="14"/>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5" w:name="_Hlk64535065"/>
      <w:r w:rsidRPr="00BA58E6">
        <w:rPr>
          <w:highlight w:val="white"/>
        </w:rPr>
        <w:t>Zamawiający nie określa szczegółowego  warunku w tym zakresie</w:t>
      </w:r>
    </w:p>
    <w:bookmarkEnd w:id="15"/>
    <w:p w14:paraId="027289DA" w14:textId="77777777" w:rsidR="00E279FA" w:rsidRPr="00BA58E6" w:rsidRDefault="00883F9D">
      <w:pPr>
        <w:numPr>
          <w:ilvl w:val="0"/>
          <w:numId w:val="4"/>
        </w:numPr>
        <w:spacing w:line="360" w:lineRule="auto"/>
        <w:ind w:left="852" w:right="20" w:hanging="426"/>
        <w:jc w:val="both"/>
      </w:pPr>
      <w:r w:rsidRPr="00BA58E6">
        <w:rPr>
          <w:b/>
        </w:rPr>
        <w:t>zdolności technicznej lub zawodowej:</w:t>
      </w:r>
    </w:p>
    <w:p w14:paraId="7F1F2A09" w14:textId="77777777"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6" w:name="_sv3xn7chhdup" w:colFirst="0" w:colLast="0"/>
      <w:bookmarkEnd w:id="16"/>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77777777" w:rsidR="00E279FA" w:rsidRPr="00BA58E6" w:rsidRDefault="00883F9D">
      <w:pPr>
        <w:numPr>
          <w:ilvl w:val="0"/>
          <w:numId w:val="2"/>
        </w:numPr>
        <w:spacing w:line="360" w:lineRule="auto"/>
        <w:ind w:left="426"/>
        <w:jc w:val="both"/>
      </w:pPr>
      <w:r w:rsidRPr="00BA58E6">
        <w:t>Wykluczenie Wykonawcy następuje zgodnie z art. 111 PZP</w:t>
      </w:r>
      <w:r w:rsidR="004B20A4" w:rsidRPr="00BA58E6">
        <w:t>.</w:t>
      </w:r>
    </w:p>
    <w:p w14:paraId="6CD951D6" w14:textId="77777777" w:rsidR="00E279FA" w:rsidRDefault="00883F9D">
      <w:pPr>
        <w:pStyle w:val="Nagwek2"/>
      </w:pPr>
      <w:bookmarkStart w:id="17" w:name="_crlv0voso4yw" w:colFirst="0" w:colLast="0"/>
      <w:bookmarkEnd w:id="17"/>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6B3DBC">
      <w:pPr>
        <w:numPr>
          <w:ilvl w:val="0"/>
          <w:numId w:val="9"/>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656FAEB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8" w:name="_gb4nrns0uw97" w:colFirst="0" w:colLast="0"/>
      <w:bookmarkEnd w:id="18"/>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77777777" w:rsidR="00E279FA" w:rsidRPr="0001366E" w:rsidRDefault="00883F9D">
      <w:pPr>
        <w:numPr>
          <w:ilvl w:val="3"/>
          <w:numId w:val="2"/>
        </w:numPr>
        <w:spacing w:line="360" w:lineRule="auto"/>
        <w:ind w:left="426" w:right="20"/>
        <w:jc w:val="both"/>
      </w:pPr>
      <w:r w:rsidRPr="0001366E">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pPr>
        <w:numPr>
          <w:ilvl w:val="3"/>
          <w:numId w:val="2"/>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9" w:name="_lodptpqf2xh0" w:colFirst="0" w:colLast="0"/>
      <w:bookmarkEnd w:id="19"/>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20" w:name="_tp7vefgpgfgi" w:colFirst="0" w:colLast="0"/>
      <w:bookmarkEnd w:id="20"/>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4AB1CF5C" w:rsidR="00873FA8" w:rsidRPr="0001366E" w:rsidRDefault="00873FA8" w:rsidP="00873FA8">
      <w:pPr>
        <w:spacing w:line="320" w:lineRule="auto"/>
        <w:ind w:left="720"/>
        <w:jc w:val="both"/>
      </w:pPr>
      <w:r w:rsidRPr="0001366E">
        <w:t xml:space="preserve">-w sprawach merytorycznych – </w:t>
      </w:r>
      <w:r w:rsidR="00173B7C">
        <w:t>Mateusz Podlewski</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21" w:name="_rq2udys4csh9" w:colFirst="0" w:colLast="0"/>
      <w:bookmarkEnd w:id="21"/>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22" w:name="_21eeoojwb3nb" w:colFirst="0" w:colLast="0"/>
      <w:bookmarkEnd w:id="22"/>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9D0342">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23" w:name="_c8de4rg6s4kb" w:colFirst="0" w:colLast="0"/>
      <w:bookmarkEnd w:id="23"/>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7777777"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AD07A0" w:rsidRPr="0001366E">
        <w:t xml:space="preserve">: </w:t>
      </w:r>
      <w:r w:rsidR="00AD07A0" w:rsidRPr="0001366E">
        <w:rPr>
          <w:i/>
        </w:rPr>
        <w:t>zwolniona z VAT</w:t>
      </w:r>
      <w:r w:rsidRPr="0001366E">
        <w:rPr>
          <w:i/>
        </w:rPr>
        <w:t>.</w:t>
      </w:r>
    </w:p>
    <w:p w14:paraId="1F8341C1" w14:textId="77777777" w:rsidR="00E279FA" w:rsidRPr="0001366E" w:rsidRDefault="00883F9D" w:rsidP="006B3DBC">
      <w:pPr>
        <w:numPr>
          <w:ilvl w:val="0"/>
          <w:numId w:val="5"/>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4" w:name="_1wm6hsxsy23e" w:colFirst="0" w:colLast="0"/>
      <w:bookmarkEnd w:id="24"/>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5" w:name="_kraqvybbazqg" w:colFirst="0" w:colLast="0"/>
      <w:bookmarkEnd w:id="25"/>
      <w:r>
        <w:t>XVII. Termin związania ofertą</w:t>
      </w:r>
    </w:p>
    <w:p w14:paraId="637C02FF" w14:textId="7A35DB37"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4A2C0A">
        <w:rPr>
          <w:b/>
          <w:color w:val="000000" w:themeColor="text1"/>
        </w:rPr>
        <w:t>30 dni</w:t>
      </w:r>
      <w:r w:rsidRPr="004A2C0A">
        <w:rPr>
          <w:color w:val="000000" w:themeColor="text1"/>
        </w:rPr>
        <w:t xml:space="preserve">, tj. do dnia </w:t>
      </w:r>
      <w:r w:rsidR="004A2C0A" w:rsidRPr="004A2C0A">
        <w:rPr>
          <w:color w:val="000000" w:themeColor="text1"/>
        </w:rPr>
        <w:t xml:space="preserve">06.06.2021 </w:t>
      </w:r>
      <w:r w:rsidRPr="004A2C0A">
        <w:rPr>
          <w:color w:val="000000" w:themeColor="text1"/>
        </w:rPr>
        <w:t>r. Bieg terminu związania ofertą rozpoczyna się wraz z upływem terminu składania ofert.</w:t>
      </w:r>
    </w:p>
    <w:p w14:paraId="278BE693" w14:textId="77777777" w:rsidR="00E279FA" w:rsidRPr="0001366E" w:rsidRDefault="00883F9D" w:rsidP="006B3DBC">
      <w:pPr>
        <w:numPr>
          <w:ilvl w:val="0"/>
          <w:numId w:val="28"/>
        </w:numPr>
        <w:spacing w:line="360" w:lineRule="auto"/>
        <w:ind w:left="426"/>
        <w:jc w:val="both"/>
      </w:pPr>
      <w:r w:rsidRPr="000136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6" w:name="_iwk7tzonv6ne" w:colFirst="0" w:colLast="0"/>
      <w:bookmarkEnd w:id="26"/>
      <w:r w:rsidRPr="003C2EC1">
        <w:t>XVIII. Miejsce i termin składania ofert</w:t>
      </w:r>
    </w:p>
    <w:p w14:paraId="416EFC05" w14:textId="36754F43" w:rsidR="00E279FA" w:rsidRPr="0001366E" w:rsidRDefault="00883F9D" w:rsidP="006B3DBC">
      <w:pPr>
        <w:numPr>
          <w:ilvl w:val="0"/>
          <w:numId w:val="21"/>
        </w:numPr>
        <w:spacing w:before="240"/>
        <w:jc w:val="both"/>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4A2C0A">
        <w:rPr>
          <w:color w:val="000000" w:themeColor="text1"/>
        </w:rPr>
        <w:t xml:space="preserve">dnia </w:t>
      </w:r>
      <w:r w:rsidR="004A2C0A" w:rsidRPr="004A2C0A">
        <w:rPr>
          <w:color w:val="000000" w:themeColor="text1"/>
        </w:rPr>
        <w:t>07.05.2021 r.</w:t>
      </w:r>
      <w:r w:rsidRPr="004A2C0A">
        <w:rPr>
          <w:color w:val="000000" w:themeColor="text1"/>
        </w:rPr>
        <w:t xml:space="preserve"> do godziny </w:t>
      </w:r>
      <w:r w:rsidR="004A2C0A" w:rsidRPr="004A2C0A">
        <w:rPr>
          <w:color w:val="000000" w:themeColor="text1"/>
        </w:rPr>
        <w:t>10:00</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7" w:name="_g4kmfra1vcqp" w:colFirst="0" w:colLast="0"/>
      <w:bookmarkEnd w:id="27"/>
      <w:r>
        <w:t>XIX. Otwarcie ofert</w:t>
      </w:r>
    </w:p>
    <w:p w14:paraId="20D845EC" w14:textId="4CE078E7" w:rsidR="00E279FA" w:rsidRPr="0001366E" w:rsidRDefault="00883F9D">
      <w:pPr>
        <w:numPr>
          <w:ilvl w:val="0"/>
          <w:numId w:val="3"/>
        </w:numPr>
        <w:spacing w:line="320" w:lineRule="auto"/>
        <w:jc w:val="both"/>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tj. </w:t>
      </w:r>
      <w:r w:rsidR="004A2C0A" w:rsidRPr="004A2C0A">
        <w:rPr>
          <w:color w:val="000000" w:themeColor="text1"/>
        </w:rPr>
        <w:t>07.05.2021 r.</w:t>
      </w:r>
      <w:r w:rsidR="004A2C0A">
        <w:rPr>
          <w:color w:val="000000" w:themeColor="text1"/>
        </w:rPr>
        <w:t xml:space="preserve"> godzina </w:t>
      </w:r>
      <w:r w:rsidR="004A2C0A" w:rsidRPr="004A2C0A">
        <w:rPr>
          <w:color w:val="000000" w:themeColor="text1"/>
        </w:rPr>
        <w:t>10:0</w:t>
      </w:r>
      <w:r w:rsidR="00B52BEE">
        <w:rPr>
          <w:color w:val="000000" w:themeColor="text1"/>
        </w:rPr>
        <w:t>5</w:t>
      </w:r>
      <w:r w:rsidR="004A2C0A">
        <w:rPr>
          <w:color w:val="000000" w:themeColor="text1"/>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8" w:name="_kc2xtpcwd955" w:colFirst="0" w:colLast="0"/>
      <w:bookmarkEnd w:id="28"/>
      <w:r>
        <w:t xml:space="preserve">XX. Opis kryteriów oceny ofert wraz z podaniem wag tych kryteriów i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77777777" w:rsidR="00E279FA" w:rsidRPr="0001366E" w:rsidRDefault="00883F9D" w:rsidP="006B3DBC">
      <w:pPr>
        <w:numPr>
          <w:ilvl w:val="0"/>
          <w:numId w:val="20"/>
        </w:numPr>
        <w:spacing w:line="360" w:lineRule="auto"/>
        <w:ind w:left="924" w:hanging="476"/>
      </w:pPr>
      <w:r w:rsidRPr="0001366E">
        <w:rPr>
          <w:b/>
        </w:rPr>
        <w:t>Cena (C)</w:t>
      </w:r>
      <w:r w:rsidRPr="0001366E">
        <w:t xml:space="preserve"> – waga kryterium </w:t>
      </w:r>
      <w:r w:rsidRPr="0001366E">
        <w:rPr>
          <w:smallCaps/>
        </w:rPr>
        <w:t>  </w:t>
      </w:r>
      <w:r w:rsidR="009F71B5" w:rsidRPr="0001366E">
        <w:rPr>
          <w:smallCaps/>
        </w:rPr>
        <w:t>60</w:t>
      </w:r>
      <w:r w:rsidRPr="0001366E">
        <w:t>%;</w:t>
      </w:r>
    </w:p>
    <w:p w14:paraId="1554F19D" w14:textId="77777777" w:rsidR="00E279FA" w:rsidRPr="0001366E" w:rsidRDefault="004B1522" w:rsidP="006B3DBC">
      <w:pPr>
        <w:numPr>
          <w:ilvl w:val="0"/>
          <w:numId w:val="20"/>
        </w:numPr>
        <w:spacing w:line="360" w:lineRule="auto"/>
        <w:ind w:left="924" w:hanging="476"/>
      </w:pPr>
      <w:r w:rsidRPr="0001366E">
        <w:rPr>
          <w:b/>
        </w:rPr>
        <w:t>Doświadczenie osób wskazanych do wykonania przedmiotu zamówienia (D)</w:t>
      </w:r>
      <w:r w:rsidR="00883F9D" w:rsidRPr="0001366E">
        <w:t xml:space="preserve">– waga kryterium </w:t>
      </w:r>
      <w:r w:rsidR="00883F9D" w:rsidRPr="0001366E">
        <w:rPr>
          <w:smallCaps/>
        </w:rPr>
        <w:t>  </w:t>
      </w:r>
      <w:r w:rsidRPr="0001366E">
        <w:rPr>
          <w:smallCaps/>
        </w:rPr>
        <w:t>40</w:t>
      </w:r>
      <w:r w:rsidR="00883F9D" w:rsidRPr="0001366E">
        <w:t>%.</w:t>
      </w:r>
    </w:p>
    <w:p w14:paraId="76C5DFB6" w14:textId="77777777" w:rsidR="00E279FA" w:rsidRPr="0001366E" w:rsidRDefault="00883F9D" w:rsidP="006B3DBC">
      <w:pPr>
        <w:numPr>
          <w:ilvl w:val="0"/>
          <w:numId w:val="13"/>
        </w:numPr>
        <w:spacing w:line="360" w:lineRule="auto"/>
        <w:ind w:left="426"/>
        <w:jc w:val="both"/>
      </w:pPr>
      <w:r w:rsidRPr="0001366E">
        <w:t>Zasady oceny ofert w poszczególnych kryteriach:</w:t>
      </w:r>
    </w:p>
    <w:p w14:paraId="2024347E" w14:textId="77777777" w:rsidR="00E279FA" w:rsidRPr="0001366E" w:rsidRDefault="00883F9D" w:rsidP="006B3DBC">
      <w:pPr>
        <w:numPr>
          <w:ilvl w:val="0"/>
          <w:numId w:val="22"/>
        </w:numPr>
        <w:spacing w:line="360" w:lineRule="auto"/>
        <w:ind w:left="910" w:hanging="484"/>
        <w:jc w:val="both"/>
      </w:pPr>
      <w:r w:rsidRPr="0001366E">
        <w:rPr>
          <w:b/>
        </w:rPr>
        <w:t xml:space="preserve">Cena (C) – waga </w:t>
      </w:r>
      <w:r w:rsidRPr="0001366E">
        <w:rPr>
          <w:b/>
          <w:smallCaps/>
        </w:rPr>
        <w:t> </w:t>
      </w:r>
      <w:r w:rsidR="004B1522" w:rsidRPr="0001366E">
        <w:rPr>
          <w:b/>
          <w:smallCaps/>
        </w:rPr>
        <w:t>60</w:t>
      </w:r>
      <w:r w:rsidRPr="0001366E">
        <w:rPr>
          <w:b/>
          <w:smallCaps/>
        </w:rPr>
        <w:t> </w:t>
      </w:r>
      <w:r w:rsidRPr="0001366E">
        <w:rPr>
          <w:b/>
        </w:rPr>
        <w:t>%</w:t>
      </w:r>
    </w:p>
    <w:p w14:paraId="27FE847D" w14:textId="77777777" w:rsidR="00E279FA" w:rsidRPr="0001366E" w:rsidRDefault="00883F9D">
      <w:pPr>
        <w:spacing w:before="240" w:line="360" w:lineRule="auto"/>
        <w:ind w:left="2124"/>
        <w:jc w:val="both"/>
      </w:pPr>
      <w:r w:rsidRPr="0001366E">
        <w:rPr>
          <w:b/>
        </w:rPr>
        <w:t>cena najniższa brutto*</w:t>
      </w:r>
    </w:p>
    <w:p w14:paraId="6A2D8A85" w14:textId="77777777" w:rsidR="00E279FA" w:rsidRPr="0001366E" w:rsidRDefault="00883F9D">
      <w:pPr>
        <w:spacing w:line="360" w:lineRule="auto"/>
        <w:ind w:left="1080"/>
        <w:jc w:val="both"/>
      </w:pPr>
      <w:r w:rsidRPr="0001366E">
        <w:rPr>
          <w:b/>
        </w:rPr>
        <w:t>C =</w:t>
      </w:r>
      <w:r w:rsidRPr="0001366E">
        <w:rPr>
          <w:strike/>
        </w:rPr>
        <w:t xml:space="preserve">------------------------------------------------ </w:t>
      </w:r>
      <w:r w:rsidRPr="0001366E">
        <w:rPr>
          <w:b/>
        </w:rPr>
        <w:t xml:space="preserve">x 100 pkt x </w:t>
      </w:r>
      <w:r w:rsidRPr="0001366E">
        <w:rPr>
          <w:b/>
          <w:smallCaps/>
        </w:rPr>
        <w:t> </w:t>
      </w:r>
      <w:r w:rsidR="004B1522" w:rsidRPr="0001366E">
        <w:rPr>
          <w:b/>
          <w:smallCaps/>
        </w:rPr>
        <w:t>60</w:t>
      </w:r>
      <w:r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4F264A72" w14:textId="77777777" w:rsidR="00E279FA" w:rsidRPr="0001366E" w:rsidRDefault="004B1522" w:rsidP="006B3DBC">
      <w:pPr>
        <w:numPr>
          <w:ilvl w:val="0"/>
          <w:numId w:val="22"/>
        </w:numPr>
        <w:spacing w:line="360" w:lineRule="auto"/>
        <w:ind w:left="910" w:hanging="484"/>
        <w:jc w:val="both"/>
      </w:pPr>
      <w:r w:rsidRPr="0001366E">
        <w:rPr>
          <w:b/>
        </w:rPr>
        <w:t>Doświadczenie osób wskazanych do wykonania przedmiotu zamówienia (D)</w:t>
      </w:r>
      <w:r w:rsidR="00883F9D" w:rsidRPr="0001366E">
        <w:rPr>
          <w:b/>
        </w:rPr>
        <w:tab/>
        <w:t xml:space="preserve">      – waga </w:t>
      </w:r>
      <w:r w:rsidR="00883F9D" w:rsidRPr="0001366E">
        <w:rPr>
          <w:b/>
          <w:smallCaps/>
        </w:rPr>
        <w:t>  </w:t>
      </w:r>
      <w:r w:rsidRPr="0001366E">
        <w:rPr>
          <w:b/>
          <w:smallCaps/>
        </w:rPr>
        <w:t>40</w:t>
      </w:r>
      <w:r w:rsidR="00883F9D" w:rsidRPr="0001366E">
        <w:rPr>
          <w:b/>
          <w:smallCaps/>
        </w:rPr>
        <w:t> </w:t>
      </w:r>
      <w:r w:rsidR="00883F9D" w:rsidRPr="0001366E">
        <w:rPr>
          <w:b/>
        </w:rPr>
        <w:t>%</w:t>
      </w:r>
    </w:p>
    <w:p w14:paraId="0B02D288" w14:textId="77777777" w:rsidR="004B1522" w:rsidRPr="0001366E" w:rsidRDefault="004B1522" w:rsidP="004B1522">
      <w:pPr>
        <w:spacing w:line="240" w:lineRule="auto"/>
        <w:jc w:val="both"/>
        <w:rPr>
          <w:rFonts w:eastAsia="Times New Roman"/>
        </w:rPr>
      </w:pPr>
      <w:r w:rsidRPr="0001366E">
        <w:rPr>
          <w:rFonts w:eastAsia="Times New Roman"/>
        </w:rPr>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06535A17" w14:textId="77777777" w:rsidR="004B1522" w:rsidRPr="0001366E" w:rsidRDefault="004B1522" w:rsidP="004B1522">
      <w:pPr>
        <w:spacing w:line="240" w:lineRule="auto"/>
        <w:jc w:val="both"/>
        <w:rPr>
          <w:rFonts w:eastAsia="Times New Roman"/>
        </w:rPr>
      </w:pPr>
    </w:p>
    <w:p w14:paraId="46B3DE0D" w14:textId="18994B73" w:rsidR="004B1522" w:rsidRPr="0001366E" w:rsidRDefault="004B1522" w:rsidP="006B3DBC">
      <w:pPr>
        <w:numPr>
          <w:ilvl w:val="0"/>
          <w:numId w:val="30"/>
        </w:numPr>
        <w:spacing w:line="240" w:lineRule="auto"/>
        <w:contextualSpacing/>
        <w:jc w:val="both"/>
        <w:rPr>
          <w:rFonts w:eastAsia="Times New Roman"/>
        </w:rPr>
      </w:pPr>
      <w:r w:rsidRPr="0001366E">
        <w:rPr>
          <w:rFonts w:eastAsia="Times New Roman"/>
        </w:rPr>
        <w:t xml:space="preserve">Przeprowadzenie 1 kursu/szkolenia/zajęć/wykładu w zakresie tematyki przedmiotu zamówienia – 0 pkt. </w:t>
      </w:r>
    </w:p>
    <w:p w14:paraId="7D5A6D50" w14:textId="5878E1CB" w:rsidR="004B1522" w:rsidRPr="0001366E" w:rsidRDefault="004B1522" w:rsidP="006B3DBC">
      <w:pPr>
        <w:numPr>
          <w:ilvl w:val="0"/>
          <w:numId w:val="30"/>
        </w:numPr>
        <w:spacing w:line="240" w:lineRule="auto"/>
        <w:contextualSpacing/>
        <w:jc w:val="both"/>
        <w:rPr>
          <w:rFonts w:eastAsia="Times New Roman"/>
        </w:rPr>
      </w:pPr>
      <w:r w:rsidRPr="0001366E">
        <w:rPr>
          <w:rFonts w:eastAsia="Times New Roman"/>
        </w:rPr>
        <w:t xml:space="preserve">Przeprowadzenie 2 – 4 kursów/szkoleń/zajęć/wykładów w zakresie tematyki przedmiotu zamówienia– 10 pkt. </w:t>
      </w:r>
    </w:p>
    <w:p w14:paraId="1120990A" w14:textId="7AA06057" w:rsidR="004B1522" w:rsidRPr="0001366E" w:rsidRDefault="004B1522" w:rsidP="006B3DBC">
      <w:pPr>
        <w:numPr>
          <w:ilvl w:val="0"/>
          <w:numId w:val="30"/>
        </w:numPr>
        <w:spacing w:line="240" w:lineRule="auto"/>
        <w:contextualSpacing/>
        <w:jc w:val="both"/>
        <w:rPr>
          <w:rFonts w:eastAsia="Times New Roman"/>
        </w:rPr>
      </w:pPr>
      <w:r w:rsidRPr="0001366E">
        <w:rPr>
          <w:rFonts w:eastAsia="Times New Roman"/>
        </w:rPr>
        <w:t>Przeprowadzenie 5 – 7 kursów/szkoleń/zajęć/wykładów w zakresie tematyki przedmiotu zamówienia– 20 pkt.</w:t>
      </w:r>
    </w:p>
    <w:p w14:paraId="2A9BDB97" w14:textId="20A591CE" w:rsidR="004B1522" w:rsidRPr="0001366E" w:rsidRDefault="004B1522" w:rsidP="006B3DBC">
      <w:pPr>
        <w:numPr>
          <w:ilvl w:val="0"/>
          <w:numId w:val="30"/>
        </w:numPr>
        <w:spacing w:line="240" w:lineRule="auto"/>
        <w:contextualSpacing/>
        <w:jc w:val="both"/>
        <w:rPr>
          <w:rFonts w:eastAsia="Times New Roman"/>
        </w:rPr>
      </w:pPr>
      <w:r w:rsidRPr="0001366E">
        <w:rPr>
          <w:rFonts w:eastAsia="Times New Roman"/>
        </w:rPr>
        <w:t>Przeprowadzenie 8- 10 kursów/szkoleń/zajęć/wykładów w zakresie tematyki przedmiotu zamówienia– 30 pkt.</w:t>
      </w:r>
    </w:p>
    <w:p w14:paraId="38440A38" w14:textId="33DAFD35" w:rsidR="004B1522" w:rsidRDefault="004B1522" w:rsidP="006B3DBC">
      <w:pPr>
        <w:numPr>
          <w:ilvl w:val="0"/>
          <w:numId w:val="30"/>
        </w:numPr>
        <w:spacing w:line="240" w:lineRule="auto"/>
        <w:contextualSpacing/>
        <w:jc w:val="both"/>
        <w:rPr>
          <w:rFonts w:eastAsia="Times New Roman"/>
        </w:rPr>
      </w:pPr>
      <w:r w:rsidRPr="0001366E">
        <w:rPr>
          <w:rFonts w:eastAsia="Times New Roman"/>
        </w:rPr>
        <w:t>Przeprowadzenie 11 kursów/szkoleń/zajęć/wykładów w zakresie tematyki przedmiotu zamówienia – 40 pkt.</w:t>
      </w:r>
    </w:p>
    <w:p w14:paraId="7330B451" w14:textId="2E826E01" w:rsidR="001442D6" w:rsidRDefault="001442D6" w:rsidP="001442D6">
      <w:pPr>
        <w:spacing w:line="240" w:lineRule="auto"/>
        <w:contextualSpacing/>
        <w:jc w:val="both"/>
        <w:rPr>
          <w:rFonts w:eastAsia="Times New Roman"/>
        </w:rPr>
      </w:pPr>
    </w:p>
    <w:p w14:paraId="4F928DFE" w14:textId="04CE9291" w:rsidR="00C946BF" w:rsidRPr="00C946BF" w:rsidRDefault="001442D6" w:rsidP="001442D6">
      <w:pPr>
        <w:spacing w:line="240" w:lineRule="auto"/>
        <w:contextualSpacing/>
        <w:jc w:val="both"/>
        <w:rPr>
          <w:rFonts w:eastAsia="Times New Roman"/>
          <w:b/>
          <w:bCs/>
        </w:rPr>
      </w:pPr>
      <w:r w:rsidRPr="00C946BF">
        <w:rPr>
          <w:rFonts w:eastAsia="Times New Roman"/>
          <w:b/>
          <w:bCs/>
        </w:rPr>
        <w:t xml:space="preserve">Poprzez wyrażenie </w:t>
      </w:r>
      <w:r w:rsidRPr="00C946BF">
        <w:rPr>
          <w:rFonts w:eastAsia="Times New Roman"/>
          <w:b/>
          <w:bCs/>
          <w:i/>
          <w:iCs/>
        </w:rPr>
        <w:t xml:space="preserve">„w zakresie tematyki przedmiotu zamówienia” </w:t>
      </w:r>
      <w:r w:rsidRPr="00C946BF">
        <w:rPr>
          <w:rFonts w:eastAsia="Times New Roman"/>
          <w:b/>
          <w:bCs/>
        </w:rPr>
        <w:t>Zamawiający uznaje:</w:t>
      </w:r>
    </w:p>
    <w:p w14:paraId="189218B2" w14:textId="2926FD39" w:rsidR="001442D6" w:rsidRDefault="001442D6" w:rsidP="006B3DBC">
      <w:pPr>
        <w:pStyle w:val="Akapitzlist"/>
        <w:numPr>
          <w:ilvl w:val="0"/>
          <w:numId w:val="31"/>
        </w:numPr>
        <w:spacing w:line="240" w:lineRule="auto"/>
        <w:jc w:val="both"/>
        <w:rPr>
          <w:rFonts w:eastAsia="Times New Roman"/>
        </w:rPr>
      </w:pPr>
      <w:r w:rsidRPr="00C946BF">
        <w:rPr>
          <w:rFonts w:eastAsia="Times New Roman"/>
        </w:rPr>
        <w:t>Dla części nr 1 – przeprowadzenie kursów/szkoleń/zajęć/wykładów, które uprawniały uczestników do otrzymania certyfikatu z kodem zawodu „Specjalista ds. kadr lub Specjalista ds. płac (kod zawodu: 242307 oraz 242310)</w:t>
      </w:r>
      <w:r w:rsidR="00C946BF" w:rsidRPr="00C946BF">
        <w:rPr>
          <w:rFonts w:eastAsia="Times New Roman"/>
        </w:rPr>
        <w:t xml:space="preserve"> lub przeprowadzenie kursów/szkoleń/zajęć/wykładów</w:t>
      </w:r>
      <w:r w:rsidR="00C946BF">
        <w:rPr>
          <w:rFonts w:eastAsia="Times New Roman"/>
        </w:rPr>
        <w:t xml:space="preserve">, w których programie zawierało się co najmniej jedno zagadnienie wymienione w pkt. 1 ppkt. f) opisu przedmiotu zamówienia dla części nr 1 i ich czas trwania wynosił min. 15 h. </w:t>
      </w:r>
    </w:p>
    <w:p w14:paraId="5CC2E977" w14:textId="1029FDCF" w:rsidR="001442D6" w:rsidRPr="00B449FC" w:rsidRDefault="00C946BF" w:rsidP="006B3DBC">
      <w:pPr>
        <w:pStyle w:val="Akapitzlist"/>
        <w:numPr>
          <w:ilvl w:val="0"/>
          <w:numId w:val="31"/>
        </w:numPr>
        <w:spacing w:line="240" w:lineRule="auto"/>
        <w:jc w:val="both"/>
        <w:rPr>
          <w:rFonts w:eastAsia="Times New Roman"/>
        </w:rPr>
      </w:pPr>
      <w:r w:rsidRPr="00C946BF">
        <w:rPr>
          <w:rFonts w:eastAsia="Times New Roman"/>
        </w:rPr>
        <w:t xml:space="preserve">Dla części nr </w:t>
      </w:r>
      <w:r>
        <w:rPr>
          <w:rFonts w:eastAsia="Times New Roman"/>
        </w:rPr>
        <w:t>2</w:t>
      </w:r>
      <w:r w:rsidRPr="00C946BF">
        <w:rPr>
          <w:rFonts w:eastAsia="Times New Roman"/>
        </w:rPr>
        <w:t xml:space="preserve"> – przeprowadzenie kursów/szkoleń/zajęć/wykładów, które uprawniały uczestników do </w:t>
      </w:r>
      <w:r>
        <w:rPr>
          <w:rFonts w:eastAsia="Times New Roman"/>
        </w:rPr>
        <w:t>uzyskania kwalifikacji B.30</w:t>
      </w:r>
      <w:r w:rsidRPr="00C946BF">
        <w:rPr>
          <w:rFonts w:eastAsia="Times New Roman"/>
        </w:rPr>
        <w:t xml:space="preserve"> lub przeprowadzenie kursów/szkoleń/zajęć/wykładów</w:t>
      </w:r>
      <w:r>
        <w:rPr>
          <w:rFonts w:eastAsia="Times New Roman"/>
        </w:rPr>
        <w:t xml:space="preserve">, w których programie zawierało się co najmniej jedno zagadnienie wymienione w pkt. 1 ppkt. f) opisu przedmiotu zamówienia dla części nr 2 i ich czas trwania wynosił min. 15 h. </w:t>
      </w:r>
    </w:p>
    <w:p w14:paraId="1E473D11" w14:textId="77777777" w:rsidR="001442D6" w:rsidRPr="0001366E" w:rsidRDefault="001442D6" w:rsidP="001442D6">
      <w:pPr>
        <w:spacing w:line="240" w:lineRule="auto"/>
        <w:ind w:left="720"/>
        <w:contextualSpacing/>
        <w:jc w:val="both"/>
        <w:rPr>
          <w:rFonts w:eastAsia="Times New Roman"/>
        </w:rPr>
      </w:pPr>
    </w:p>
    <w:p w14:paraId="2548E26F" w14:textId="5D231231" w:rsidR="004B1522" w:rsidRPr="0001366E" w:rsidRDefault="004B1522" w:rsidP="004B1522">
      <w:pPr>
        <w:spacing w:line="240" w:lineRule="auto"/>
        <w:jc w:val="both"/>
        <w:rPr>
          <w:rFonts w:eastAsia="Times New Roman"/>
        </w:rPr>
      </w:pPr>
      <w:r w:rsidRPr="0001366E">
        <w:rPr>
          <w:rFonts w:eastAsia="Times New Roman"/>
          <w:u w:val="single"/>
        </w:rPr>
        <w:t>Uwaga:</w:t>
      </w:r>
      <w:r w:rsidRPr="0001366E">
        <w:rPr>
          <w:rFonts w:eastAsia="Times New Roman"/>
        </w:rPr>
        <w:t xml:space="preserve"> Wykonawca może posługiwać się przy realizacji zamówienia większą liczbą osób zdolnych do wykonania dla każdej części zamówienia. Punkty za powyższe kryterium </w:t>
      </w:r>
      <w:r w:rsidRPr="0001366E">
        <w:rPr>
          <w:rFonts w:eastAsia="Times New Roman"/>
          <w:b/>
        </w:rPr>
        <w:t>(ilość przeprowadzonych kursów/ szkoleń/ zajęć/ wykładów</w:t>
      </w:r>
      <w:r w:rsidRPr="0001366E">
        <w:rPr>
          <w:rFonts w:eastAsia="Times New Roman"/>
        </w:rPr>
        <w:t>) zostaną przyznane w skali punktowej 0 – 40 punktów, na podstawie przedstawionego przez Wykonawcę zadeklarowanego doświadczenia, zawartego w formularzu ofertowym w wyodrębnionej rubryce według skali podanej powyżej.</w:t>
      </w:r>
    </w:p>
    <w:p w14:paraId="782378DD" w14:textId="77777777" w:rsidR="004B1522" w:rsidRPr="0001366E" w:rsidRDefault="004B1522" w:rsidP="004B1522">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9" w:name="_jdd1gpfct9cq" w:colFirst="0" w:colLast="0"/>
      <w:bookmarkEnd w:id="29"/>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6B3DBC">
      <w:pPr>
        <w:numPr>
          <w:ilvl w:val="0"/>
          <w:numId w:val="7"/>
        </w:numPr>
        <w:spacing w:line="360" w:lineRule="auto"/>
        <w:ind w:left="462" w:hanging="426"/>
        <w:jc w:val="both"/>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7777777" w:rsidR="00E279FA" w:rsidRPr="0001366E"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30" w:name="_8o16t0j5rcy" w:colFirst="0" w:colLast="0"/>
      <w:bookmarkEnd w:id="30"/>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31" w:name="_n1rtepxw0unn" w:colFirst="0" w:colLast="0"/>
      <w:bookmarkEnd w:id="31"/>
      <w:r>
        <w:t xml:space="preserve">XXIII. Informacje o treści zawieranej umowy oraz możliwości jej zmiany </w:t>
      </w:r>
    </w:p>
    <w:p w14:paraId="279C9DD4" w14:textId="14A2BD65"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32" w:name="_kmfqfyi30wag" w:colFirst="0" w:colLast="0"/>
      <w:bookmarkEnd w:id="32"/>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3" w:name="_uarrfy5kozla" w:colFirst="0" w:colLast="0"/>
      <w:bookmarkEnd w:id="33"/>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41F4C898"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8A21" w14:textId="77777777" w:rsidR="009D0342" w:rsidRDefault="009D0342">
      <w:pPr>
        <w:spacing w:line="240" w:lineRule="auto"/>
      </w:pPr>
      <w:r>
        <w:separator/>
      </w:r>
    </w:p>
  </w:endnote>
  <w:endnote w:type="continuationSeparator" w:id="0">
    <w:p w14:paraId="31B16822" w14:textId="77777777" w:rsidR="009D0342" w:rsidRDefault="009D0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17F3" w14:textId="77777777" w:rsidR="009D0342" w:rsidRDefault="009D0342">
      <w:pPr>
        <w:spacing w:line="240" w:lineRule="auto"/>
      </w:pPr>
      <w:r>
        <w:separator/>
      </w:r>
    </w:p>
  </w:footnote>
  <w:footnote w:type="continuationSeparator" w:id="0">
    <w:p w14:paraId="6EA6E515" w14:textId="77777777" w:rsidR="009D0342" w:rsidRDefault="009D0342">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B753" w14:textId="5A96A53F" w:rsidR="00B314B8" w:rsidRDefault="00B314B8">
    <w:pPr>
      <w:rPr>
        <w:rFonts w:ascii="Calibri" w:eastAsia="Calibri" w:hAnsi="Calibri" w:cs="Calibri"/>
        <w:color w:val="434343"/>
      </w:rPr>
    </w:pPr>
  </w:p>
  <w:p w14:paraId="7B4BCF7D" w14:textId="604E574C" w:rsidR="00602D33" w:rsidRDefault="00B314B8">
    <w:pPr>
      <w:rPr>
        <w:rFonts w:ascii="Calibri" w:eastAsia="Calibri" w:hAnsi="Calibri" w:cs="Calibri"/>
        <w:color w:val="434343"/>
      </w:rPr>
    </w:pPr>
    <w:r>
      <w:rPr>
        <w:noProof/>
      </w:rPr>
      <w:drawing>
        <wp:anchor distT="0" distB="0" distL="114300" distR="114300" simplePos="0" relativeHeight="251665408" behindDoc="0" locked="0" layoutInCell="0" allowOverlap="1" wp14:anchorId="4D6C10A3" wp14:editId="7A3BDD85">
          <wp:simplePos x="0" y="0"/>
          <wp:positionH relativeFrom="margin">
            <wp:align>center</wp:align>
          </wp:positionH>
          <wp:positionV relativeFrom="page">
            <wp:posOffset>390525</wp:posOffset>
          </wp:positionV>
          <wp:extent cx="6753225" cy="641675"/>
          <wp:effectExtent l="0" t="0" r="0" b="6350"/>
          <wp:wrapNone/>
          <wp:docPr id="2" name="Obraz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64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D33">
      <w:rPr>
        <w:rFonts w:ascii="Calibri" w:eastAsia="Calibri" w:hAnsi="Calibri" w:cs="Calibri"/>
        <w:color w:val="434343"/>
      </w:rPr>
      <w:t xml:space="preserve">Nr postępowania: </w:t>
    </w:r>
    <w:r w:rsidR="00DA627F">
      <w:rPr>
        <w:rFonts w:ascii="Calibri" w:eastAsia="Calibri" w:hAnsi="Calibri" w:cs="Calibri"/>
        <w:color w:val="434343"/>
      </w:rPr>
      <w:t xml:space="preserve"> PO.272</w:t>
    </w:r>
    <w:r w:rsidR="001F0B75">
      <w:rPr>
        <w:rFonts w:ascii="Calibri" w:eastAsia="Calibri" w:hAnsi="Calibri" w:cs="Calibri"/>
        <w:color w:val="434343"/>
      </w:rPr>
      <w:t>.</w:t>
    </w:r>
    <w:r w:rsidR="00DA627F">
      <w:rPr>
        <w:rFonts w:ascii="Calibri" w:eastAsia="Calibri" w:hAnsi="Calibri" w:cs="Calibri"/>
        <w:color w:val="434343"/>
      </w:rPr>
      <w:t>1.</w:t>
    </w:r>
    <w:r w:rsidR="00A43C60">
      <w:rPr>
        <w:rFonts w:ascii="Calibri" w:eastAsia="Calibri" w:hAnsi="Calibri" w:cs="Calibri"/>
        <w:color w:val="434343"/>
      </w:rPr>
      <w:t>3.</w:t>
    </w:r>
    <w:r w:rsidR="00DA627F">
      <w:rPr>
        <w:rFonts w:ascii="Calibri" w:eastAsia="Calibri" w:hAnsi="Calibri" w:cs="Calibri"/>
        <w:color w:val="434343"/>
      </w:rPr>
      <w:t>2021</w:t>
    </w:r>
  </w:p>
  <w:p w14:paraId="3A34800D" w14:textId="247D521D"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3E3569CF" w:rsidR="00602D33" w:rsidRDefault="00173B7C">
    <w:r>
      <w:rPr>
        <w:noProof/>
      </w:rPr>
      <w:drawing>
        <wp:anchor distT="0" distB="0" distL="114300" distR="114300" simplePos="0" relativeHeight="251663360" behindDoc="0" locked="0" layoutInCell="0" allowOverlap="1" wp14:anchorId="2228F0C9" wp14:editId="6197B25D">
          <wp:simplePos x="0" y="0"/>
          <wp:positionH relativeFrom="page">
            <wp:posOffset>457200</wp:posOffset>
          </wp:positionH>
          <wp:positionV relativeFrom="page">
            <wp:posOffset>280670</wp:posOffset>
          </wp:positionV>
          <wp:extent cx="6753225" cy="641675"/>
          <wp:effectExtent l="0" t="0" r="0" b="6350"/>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64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3"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5"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3"/>
  </w:num>
  <w:num w:numId="3">
    <w:abstractNumId w:val="19"/>
  </w:num>
  <w:num w:numId="4">
    <w:abstractNumId w:val="25"/>
  </w:num>
  <w:num w:numId="5">
    <w:abstractNumId w:val="11"/>
  </w:num>
  <w:num w:numId="6">
    <w:abstractNumId w:val="22"/>
  </w:num>
  <w:num w:numId="7">
    <w:abstractNumId w:val="18"/>
  </w:num>
  <w:num w:numId="8">
    <w:abstractNumId w:val="32"/>
  </w:num>
  <w:num w:numId="9">
    <w:abstractNumId w:val="29"/>
  </w:num>
  <w:num w:numId="10">
    <w:abstractNumId w:val="20"/>
  </w:num>
  <w:num w:numId="11">
    <w:abstractNumId w:val="26"/>
  </w:num>
  <w:num w:numId="12">
    <w:abstractNumId w:val="28"/>
  </w:num>
  <w:num w:numId="13">
    <w:abstractNumId w:val="38"/>
  </w:num>
  <w:num w:numId="14">
    <w:abstractNumId w:val="37"/>
  </w:num>
  <w:num w:numId="15">
    <w:abstractNumId w:val="35"/>
  </w:num>
  <w:num w:numId="16">
    <w:abstractNumId w:val="33"/>
  </w:num>
  <w:num w:numId="17">
    <w:abstractNumId w:val="8"/>
  </w:num>
  <w:num w:numId="18">
    <w:abstractNumId w:val="12"/>
  </w:num>
  <w:num w:numId="19">
    <w:abstractNumId w:val="30"/>
  </w:num>
  <w:num w:numId="20">
    <w:abstractNumId w:val="23"/>
  </w:num>
  <w:num w:numId="21">
    <w:abstractNumId w:val="16"/>
  </w:num>
  <w:num w:numId="22">
    <w:abstractNumId w:val="6"/>
  </w:num>
  <w:num w:numId="23">
    <w:abstractNumId w:val="15"/>
  </w:num>
  <w:num w:numId="24">
    <w:abstractNumId w:val="31"/>
  </w:num>
  <w:num w:numId="25">
    <w:abstractNumId w:val="27"/>
  </w:num>
  <w:num w:numId="26">
    <w:abstractNumId w:val="36"/>
  </w:num>
  <w:num w:numId="27">
    <w:abstractNumId w:val="24"/>
  </w:num>
  <w:num w:numId="28">
    <w:abstractNumId w:val="7"/>
  </w:num>
  <w:num w:numId="29">
    <w:abstractNumId w:val="34"/>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
  </w:num>
  <w:num w:numId="34">
    <w:abstractNumId w:val="2"/>
  </w:num>
  <w:num w:numId="35">
    <w:abstractNumId w:val="3"/>
  </w:num>
  <w:num w:numId="36">
    <w:abstractNumId w:val="4"/>
  </w:num>
  <w:num w:numId="37">
    <w:abstractNumId w:val="5"/>
  </w:num>
  <w:num w:numId="38">
    <w:abstractNumId w:val="9"/>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607FC"/>
    <w:rsid w:val="000807BB"/>
    <w:rsid w:val="000E3604"/>
    <w:rsid w:val="000F7E13"/>
    <w:rsid w:val="00120954"/>
    <w:rsid w:val="00120FEB"/>
    <w:rsid w:val="00122FC2"/>
    <w:rsid w:val="001442D6"/>
    <w:rsid w:val="001646A8"/>
    <w:rsid w:val="00173B7C"/>
    <w:rsid w:val="00186A03"/>
    <w:rsid w:val="001870C6"/>
    <w:rsid w:val="001A7E5C"/>
    <w:rsid w:val="001B2F11"/>
    <w:rsid w:val="001F0B75"/>
    <w:rsid w:val="001F65C3"/>
    <w:rsid w:val="00217887"/>
    <w:rsid w:val="0022498F"/>
    <w:rsid w:val="00226467"/>
    <w:rsid w:val="00226E29"/>
    <w:rsid w:val="0027666D"/>
    <w:rsid w:val="002938D1"/>
    <w:rsid w:val="002C42F9"/>
    <w:rsid w:val="00301B90"/>
    <w:rsid w:val="00331AAF"/>
    <w:rsid w:val="00332753"/>
    <w:rsid w:val="003A414D"/>
    <w:rsid w:val="003B35F6"/>
    <w:rsid w:val="003C2EC1"/>
    <w:rsid w:val="003C58DA"/>
    <w:rsid w:val="003E3B74"/>
    <w:rsid w:val="00410AF0"/>
    <w:rsid w:val="004238B8"/>
    <w:rsid w:val="00440150"/>
    <w:rsid w:val="00442EE2"/>
    <w:rsid w:val="00446324"/>
    <w:rsid w:val="00460D78"/>
    <w:rsid w:val="00495FEF"/>
    <w:rsid w:val="004A270D"/>
    <w:rsid w:val="004A2C0A"/>
    <w:rsid w:val="004A3645"/>
    <w:rsid w:val="004B1522"/>
    <w:rsid w:val="004B20A4"/>
    <w:rsid w:val="004D25CC"/>
    <w:rsid w:val="004D776C"/>
    <w:rsid w:val="00530616"/>
    <w:rsid w:val="00574633"/>
    <w:rsid w:val="00577EE4"/>
    <w:rsid w:val="00580BDF"/>
    <w:rsid w:val="005A22FB"/>
    <w:rsid w:val="005C2F6D"/>
    <w:rsid w:val="00602D33"/>
    <w:rsid w:val="0060369B"/>
    <w:rsid w:val="006330BF"/>
    <w:rsid w:val="006512AB"/>
    <w:rsid w:val="00653243"/>
    <w:rsid w:val="00657BDD"/>
    <w:rsid w:val="006770EA"/>
    <w:rsid w:val="006B3DBC"/>
    <w:rsid w:val="006C7ECE"/>
    <w:rsid w:val="006F3CB3"/>
    <w:rsid w:val="0071091D"/>
    <w:rsid w:val="00722A24"/>
    <w:rsid w:val="007A7C96"/>
    <w:rsid w:val="007B44B4"/>
    <w:rsid w:val="007B6363"/>
    <w:rsid w:val="007E4BD1"/>
    <w:rsid w:val="007F1AE0"/>
    <w:rsid w:val="00802DB8"/>
    <w:rsid w:val="00870087"/>
    <w:rsid w:val="00873FA8"/>
    <w:rsid w:val="00883F9D"/>
    <w:rsid w:val="0088791F"/>
    <w:rsid w:val="008B14CE"/>
    <w:rsid w:val="008B428B"/>
    <w:rsid w:val="00914292"/>
    <w:rsid w:val="009813BC"/>
    <w:rsid w:val="00986373"/>
    <w:rsid w:val="009C7833"/>
    <w:rsid w:val="009D0342"/>
    <w:rsid w:val="009F4F76"/>
    <w:rsid w:val="009F71B5"/>
    <w:rsid w:val="00A42DC6"/>
    <w:rsid w:val="00A43C60"/>
    <w:rsid w:val="00A82E93"/>
    <w:rsid w:val="00AB3A22"/>
    <w:rsid w:val="00AC3F5C"/>
    <w:rsid w:val="00AD07A0"/>
    <w:rsid w:val="00AE48C6"/>
    <w:rsid w:val="00AF77BF"/>
    <w:rsid w:val="00B2140F"/>
    <w:rsid w:val="00B257DF"/>
    <w:rsid w:val="00B314B8"/>
    <w:rsid w:val="00B449FC"/>
    <w:rsid w:val="00B52BEE"/>
    <w:rsid w:val="00B64A4A"/>
    <w:rsid w:val="00BA58E6"/>
    <w:rsid w:val="00BD09F2"/>
    <w:rsid w:val="00BE1F6D"/>
    <w:rsid w:val="00C16173"/>
    <w:rsid w:val="00C3373C"/>
    <w:rsid w:val="00C76C8A"/>
    <w:rsid w:val="00C9153C"/>
    <w:rsid w:val="00C946BF"/>
    <w:rsid w:val="00C97889"/>
    <w:rsid w:val="00CB0907"/>
    <w:rsid w:val="00CB2C11"/>
    <w:rsid w:val="00CB7298"/>
    <w:rsid w:val="00CC6CCE"/>
    <w:rsid w:val="00CD50BB"/>
    <w:rsid w:val="00CE4717"/>
    <w:rsid w:val="00CE75B0"/>
    <w:rsid w:val="00D55E7F"/>
    <w:rsid w:val="00D5635C"/>
    <w:rsid w:val="00D67C4C"/>
    <w:rsid w:val="00DA10F2"/>
    <w:rsid w:val="00DA627F"/>
    <w:rsid w:val="00E20FF1"/>
    <w:rsid w:val="00E279FA"/>
    <w:rsid w:val="00E55756"/>
    <w:rsid w:val="00E6323B"/>
    <w:rsid w:val="00E76DAC"/>
    <w:rsid w:val="00E84F14"/>
    <w:rsid w:val="00E95A8E"/>
    <w:rsid w:val="00EA5BB1"/>
    <w:rsid w:val="00EB32AB"/>
    <w:rsid w:val="00F0484E"/>
    <w:rsid w:val="00F14095"/>
    <w:rsid w:val="00F63D17"/>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23</Pages>
  <Words>7085</Words>
  <Characters>42513</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Pirycka</cp:lastModifiedBy>
  <cp:revision>17</cp:revision>
  <cp:lastPrinted>2021-04-21T07:55:00Z</cp:lastPrinted>
  <dcterms:created xsi:type="dcterms:W3CDTF">2021-03-22T08:16:00Z</dcterms:created>
  <dcterms:modified xsi:type="dcterms:W3CDTF">2021-04-23T06:46:00Z</dcterms:modified>
</cp:coreProperties>
</file>