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CD02F" w14:textId="7AEE5B35" w:rsidR="008D1A28" w:rsidRPr="00495A99" w:rsidRDefault="00D82E8A" w:rsidP="00AE2D14">
      <w:pPr>
        <w:spacing w:after="0"/>
        <w:jc w:val="center"/>
        <w:rPr>
          <w:rFonts w:ascii="Times New Roman" w:hAnsi="Times New Roman"/>
          <w:b/>
          <w:bCs/>
        </w:rPr>
      </w:pPr>
      <w:r w:rsidRPr="00495A99">
        <w:rPr>
          <w:rFonts w:ascii="Times New Roman" w:hAnsi="Times New Roman"/>
          <w:b/>
          <w:bCs/>
        </w:rPr>
        <w:t>Opis przedmiotu zamówienia</w:t>
      </w:r>
    </w:p>
    <w:p w14:paraId="252DF824" w14:textId="77777777" w:rsidR="00AE2D14" w:rsidRPr="00495A99" w:rsidRDefault="00AE2D14" w:rsidP="00AE2D14">
      <w:pPr>
        <w:spacing w:after="0"/>
        <w:jc w:val="center"/>
        <w:rPr>
          <w:rFonts w:ascii="Times New Roman" w:hAnsi="Times New Roman"/>
          <w:b/>
          <w:bCs/>
        </w:rPr>
      </w:pPr>
    </w:p>
    <w:p w14:paraId="09856768" w14:textId="6826ABD5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Zamawiający realizuje projekt zatytułowany „Kompleksowa rekultywacja jezior: Mielenko, Karczemne, Klasztorne Małe i Klasztorne Duże w Kartuzach”. W ramach projektu wykonywane są m.in. prace </w:t>
      </w:r>
      <w:proofErr w:type="spellStart"/>
      <w:r w:rsidRPr="00495A99">
        <w:rPr>
          <w:rFonts w:ascii="Times New Roman" w:hAnsi="Times New Roman"/>
        </w:rPr>
        <w:t>refulacyjne</w:t>
      </w:r>
      <w:proofErr w:type="spellEnd"/>
      <w:r w:rsidRPr="00495A99">
        <w:rPr>
          <w:rFonts w:ascii="Times New Roman" w:hAnsi="Times New Roman"/>
        </w:rPr>
        <w:t xml:space="preserve"> na Jeziorze Karczemnym w Kartuzach, polegając</w:t>
      </w:r>
      <w:r w:rsidR="002D1839" w:rsidRPr="00495A99">
        <w:rPr>
          <w:rFonts w:ascii="Times New Roman" w:hAnsi="Times New Roman"/>
        </w:rPr>
        <w:t>e</w:t>
      </w:r>
      <w:r w:rsidRPr="00495A99">
        <w:rPr>
          <w:rFonts w:ascii="Times New Roman" w:hAnsi="Times New Roman"/>
        </w:rPr>
        <w:t xml:space="preserve"> na wydobyciu warstwy osadów dennych wraz z wodami </w:t>
      </w:r>
      <w:proofErr w:type="spellStart"/>
      <w:r w:rsidRPr="00495A99">
        <w:rPr>
          <w:rFonts w:ascii="Times New Roman" w:hAnsi="Times New Roman"/>
        </w:rPr>
        <w:t>nadosadowymi</w:t>
      </w:r>
      <w:proofErr w:type="spellEnd"/>
      <w:r w:rsidRPr="00495A99">
        <w:rPr>
          <w:rFonts w:ascii="Times New Roman" w:hAnsi="Times New Roman"/>
        </w:rPr>
        <w:t xml:space="preserve"> i ich transport na teren gminnej oczyszczalni ścieków w Kartuzach. Jednym z elementów prac </w:t>
      </w:r>
      <w:proofErr w:type="spellStart"/>
      <w:r w:rsidRPr="00495A99">
        <w:rPr>
          <w:rFonts w:ascii="Times New Roman" w:hAnsi="Times New Roman"/>
        </w:rPr>
        <w:t>refulacyjnych</w:t>
      </w:r>
      <w:proofErr w:type="spellEnd"/>
      <w:r w:rsidRPr="00495A99">
        <w:rPr>
          <w:rFonts w:ascii="Times New Roman" w:hAnsi="Times New Roman"/>
        </w:rPr>
        <w:t xml:space="preserve"> było przeprowadzenie skanowania ferromagnetycznego całego jeziora – raport z przedmiotowego skanowania przedstawiono w załączeniu do SIWZ. Wyniki badań wskazują na zaleganie na dnie jeziora obiekt</w:t>
      </w:r>
      <w:r w:rsidR="008C5F2D" w:rsidRPr="00495A99">
        <w:rPr>
          <w:rFonts w:ascii="Times New Roman" w:hAnsi="Times New Roman"/>
        </w:rPr>
        <w:t>ów</w:t>
      </w:r>
      <w:r w:rsidRPr="00495A99">
        <w:rPr>
          <w:rFonts w:ascii="Times New Roman" w:hAnsi="Times New Roman"/>
        </w:rPr>
        <w:t xml:space="preserve"> wielkogabarytow</w:t>
      </w:r>
      <w:r w:rsidR="008C5F2D" w:rsidRPr="00495A99">
        <w:rPr>
          <w:rFonts w:ascii="Times New Roman" w:hAnsi="Times New Roman"/>
        </w:rPr>
        <w:t>ych</w:t>
      </w:r>
      <w:r w:rsidRPr="00495A99">
        <w:rPr>
          <w:rFonts w:ascii="Times New Roman" w:hAnsi="Times New Roman"/>
        </w:rPr>
        <w:t>, któr</w:t>
      </w:r>
      <w:r w:rsidR="008C5F2D" w:rsidRPr="00495A99">
        <w:rPr>
          <w:rFonts w:ascii="Times New Roman" w:hAnsi="Times New Roman"/>
        </w:rPr>
        <w:t>ych</w:t>
      </w:r>
      <w:r w:rsidRPr="00495A99">
        <w:rPr>
          <w:rFonts w:ascii="Times New Roman" w:hAnsi="Times New Roman"/>
        </w:rPr>
        <w:t xml:space="preserve"> inwentaryzację przedstawiono w załączeniu do SIWZ.   </w:t>
      </w:r>
    </w:p>
    <w:p w14:paraId="23A8FB88" w14:textId="15C68DBE" w:rsidR="002F2D25" w:rsidRPr="00495A99" w:rsidRDefault="00525F1F" w:rsidP="00C90B1D">
      <w:pPr>
        <w:numPr>
          <w:ilvl w:val="0"/>
          <w:numId w:val="3"/>
        </w:numPr>
        <w:spacing w:after="0" w:line="271" w:lineRule="auto"/>
        <w:ind w:right="176" w:hanging="419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Przedmiotem zamówienia jest oczyszczenie dna jeziora z przedmiotow</w:t>
      </w:r>
      <w:r w:rsidR="00367512" w:rsidRPr="00495A99">
        <w:rPr>
          <w:rFonts w:ascii="Times New Roman" w:hAnsi="Times New Roman"/>
        </w:rPr>
        <w:t>ych</w:t>
      </w:r>
      <w:r w:rsidRPr="00495A99">
        <w:rPr>
          <w:rFonts w:ascii="Times New Roman" w:hAnsi="Times New Roman"/>
        </w:rPr>
        <w:t xml:space="preserve"> obiekt</w:t>
      </w:r>
      <w:r w:rsidR="00367512" w:rsidRPr="00495A99">
        <w:rPr>
          <w:rFonts w:ascii="Times New Roman" w:hAnsi="Times New Roman"/>
        </w:rPr>
        <w:t>ów</w:t>
      </w:r>
      <w:r w:rsidR="006D1542" w:rsidRPr="00495A99">
        <w:rPr>
          <w:rFonts w:ascii="Times New Roman" w:hAnsi="Times New Roman"/>
        </w:rPr>
        <w:t>; zamówienie</w:t>
      </w:r>
      <w:r w:rsidRPr="00495A99">
        <w:rPr>
          <w:rFonts w:ascii="Times New Roman" w:hAnsi="Times New Roman"/>
        </w:rPr>
        <w:t xml:space="preserve"> będzie polegało na odsłonięciu, sprawdzeniu, wydobyciu i utylizacji obiektów innych niż niebezpieczne wskazanych w Raporcie z badań ferromagnetycznych</w:t>
      </w:r>
      <w:r w:rsidR="00E118A4" w:rsidRPr="00495A99">
        <w:rPr>
          <w:rFonts w:ascii="Times New Roman" w:hAnsi="Times New Roman"/>
        </w:rPr>
        <w:t xml:space="preserve"> </w:t>
      </w:r>
      <w:r w:rsidR="00B479D4" w:rsidRPr="00495A99">
        <w:rPr>
          <w:rFonts w:ascii="Times New Roman" w:hAnsi="Times New Roman"/>
        </w:rPr>
        <w:t>(obiekty zlokalizowane na granicy sektora 1 i 2</w:t>
      </w:r>
      <w:r w:rsidR="002731E5" w:rsidRPr="00495A99">
        <w:rPr>
          <w:rFonts w:ascii="Times New Roman" w:hAnsi="Times New Roman"/>
        </w:rPr>
        <w:t xml:space="preserve"> – przedmiotem zadania nie jest obiekt wskazany w raporcie w sektorze numer 3</w:t>
      </w:r>
      <w:r w:rsidR="00B479D4" w:rsidRPr="00495A99">
        <w:rPr>
          <w:rFonts w:ascii="Times New Roman" w:hAnsi="Times New Roman"/>
        </w:rPr>
        <w:t xml:space="preserve">) </w:t>
      </w:r>
      <w:r w:rsidR="00E118A4" w:rsidRPr="00495A99">
        <w:rPr>
          <w:rFonts w:ascii="Times New Roman" w:hAnsi="Times New Roman"/>
        </w:rPr>
        <w:t>oraz Inwentaryzacji</w:t>
      </w:r>
      <w:r w:rsidRPr="00495A99">
        <w:rPr>
          <w:rFonts w:ascii="Times New Roman" w:hAnsi="Times New Roman"/>
        </w:rPr>
        <w:t>. Z przywołan</w:t>
      </w:r>
      <w:r w:rsidR="00E118A4" w:rsidRPr="00495A99">
        <w:rPr>
          <w:rFonts w:ascii="Times New Roman" w:hAnsi="Times New Roman"/>
        </w:rPr>
        <w:t xml:space="preserve">ych dokumentów </w:t>
      </w:r>
      <w:r w:rsidRPr="00495A99">
        <w:rPr>
          <w:rFonts w:ascii="Times New Roman" w:hAnsi="Times New Roman"/>
        </w:rPr>
        <w:t xml:space="preserve">wynika m.in. powierzchnia </w:t>
      </w:r>
      <w:r w:rsidR="00956471" w:rsidRPr="00495A99">
        <w:rPr>
          <w:rFonts w:ascii="Times New Roman" w:hAnsi="Times New Roman"/>
        </w:rPr>
        <w:t>obszaru do analizy</w:t>
      </w:r>
      <w:r w:rsidRPr="00495A99">
        <w:rPr>
          <w:rFonts w:ascii="Times New Roman" w:hAnsi="Times New Roman"/>
        </w:rPr>
        <w:t xml:space="preserve">, liczba obiektów, zakładana kwalifikacja obiektów, objętość ferromagnetyczna, ich lokalizacja (współrzędne) i głębokość zalegania pod dnem. </w:t>
      </w:r>
      <w:r w:rsidR="002F2D25" w:rsidRPr="00495A99">
        <w:rPr>
          <w:rFonts w:ascii="Times New Roman" w:hAnsi="Times New Roman"/>
        </w:rPr>
        <w:t>Obiekty znajdują się w obszarze, którego naroża wyznaczają następujące współrzędne GPS:</w:t>
      </w:r>
    </w:p>
    <w:p w14:paraId="24C66814" w14:textId="103DAAF3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- GPS 1:</w:t>
      </w:r>
    </w:p>
    <w:p w14:paraId="6A937F4F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54° 19'52.9"N 18° 11'40.7"E</w:t>
      </w:r>
    </w:p>
    <w:p w14:paraId="3787F4CF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54.331355, 18.194631</w:t>
      </w:r>
    </w:p>
    <w:p w14:paraId="75C76D62" w14:textId="65104BB4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- GPS 2:</w:t>
      </w:r>
    </w:p>
    <w:p w14:paraId="7EBC2DAD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54° 19'52.9"N 18° 11'42.8"E</w:t>
      </w:r>
    </w:p>
    <w:p w14:paraId="14314767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54.331372, 18.195210</w:t>
      </w:r>
    </w:p>
    <w:p w14:paraId="418CF024" w14:textId="3AC9736C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- GPS 3:</w:t>
      </w:r>
    </w:p>
    <w:p w14:paraId="56E577FB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54° 19'52.0"N 18° 11'44.0"E</w:t>
      </w:r>
    </w:p>
    <w:p w14:paraId="3C38CF65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54.331120, 18.195559</w:t>
      </w:r>
    </w:p>
    <w:p w14:paraId="6A792F27" w14:textId="711E706D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- GPS 4:</w:t>
      </w:r>
    </w:p>
    <w:p w14:paraId="4612E6BA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54° 19'52.8"N 18° 11'43.9"E</w:t>
      </w:r>
    </w:p>
    <w:p w14:paraId="5E2A3533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54.331344, 18.195523</w:t>
      </w:r>
    </w:p>
    <w:p w14:paraId="1447D83F" w14:textId="29D931B5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  <w:lang w:val="en-US"/>
        </w:rPr>
      </w:pPr>
      <w:r w:rsidRPr="00495A99">
        <w:rPr>
          <w:rFonts w:ascii="Times New Roman" w:hAnsi="Times New Roman"/>
          <w:lang w:val="en-US"/>
        </w:rPr>
        <w:t>- GPS 5:</w:t>
      </w:r>
    </w:p>
    <w:p w14:paraId="233F9FE3" w14:textId="77777777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54°19'52.0"N 18°11'41.5"E</w:t>
      </w:r>
    </w:p>
    <w:p w14:paraId="25558B9D" w14:textId="0C54A5DA" w:rsidR="002F2D25" w:rsidRPr="00495A99" w:rsidRDefault="002F2D25" w:rsidP="002F2D25">
      <w:pPr>
        <w:spacing w:after="0" w:line="271" w:lineRule="auto"/>
        <w:ind w:left="845"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54.331119, 18.194870</w:t>
      </w:r>
    </w:p>
    <w:p w14:paraId="2B0CE25D" w14:textId="512B8F9E" w:rsidR="00794B4D" w:rsidRPr="00495A99" w:rsidRDefault="00775B74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Obiekty będące przedmiotem zadania zostały przedstawione w załączonej Inwentaryzacji na rysunkach nr 2 i 3 oraz w opisie przedstawionym w części 2 tego dokumentu. </w:t>
      </w:r>
      <w:r w:rsidR="002601BC" w:rsidRPr="00495A99">
        <w:rPr>
          <w:rFonts w:ascii="Times New Roman" w:hAnsi="Times New Roman"/>
        </w:rPr>
        <w:t xml:space="preserve">Zastrzega się, że wymienione obiekty nie stanowią katalogu zamkniętego – w przypadku stwierdzenia </w:t>
      </w:r>
      <w:r w:rsidR="008000E7" w:rsidRPr="00495A99">
        <w:rPr>
          <w:rFonts w:ascii="Times New Roman" w:hAnsi="Times New Roman"/>
        </w:rPr>
        <w:t>innych obiektów zalegających w promieniu</w:t>
      </w:r>
      <w:r w:rsidR="00734223" w:rsidRPr="00495A99">
        <w:rPr>
          <w:rFonts w:ascii="Times New Roman" w:hAnsi="Times New Roman"/>
        </w:rPr>
        <w:t xml:space="preserve"> 30 m od wskazan</w:t>
      </w:r>
      <w:r w:rsidR="00F91468" w:rsidRPr="00495A99">
        <w:rPr>
          <w:rFonts w:ascii="Times New Roman" w:hAnsi="Times New Roman"/>
        </w:rPr>
        <w:t>ych</w:t>
      </w:r>
      <w:r w:rsidR="00734223" w:rsidRPr="00495A99">
        <w:rPr>
          <w:rFonts w:ascii="Times New Roman" w:hAnsi="Times New Roman"/>
        </w:rPr>
        <w:t xml:space="preserve"> obiekt</w:t>
      </w:r>
      <w:r w:rsidR="00F91468" w:rsidRPr="00495A99">
        <w:rPr>
          <w:rFonts w:ascii="Times New Roman" w:hAnsi="Times New Roman"/>
        </w:rPr>
        <w:t>ów</w:t>
      </w:r>
      <w:r w:rsidR="00734223" w:rsidRPr="00495A99">
        <w:rPr>
          <w:rFonts w:ascii="Times New Roman" w:hAnsi="Times New Roman"/>
        </w:rPr>
        <w:t xml:space="preserve"> do wydobycia </w:t>
      </w:r>
      <w:r w:rsidR="00E21895" w:rsidRPr="00495A99">
        <w:rPr>
          <w:rFonts w:ascii="Times New Roman" w:hAnsi="Times New Roman"/>
        </w:rPr>
        <w:t xml:space="preserve"> Wykonawca ma obowiązek ich wydobycia i utylizacji. </w:t>
      </w:r>
    </w:p>
    <w:p w14:paraId="79CAB950" w14:textId="03AD1A4E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Zakres zamówienia obejmuje odsłonięcie, sprawdzenie, wydobycie i utylizację wszystkich elementów zidentyfikowanych w raporcie ferromagnetycznym</w:t>
      </w:r>
      <w:r w:rsidR="006713CD" w:rsidRPr="00495A99">
        <w:rPr>
          <w:rFonts w:ascii="Times New Roman" w:hAnsi="Times New Roman"/>
        </w:rPr>
        <w:t xml:space="preserve">. Utylizację obiektów wydobytych z dna jeziora (nie będących obiektami ferromagnetycznymi) Wykonawca wykona na swój koszt zgodnie z obowiązującymi przepisami, </w:t>
      </w:r>
    </w:p>
    <w:p w14:paraId="121E5003" w14:textId="3C98EFE4" w:rsidR="00BF4BA5" w:rsidRPr="00495A99" w:rsidRDefault="00BF4BA5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Nie określa się szczegółowej metody wydobycia zlokalizowanego obiektu ani sprzętu jaki ma użyć wykonawca w celu realizacji zamówienia,  </w:t>
      </w:r>
    </w:p>
    <w:p w14:paraId="7134375B" w14:textId="77777777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Usługi świadczone przez wykonawcę wybranego w niniejszym postępowaniu warunkują realizację prac </w:t>
      </w:r>
      <w:proofErr w:type="spellStart"/>
      <w:r w:rsidRPr="00495A99">
        <w:rPr>
          <w:rFonts w:ascii="Times New Roman" w:hAnsi="Times New Roman"/>
        </w:rPr>
        <w:t>refulacyjnych</w:t>
      </w:r>
      <w:proofErr w:type="spellEnd"/>
      <w:r w:rsidRPr="00495A99">
        <w:rPr>
          <w:rFonts w:ascii="Times New Roman" w:hAnsi="Times New Roman"/>
        </w:rPr>
        <w:t xml:space="preserve"> na Jeziorze Karczemny i muszą być prowadzone przy uwzględnieniu okoliczności mogących mieć wpływ na ten proces. </w:t>
      </w:r>
      <w:r w:rsidRPr="00495A99">
        <w:rPr>
          <w:rFonts w:ascii="Times New Roman" w:hAnsi="Times New Roman"/>
          <w:b/>
        </w:rPr>
        <w:t xml:space="preserve"> </w:t>
      </w:r>
    </w:p>
    <w:p w14:paraId="7B3CA3A7" w14:textId="77777777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lastRenderedPageBreak/>
        <w:t xml:space="preserve">Wskazane jest aby Wykonawca dokonał wizji lokalnej miejsca realizacji usługi, aby uzyskać informacje, które mogą być konieczne do przygotowania oferty oraz zawarcia umowy i wykonania zamówienia. </w:t>
      </w:r>
    </w:p>
    <w:p w14:paraId="4011EE8E" w14:textId="602028B5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Przedmiot </w:t>
      </w:r>
      <w:r w:rsidRPr="007F42B0">
        <w:rPr>
          <w:rFonts w:ascii="Times New Roman" w:hAnsi="Times New Roman"/>
        </w:rPr>
        <w:t xml:space="preserve">zamówienia Wykonawca zobowiązany jest wykonać uwzględniając wymagania zawarte w </w:t>
      </w:r>
      <w:r w:rsidR="007F42B0" w:rsidRPr="007F42B0">
        <w:rPr>
          <w:rFonts w:ascii="Times New Roman" w:hAnsi="Times New Roman"/>
        </w:rPr>
        <w:t>niniejszej S</w:t>
      </w:r>
      <w:r w:rsidRPr="007F42B0">
        <w:rPr>
          <w:rFonts w:ascii="Times New Roman" w:hAnsi="Times New Roman"/>
        </w:rPr>
        <w:t xml:space="preserve">WZ. W skalkulowanej </w:t>
      </w:r>
      <w:r w:rsidRPr="00495A99">
        <w:rPr>
          <w:rFonts w:ascii="Times New Roman" w:hAnsi="Times New Roman"/>
        </w:rPr>
        <w:t>cenie, dotyczącej odsłonięcia, sprawdzenia, wydobycia, tymczasowego składowania i przekazania do utylizacji, poszczególnych obiektów, Wykonawca zobowiązany jest przyjąć i wycenić wszystkie koszty związane z tymi czynnościami, w szczególności uwzględniające rozmiar</w:t>
      </w:r>
      <w:r w:rsidR="001B209A" w:rsidRPr="00495A99">
        <w:rPr>
          <w:rFonts w:ascii="Times New Roman" w:hAnsi="Times New Roman"/>
        </w:rPr>
        <w:t>u</w:t>
      </w:r>
      <w:r w:rsidRPr="00495A99">
        <w:rPr>
          <w:rFonts w:ascii="Times New Roman" w:hAnsi="Times New Roman"/>
        </w:rPr>
        <w:t xml:space="preserve"> i głębokości zalegania obiektów, technologię odsłonięcia i wydobycia a także ewentualne koszty przestoju ekip nurkowych i sprzętu Wykonawcy spowodowane przestojami, w tym przestojami wynikającymi z działań innych podmiotów związanych z odbieraniem i utylizacją wydobytych przedmiotów. </w:t>
      </w:r>
    </w:p>
    <w:p w14:paraId="01E3116E" w14:textId="5EAFE2DF" w:rsidR="00F62595" w:rsidRPr="00495A99" w:rsidRDefault="00502BBC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Wykonawca winien uwzględnić w warunkach złożonej oferty kwestie związane z występowaniem warunków atmosferycznych, mogących </w:t>
      </w:r>
      <w:r w:rsidR="004D73A4" w:rsidRPr="00495A99">
        <w:rPr>
          <w:rFonts w:ascii="Times New Roman" w:hAnsi="Times New Roman"/>
        </w:rPr>
        <w:t xml:space="preserve">mieć wpływ na przeprowadzenie prac, </w:t>
      </w:r>
    </w:p>
    <w:p w14:paraId="0AF98346" w14:textId="733E9203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 ramach realizowanej usługi konieczne jest opracowanie </w:t>
      </w:r>
      <w:r w:rsidR="00536F95" w:rsidRPr="00495A99">
        <w:rPr>
          <w:rFonts w:ascii="Times New Roman" w:hAnsi="Times New Roman"/>
        </w:rPr>
        <w:t>plan</w:t>
      </w:r>
      <w:r w:rsidR="00EA7314" w:rsidRPr="00495A99">
        <w:rPr>
          <w:rFonts w:ascii="Times New Roman" w:hAnsi="Times New Roman"/>
        </w:rPr>
        <w:t>u</w:t>
      </w:r>
      <w:r w:rsidR="00536F95" w:rsidRPr="00495A99">
        <w:rPr>
          <w:rFonts w:ascii="Times New Roman" w:hAnsi="Times New Roman"/>
        </w:rPr>
        <w:t xml:space="preserve"> </w:t>
      </w:r>
      <w:r w:rsidR="00F92053" w:rsidRPr="00495A99">
        <w:rPr>
          <w:rFonts w:ascii="Times New Roman" w:hAnsi="Times New Roman"/>
        </w:rPr>
        <w:t>BIOZ</w:t>
      </w:r>
      <w:r w:rsidR="00304725" w:rsidRPr="00495A99">
        <w:rPr>
          <w:rFonts w:ascii="Times New Roman" w:hAnsi="Times New Roman"/>
        </w:rPr>
        <w:t xml:space="preserve">, Program Zapewnienia Jakości (PZJ) oraz Instrukcję Bezpiecznego Wykonywania Robót (IBWR) – i realizację prac zgodnie z zapisami tych dokumentów, </w:t>
      </w:r>
    </w:p>
    <w:p w14:paraId="212DC50F" w14:textId="2EC06283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Obowiązkiem wykonawcy jest takie prowadzenie prac, by nie wystąpiły żadne uszkodzenia obiektów, infrastruktury i terenu, zlokalizowanych na terenie objętym przedmiotem zamówienia. Sytuacja ta dotyczy przede wszystkim </w:t>
      </w:r>
      <w:r w:rsidR="00DB0BFF" w:rsidRPr="00495A99">
        <w:rPr>
          <w:rFonts w:ascii="Times New Roman" w:hAnsi="Times New Roman"/>
        </w:rPr>
        <w:t xml:space="preserve">pływającego </w:t>
      </w:r>
      <w:r w:rsidRPr="00495A99">
        <w:rPr>
          <w:rFonts w:ascii="Times New Roman" w:hAnsi="Times New Roman"/>
        </w:rPr>
        <w:t xml:space="preserve">rurociągu tłocznego transportującego wydobyty osad z Jeziora Karczemnego na teren gminnej oczyszczalni ścieków. W przypadku wystąpienia uszkodzeń tych obiektów lub infrastruktury Wykonawca zobowiązany jest do naprawy uszkodzeń lub odtworzenia tych obiektów lub infrastruktury na własny koszt.  </w:t>
      </w:r>
      <w:r w:rsidR="00D81120" w:rsidRPr="00495A99">
        <w:rPr>
          <w:rFonts w:ascii="Times New Roman" w:hAnsi="Times New Roman"/>
        </w:rPr>
        <w:t xml:space="preserve">Wykonawca prac </w:t>
      </w:r>
      <w:proofErr w:type="spellStart"/>
      <w:r w:rsidR="00D81120" w:rsidRPr="00495A99">
        <w:rPr>
          <w:rFonts w:ascii="Times New Roman" w:hAnsi="Times New Roman"/>
        </w:rPr>
        <w:t>refulacyjnych</w:t>
      </w:r>
      <w:proofErr w:type="spellEnd"/>
      <w:r w:rsidR="00D81120" w:rsidRPr="00495A99">
        <w:rPr>
          <w:rFonts w:ascii="Times New Roman" w:hAnsi="Times New Roman"/>
        </w:rPr>
        <w:t xml:space="preserve"> na Jeziorze Karczemnym dokona zmiany przebiegu rurociągu przez rozpoczęciem realizacji zadania, tak aby nie przebiegał on między obszarem jeziora na którym zalegają przedmioty do wydobycia a brzegiem jeziora wzdłuż działki nr 4/2,  </w:t>
      </w:r>
    </w:p>
    <w:p w14:paraId="1697E2A8" w14:textId="088121D7" w:rsidR="009B6CF4" w:rsidRPr="00495A99" w:rsidRDefault="009D5E69" w:rsidP="009B6CF4">
      <w:pPr>
        <w:numPr>
          <w:ilvl w:val="0"/>
          <w:numId w:val="3"/>
        </w:numPr>
        <w:spacing w:after="0" w:line="271" w:lineRule="auto"/>
        <w:ind w:right="176" w:hanging="419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Wykonawca winien przeprowadzić realizację przedmiotowego zadania</w:t>
      </w:r>
      <w:r w:rsidR="00A00AEC" w:rsidRPr="00495A99">
        <w:rPr>
          <w:rFonts w:ascii="Times New Roman" w:hAnsi="Times New Roman"/>
        </w:rPr>
        <w:t xml:space="preserve"> </w:t>
      </w:r>
      <w:r w:rsidR="00A93D69" w:rsidRPr="00495A99">
        <w:rPr>
          <w:rFonts w:ascii="Times New Roman" w:hAnsi="Times New Roman"/>
        </w:rPr>
        <w:t>w taki sposób aby zabezpieczyć zanieczyszczenie wód jeziora chmurą osadów, które zostaną wzburzone z dna jeziora w skutek prowadzon</w:t>
      </w:r>
      <w:r w:rsidR="00F10C3E" w:rsidRPr="00495A99">
        <w:rPr>
          <w:rFonts w:ascii="Times New Roman" w:hAnsi="Times New Roman"/>
        </w:rPr>
        <w:t>ego zabiegu wydobycia obiektu z dna jeziora. Zabezpieczenie to powinno mieć postać szczelnej kurtyny</w:t>
      </w:r>
      <w:r w:rsidR="006C5736" w:rsidRPr="00495A99">
        <w:rPr>
          <w:rFonts w:ascii="Times New Roman" w:hAnsi="Times New Roman"/>
        </w:rPr>
        <w:t>/osłony</w:t>
      </w:r>
      <w:r w:rsidR="00F10C3E" w:rsidRPr="00495A99">
        <w:rPr>
          <w:rFonts w:ascii="Times New Roman" w:hAnsi="Times New Roman"/>
        </w:rPr>
        <w:t>, która zostanie rozstawiona wokół miejsca realizacji zadania</w:t>
      </w:r>
      <w:r w:rsidR="006C5736" w:rsidRPr="00495A99">
        <w:rPr>
          <w:rFonts w:ascii="Times New Roman" w:hAnsi="Times New Roman"/>
        </w:rPr>
        <w:t xml:space="preserve"> i będzie zapobiegała rozprzestrzenianiu się osadów</w:t>
      </w:r>
      <w:r w:rsidR="00F10C3E" w:rsidRPr="00495A99">
        <w:rPr>
          <w:rFonts w:ascii="Times New Roman" w:hAnsi="Times New Roman"/>
        </w:rPr>
        <w:t xml:space="preserve">. Kurtyna winna zabezpieczyć przedostawanie się zmąconych osadów między miejscem realizacji zadania a pozostałą częścią jeziora. Kurtyna powinna być zainstalowana na czas trwania realizacji zadania oraz w okresie </w:t>
      </w:r>
      <w:r w:rsidR="00A36133" w:rsidRPr="00495A99">
        <w:rPr>
          <w:rFonts w:ascii="Times New Roman" w:hAnsi="Times New Roman"/>
        </w:rPr>
        <w:t xml:space="preserve">min. </w:t>
      </w:r>
      <w:r w:rsidR="00F10C3E" w:rsidRPr="00495A99">
        <w:rPr>
          <w:rFonts w:ascii="Times New Roman" w:hAnsi="Times New Roman"/>
        </w:rPr>
        <w:t xml:space="preserve">7 dni po jego zakończeniu. </w:t>
      </w:r>
      <w:r w:rsidR="00011413" w:rsidRPr="00495A99">
        <w:rPr>
          <w:rFonts w:ascii="Times New Roman" w:hAnsi="Times New Roman"/>
        </w:rPr>
        <w:t>Czas na jaki zostanie zainstalowana kurtyna nie wlicza się do terminu realizacji zadania.</w:t>
      </w:r>
      <w:r w:rsidR="009B6CF4" w:rsidRPr="00495A99">
        <w:rPr>
          <w:rFonts w:ascii="Times New Roman" w:hAnsi="Times New Roman"/>
        </w:rPr>
        <w:t xml:space="preserve"> Kurtyny wykonane mają zostać z tworzywa sztucznego (np. HDPE, PP lub PVC). Parametry kurtyn, takie jak </w:t>
      </w:r>
      <w:r w:rsidR="006176E9" w:rsidRPr="00495A99">
        <w:rPr>
          <w:rFonts w:ascii="Times New Roman" w:hAnsi="Times New Roman"/>
        </w:rPr>
        <w:t xml:space="preserve">ich </w:t>
      </w:r>
      <w:r w:rsidR="009B6CF4" w:rsidRPr="00495A99">
        <w:rPr>
          <w:rFonts w:ascii="Times New Roman" w:hAnsi="Times New Roman"/>
        </w:rPr>
        <w:t>wysokość pozostawia się w gestii wykonawcy, z zastrzeżeniem, że:</w:t>
      </w:r>
    </w:p>
    <w:p w14:paraId="5BDF1674" w14:textId="735EE8AB" w:rsidR="009B6CF4" w:rsidRPr="00495A99" w:rsidRDefault="006176E9" w:rsidP="006176E9">
      <w:pPr>
        <w:spacing w:after="0" w:line="271" w:lineRule="auto"/>
        <w:ind w:left="845"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- </w:t>
      </w:r>
      <w:r w:rsidR="009B6CF4" w:rsidRPr="00495A99">
        <w:rPr>
          <w:rFonts w:ascii="Times New Roman" w:hAnsi="Times New Roman"/>
        </w:rPr>
        <w:t xml:space="preserve">wysokość kurtyn ma obejmować odległość od dna Jeziora Karczemnego do </w:t>
      </w:r>
      <w:r w:rsidRPr="00495A99">
        <w:rPr>
          <w:rFonts w:ascii="Times New Roman" w:hAnsi="Times New Roman"/>
        </w:rPr>
        <w:t xml:space="preserve">co najmniej </w:t>
      </w:r>
      <w:r w:rsidR="009B6CF4" w:rsidRPr="00495A99">
        <w:rPr>
          <w:rFonts w:ascii="Times New Roman" w:hAnsi="Times New Roman"/>
        </w:rPr>
        <w:t>powierzchni wody,</w:t>
      </w:r>
    </w:p>
    <w:p w14:paraId="186D4EAA" w14:textId="5290AFC6" w:rsidR="009B6CF4" w:rsidRPr="00495A99" w:rsidRDefault="006176E9" w:rsidP="006176E9">
      <w:pPr>
        <w:spacing w:after="0" w:line="271" w:lineRule="auto"/>
        <w:ind w:left="708"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- </w:t>
      </w:r>
      <w:r w:rsidR="009B6CF4" w:rsidRPr="00495A99">
        <w:rPr>
          <w:rFonts w:ascii="Times New Roman" w:hAnsi="Times New Roman"/>
        </w:rPr>
        <w:t xml:space="preserve">kurtyny mają zapewnić brak mieszania się wody pomiędzy </w:t>
      </w:r>
      <w:r w:rsidRPr="00495A99">
        <w:rPr>
          <w:rFonts w:ascii="Times New Roman" w:hAnsi="Times New Roman"/>
        </w:rPr>
        <w:t>obszarem jeziora</w:t>
      </w:r>
      <w:r w:rsidR="009B6CF4" w:rsidRPr="00495A99">
        <w:rPr>
          <w:rFonts w:ascii="Times New Roman" w:hAnsi="Times New Roman"/>
        </w:rPr>
        <w:t xml:space="preserve"> którego wydobywane będą </w:t>
      </w:r>
      <w:r w:rsidRPr="00495A99">
        <w:rPr>
          <w:rFonts w:ascii="Times New Roman" w:hAnsi="Times New Roman"/>
        </w:rPr>
        <w:t>przedmioty</w:t>
      </w:r>
      <w:r w:rsidR="009B6CF4" w:rsidRPr="00495A99">
        <w:rPr>
          <w:rFonts w:ascii="Times New Roman" w:hAnsi="Times New Roman"/>
        </w:rPr>
        <w:t xml:space="preserve"> a </w:t>
      </w:r>
      <w:r w:rsidRPr="00495A99">
        <w:rPr>
          <w:rFonts w:ascii="Times New Roman" w:hAnsi="Times New Roman"/>
        </w:rPr>
        <w:t>pozostałymi częściami jeziora</w:t>
      </w:r>
      <w:r w:rsidR="009B6CF4" w:rsidRPr="00495A99">
        <w:rPr>
          <w:rFonts w:ascii="Times New Roman" w:hAnsi="Times New Roman"/>
        </w:rPr>
        <w:t>,</w:t>
      </w:r>
    </w:p>
    <w:p w14:paraId="346F802A" w14:textId="0199B30D" w:rsidR="009B6CF4" w:rsidRPr="00495A99" w:rsidRDefault="006176E9" w:rsidP="006176E9">
      <w:pPr>
        <w:spacing w:after="0" w:line="271" w:lineRule="auto"/>
        <w:ind w:right="176" w:firstLine="708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- </w:t>
      </w:r>
      <w:r w:rsidR="009B6CF4" w:rsidRPr="00495A99">
        <w:rPr>
          <w:rFonts w:ascii="Times New Roman" w:hAnsi="Times New Roman"/>
        </w:rPr>
        <w:t>kurtyny mają zostać oznaczone bojami tak, aby ich lokalizacja na wodzie była widoczna,</w:t>
      </w:r>
    </w:p>
    <w:p w14:paraId="34948BC6" w14:textId="19289171" w:rsidR="009B6CF4" w:rsidRPr="00495A99" w:rsidRDefault="006176E9" w:rsidP="006176E9">
      <w:pPr>
        <w:spacing w:after="0" w:line="271" w:lineRule="auto"/>
        <w:ind w:right="176" w:firstLine="708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- </w:t>
      </w:r>
      <w:r w:rsidR="009B6CF4" w:rsidRPr="00495A99">
        <w:rPr>
          <w:rFonts w:ascii="Times New Roman" w:hAnsi="Times New Roman"/>
        </w:rPr>
        <w:t>kurtyny mają być obciążone do dna balastem (np. liny balastowe, ciężarki, łańcuchy),</w:t>
      </w:r>
    </w:p>
    <w:p w14:paraId="1CDD8FA4" w14:textId="0D52C1F3" w:rsidR="009B6CF4" w:rsidRPr="00495A99" w:rsidRDefault="006176E9" w:rsidP="000263CB">
      <w:pPr>
        <w:spacing w:after="0" w:line="271" w:lineRule="auto"/>
        <w:ind w:left="708"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- </w:t>
      </w:r>
      <w:r w:rsidR="009B6CF4" w:rsidRPr="00495A99">
        <w:rPr>
          <w:rFonts w:ascii="Times New Roman" w:hAnsi="Times New Roman"/>
        </w:rPr>
        <w:t>kurtyny mają zachować funkcję separującą</w:t>
      </w:r>
      <w:r w:rsidR="000263CB" w:rsidRPr="00495A99">
        <w:rPr>
          <w:rFonts w:ascii="Times New Roman" w:hAnsi="Times New Roman"/>
        </w:rPr>
        <w:t xml:space="preserve">, </w:t>
      </w:r>
      <w:r w:rsidR="009B6CF4" w:rsidRPr="00495A99">
        <w:rPr>
          <w:rFonts w:ascii="Times New Roman" w:hAnsi="Times New Roman"/>
        </w:rPr>
        <w:t>aby zapobiec przemieszczaniu się osadu</w:t>
      </w:r>
      <w:r w:rsidR="000263CB" w:rsidRPr="00495A99">
        <w:rPr>
          <w:rFonts w:ascii="Times New Roman" w:hAnsi="Times New Roman"/>
        </w:rPr>
        <w:t xml:space="preserve">. </w:t>
      </w:r>
    </w:p>
    <w:p w14:paraId="16CE1680" w14:textId="373CC132" w:rsidR="00DD4296" w:rsidRPr="00495A99" w:rsidRDefault="00B565B6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Wykonawca </w:t>
      </w:r>
      <w:r w:rsidR="001A7896" w:rsidRPr="00495A99">
        <w:rPr>
          <w:rFonts w:ascii="Times New Roman" w:hAnsi="Times New Roman"/>
        </w:rPr>
        <w:t xml:space="preserve">jest odpowiedzialny za zabezpieczenie, usunięcie oraz </w:t>
      </w:r>
      <w:commentRangeStart w:id="0"/>
      <w:r w:rsidR="001A7896" w:rsidRPr="00132147">
        <w:rPr>
          <w:rFonts w:ascii="Times New Roman" w:hAnsi="Times New Roman"/>
          <w:color w:val="FF0000"/>
        </w:rPr>
        <w:t xml:space="preserve">utylizację </w:t>
      </w:r>
      <w:commentRangeEnd w:id="0"/>
      <w:r w:rsidR="00132147">
        <w:rPr>
          <w:rStyle w:val="Odwoaniedokomentarza"/>
        </w:rPr>
        <w:commentReference w:id="0"/>
      </w:r>
      <w:r w:rsidR="001A7896" w:rsidRPr="00495A99">
        <w:rPr>
          <w:rFonts w:ascii="Times New Roman" w:hAnsi="Times New Roman"/>
        </w:rPr>
        <w:t>wszelkich materiałów ropopochodnych</w:t>
      </w:r>
      <w:r w:rsidR="0057732C" w:rsidRPr="00495A99">
        <w:rPr>
          <w:rFonts w:ascii="Times New Roman" w:hAnsi="Times New Roman"/>
        </w:rPr>
        <w:t xml:space="preserve"> (np. maty do zaolejonych płynów na wypadek możliwych </w:t>
      </w:r>
      <w:r w:rsidR="0057732C" w:rsidRPr="00495A99">
        <w:rPr>
          <w:rFonts w:ascii="Times New Roman" w:hAnsi="Times New Roman"/>
        </w:rPr>
        <w:lastRenderedPageBreak/>
        <w:t>oczek wodnych)</w:t>
      </w:r>
      <w:r w:rsidR="00DD4296" w:rsidRPr="00495A99">
        <w:rPr>
          <w:rFonts w:ascii="Times New Roman" w:hAnsi="Times New Roman"/>
        </w:rPr>
        <w:t>, które mogą ewentualnie pojawić się w związku z prowadzonymi pracami w ramach zadani</w:t>
      </w:r>
      <w:r w:rsidR="007F42B0">
        <w:rPr>
          <w:rFonts w:ascii="Times New Roman" w:hAnsi="Times New Roman"/>
        </w:rPr>
        <w:t xml:space="preserve">a. </w:t>
      </w:r>
      <w:r w:rsidR="007F42B0" w:rsidRPr="007F42B0">
        <w:rPr>
          <w:rFonts w:ascii="Times New Roman" w:hAnsi="Times New Roman"/>
          <w:b/>
          <w:color w:val="FF0000"/>
        </w:rPr>
        <w:t>Koszt ewentualnej utylizacji materiałów ropopochodnych poniesie Zamawiający w ramach odrębnej umowy/zlecenia. W związku z powyższym Wykonawca nie ujmuje w kalkulacji ceny oferty kosztu utylizacji odpadów ropopochodnych.</w:t>
      </w:r>
    </w:p>
    <w:p w14:paraId="153C0710" w14:textId="55DB30D1" w:rsidR="00E3250F" w:rsidRPr="00495A99" w:rsidRDefault="00DC22FA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Wykonawca ma obowiązek zapewnić wszelki sprzęt i wyposażenie niezbędne do realizacji zadania, w tym wyposażenie pozwalające na prowadzenie prac przy bardzo słabej widoczności – jakie to warunki panują w Jeziorze Karczemny, </w:t>
      </w:r>
    </w:p>
    <w:p w14:paraId="12AA6E85" w14:textId="36A28E5B" w:rsidR="0057404B" w:rsidRPr="00495A99" w:rsidRDefault="00FE3E1B" w:rsidP="00AE2D14">
      <w:pPr>
        <w:numPr>
          <w:ilvl w:val="0"/>
          <w:numId w:val="3"/>
        </w:numPr>
        <w:spacing w:after="0" w:line="271" w:lineRule="auto"/>
        <w:ind w:right="176" w:hanging="419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Dostęp do Jeziora Karczemnego jest możliwy od strony działki nr 4/2 obręb 0008, gmina Kartuzy. Przedmiotowa działka jest własnością osoby prywatnej (właściciela Jeziora Karczemnego) – wszelkie czynności jakie będą prowadzone na przedmiotowej nieruchomości wykonawca jest zobowiązany uzgodnić z właścicielem nieruchomości</w:t>
      </w:r>
      <w:r w:rsidR="0057404B" w:rsidRPr="00495A99">
        <w:rPr>
          <w:rFonts w:ascii="Times New Roman" w:hAnsi="Times New Roman"/>
        </w:rPr>
        <w:t xml:space="preserve">. </w:t>
      </w:r>
      <w:r w:rsidR="00EE5FEA" w:rsidRPr="00495A99">
        <w:rPr>
          <w:rFonts w:ascii="Times New Roman" w:hAnsi="Times New Roman"/>
        </w:rPr>
        <w:t>Gmina posiada zgodę Właścicieli przedmiotowej nieruchomości na udostępnienie brzegu jeziora oraz dojazdu do jeziora od strony ulicy Jeziornej przez teren działki nr 4/2, przygotowanie oraz składowanie na czas realizacji usługi niezbędnej infrastruktury oraz dostawy i montażu sprzętu oraz wydobycie obiektu na teren działki nr 4/2 (przy założeniu, że wydobyty obiekt zostanie usunięty z terenu działki w terminie max. 7 dni od dnia wydobycia),</w:t>
      </w:r>
    </w:p>
    <w:p w14:paraId="26BE4BED" w14:textId="45938EEE" w:rsidR="00F62595" w:rsidRPr="00014BDE" w:rsidRDefault="00F62595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  <w:strike/>
          <w:color w:val="FF0000"/>
        </w:rPr>
      </w:pPr>
      <w:r w:rsidRPr="00495A99">
        <w:rPr>
          <w:rFonts w:ascii="Times New Roman" w:hAnsi="Times New Roman"/>
        </w:rPr>
        <w:t xml:space="preserve">Wykonawca jest zobowiązany do dokonania deniwelacji brzegu Jeziora Karczemnego na </w:t>
      </w:r>
      <w:r w:rsidR="000217A9" w:rsidRPr="00495A99">
        <w:rPr>
          <w:rFonts w:ascii="Times New Roman" w:hAnsi="Times New Roman"/>
        </w:rPr>
        <w:t xml:space="preserve">działce nr 4/2 na </w:t>
      </w:r>
      <w:r w:rsidRPr="00495A99">
        <w:rPr>
          <w:rFonts w:ascii="Times New Roman" w:hAnsi="Times New Roman"/>
        </w:rPr>
        <w:t xml:space="preserve">odcinku </w:t>
      </w:r>
      <w:r w:rsidR="00861723" w:rsidRPr="00495A99">
        <w:rPr>
          <w:rFonts w:ascii="Times New Roman" w:hAnsi="Times New Roman"/>
        </w:rPr>
        <w:t xml:space="preserve">ok 30 m - </w:t>
      </w:r>
      <w:r w:rsidRPr="00495A99">
        <w:rPr>
          <w:rFonts w:ascii="Times New Roman" w:hAnsi="Times New Roman"/>
        </w:rPr>
        <w:t>niezbędnym do prawidłowego przeprowadzenia w/w usługi, w tym usunięcia zalegających wzdłuż brzegu pni drzew oraz tymczasowego utwardzenia brzegu w celu zwodowania niezbędnej infrastruktury. Po zakończeniu realizacji usługi brzeg jeziora zostanie przewrócony przez wykonawcę do stanu naturalnego</w:t>
      </w:r>
      <w:r w:rsidR="007F42B0">
        <w:rPr>
          <w:rFonts w:ascii="Times New Roman" w:hAnsi="Times New Roman"/>
        </w:rPr>
        <w:t>.</w:t>
      </w:r>
    </w:p>
    <w:p w14:paraId="6417D6BC" w14:textId="1216EE3E" w:rsidR="00E3250F" w:rsidRPr="00495A99" w:rsidRDefault="00E3250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Wszelkie prace związane z projektem, winny być przeprowadzone w taki sposób aby nie ingerować/naruszać infrastruktury </w:t>
      </w:r>
      <w:r w:rsidR="00A325D3" w:rsidRPr="00495A99">
        <w:rPr>
          <w:rFonts w:ascii="Times New Roman" w:hAnsi="Times New Roman"/>
        </w:rPr>
        <w:t xml:space="preserve">i zagospodarowania terenu </w:t>
      </w:r>
      <w:r w:rsidRPr="00495A99">
        <w:rPr>
          <w:rFonts w:ascii="Times New Roman" w:hAnsi="Times New Roman"/>
        </w:rPr>
        <w:t>zlokalizowan</w:t>
      </w:r>
      <w:r w:rsidR="00A325D3" w:rsidRPr="00495A99">
        <w:rPr>
          <w:rFonts w:ascii="Times New Roman" w:hAnsi="Times New Roman"/>
        </w:rPr>
        <w:t>ych</w:t>
      </w:r>
      <w:r w:rsidRPr="00495A99">
        <w:rPr>
          <w:rFonts w:ascii="Times New Roman" w:hAnsi="Times New Roman"/>
        </w:rPr>
        <w:t xml:space="preserve"> w sąsiedztwie jeziora. Wszelkie koszty na rzecz właściciela jeziora lub innych podmiotów (w tym właścicieli działek przylegających do jeziora) wynikające z pojawienia się takiej ingerencji, pokrywa wykonawca, </w:t>
      </w:r>
    </w:p>
    <w:p w14:paraId="22DFF43B" w14:textId="476E498D" w:rsidR="009D5E69" w:rsidRPr="00495A99" w:rsidRDefault="004077A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Wszelkie prace w ramach zamówienia zostaną wykonane zgodnie z wymaganiami Ustawy z dnia 17.10.2003 r. o wykonywaniu prac podwodnych (Dz.U. z 2021 r. poz. 612).  </w:t>
      </w:r>
      <w:r w:rsidR="00FE3E1B" w:rsidRPr="00495A99">
        <w:rPr>
          <w:rFonts w:ascii="Times New Roman" w:hAnsi="Times New Roman"/>
        </w:rPr>
        <w:t xml:space="preserve">  </w:t>
      </w:r>
      <w:r w:rsidR="003C7BCB" w:rsidRPr="00495A99">
        <w:rPr>
          <w:rFonts w:ascii="Times New Roman" w:hAnsi="Times New Roman"/>
        </w:rPr>
        <w:t xml:space="preserve"> </w:t>
      </w:r>
    </w:p>
    <w:p w14:paraId="73EDA5DD" w14:textId="77777777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Wykonawca zobowiązany jest do odsłonięcia, sprawdzenia, wydobycia, zabezpieczenia  i utylizacji (unieszkodliwienie) wydobytych przedmiotów. Wydobyte obiekty Wykonawca zobowiązany jest zutylizować i przedstawić na tą okoliczność stosowne dokumenty.</w:t>
      </w:r>
    </w:p>
    <w:p w14:paraId="7F01122E" w14:textId="083A2F44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W przypadku znalezienia szczątków ludzkich powiadomienie Zamawiającego oraz Policję. Wydobycie oraz transport szczątków ludzkich bez ustaleń z policją i Zamawiającym jest zabronione. Zamawiający w porozumieniu z policją ustali procedurę postępowania ze znalezionymi szczątkami. </w:t>
      </w:r>
    </w:p>
    <w:p w14:paraId="67237B80" w14:textId="48DF20F8" w:rsidR="00525F1F" w:rsidRPr="00495A99" w:rsidRDefault="00525F1F" w:rsidP="00AE2D14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Po wydobyciu wszystkich przedmiotów wykonawca zobowiązany jest do przeprowadzenia badania czystości dna </w:t>
      </w:r>
      <w:r w:rsidR="00E87215" w:rsidRPr="00495A99">
        <w:rPr>
          <w:rFonts w:ascii="Times New Roman" w:hAnsi="Times New Roman"/>
        </w:rPr>
        <w:t xml:space="preserve">(skanowanie magnetyczne) </w:t>
      </w:r>
      <w:r w:rsidRPr="00495A99">
        <w:rPr>
          <w:rFonts w:ascii="Times New Roman" w:hAnsi="Times New Roman"/>
        </w:rPr>
        <w:t xml:space="preserve">na obszarze objętym zamówieniem potwierdzonego raportem z wydobycia obiektów ferromagnetycznych z mapą miejsc usuniętych obiektów i </w:t>
      </w:r>
      <w:r w:rsidRPr="007F42B0">
        <w:rPr>
          <w:rFonts w:ascii="Times New Roman" w:hAnsi="Times New Roman"/>
        </w:rPr>
        <w:t xml:space="preserve">dokumentacją ich utylizacji/zniszczenia. Wykonawca zobowiązany jest wystawić atest czystości dna dotyczący oczyszczonego akwenu. </w:t>
      </w:r>
      <w:r w:rsidR="000A088F" w:rsidRPr="007F42B0">
        <w:rPr>
          <w:rFonts w:ascii="Times New Roman" w:hAnsi="Times New Roman"/>
        </w:rPr>
        <w:t xml:space="preserve">Zakładana </w:t>
      </w:r>
      <w:r w:rsidR="000A088F" w:rsidRPr="00495A99">
        <w:rPr>
          <w:rFonts w:ascii="Times New Roman" w:hAnsi="Times New Roman"/>
        </w:rPr>
        <w:t>metodyka prac związanych z badaniami ferromagnetycznymi obejmuje:</w:t>
      </w:r>
    </w:p>
    <w:p w14:paraId="27600A90" w14:textId="32B5AAAA" w:rsidR="000A088F" w:rsidRPr="00495A99" w:rsidRDefault="00160C37" w:rsidP="00AE2D14">
      <w:pPr>
        <w:pStyle w:val="Akapitzlist"/>
        <w:numPr>
          <w:ilvl w:val="0"/>
          <w:numId w:val="7"/>
        </w:numPr>
        <w:spacing w:after="0" w:line="271" w:lineRule="auto"/>
        <w:ind w:right="176"/>
        <w:jc w:val="both"/>
        <w:rPr>
          <w:rFonts w:ascii="Times New Roman" w:hAnsi="Times New Roman"/>
        </w:rPr>
      </w:pPr>
      <w:commentRangeStart w:id="1"/>
      <w:r w:rsidRPr="00495A99">
        <w:rPr>
          <w:rFonts w:ascii="Times New Roman" w:hAnsi="Times New Roman"/>
        </w:rPr>
        <w:t>Wykonanie sondażu z jednostki nieferromagnetycznej celem wyeliminowania zakłóceń. W przypadku, gdy Wykonawca nie dysponuje jednostką inną niż stalowa – eliminacja zakłóceń przez odpowiedni dobór urządzenia pomiarowego i odległości w jakiej będzie holowany,</w:t>
      </w:r>
    </w:p>
    <w:p w14:paraId="41618AE3" w14:textId="4A8F5A57" w:rsidR="00160C37" w:rsidRPr="00495A99" w:rsidRDefault="005002B4" w:rsidP="00AE2D14">
      <w:pPr>
        <w:pStyle w:val="Akapitzlist"/>
        <w:numPr>
          <w:ilvl w:val="0"/>
          <w:numId w:val="7"/>
        </w:numPr>
        <w:spacing w:after="0" w:line="271" w:lineRule="auto"/>
        <w:ind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lastRenderedPageBreak/>
        <w:t>Gęstość wykonania profili wynosi do 1,5 m +/- 30 cm z częstotliwością wykonania pomiaru, wzdłuż profilu, nie większa nić do 0,5 m,</w:t>
      </w:r>
    </w:p>
    <w:p w14:paraId="35B6B3AB" w14:textId="76DF5E9B" w:rsidR="005002B4" w:rsidRPr="00495A99" w:rsidRDefault="005002B4" w:rsidP="00AE2D14">
      <w:pPr>
        <w:pStyle w:val="Akapitzlist"/>
        <w:numPr>
          <w:ilvl w:val="0"/>
          <w:numId w:val="7"/>
        </w:numPr>
        <w:spacing w:after="0" w:line="271" w:lineRule="auto"/>
        <w:ind w:right="176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Pomiar wykonuje się za pomocą gradientowego systemu </w:t>
      </w:r>
      <w:proofErr w:type="spellStart"/>
      <w:r w:rsidRPr="00495A99">
        <w:rPr>
          <w:rFonts w:ascii="Times New Roman" w:hAnsi="Times New Roman"/>
        </w:rPr>
        <w:t>magnometrycznego</w:t>
      </w:r>
      <w:commentRangeEnd w:id="1"/>
      <w:proofErr w:type="spellEnd"/>
      <w:r w:rsidR="00A846F9">
        <w:rPr>
          <w:rStyle w:val="Odwoaniedokomentarza"/>
        </w:rPr>
        <w:commentReference w:id="1"/>
      </w:r>
      <w:r w:rsidRPr="00495A99">
        <w:rPr>
          <w:rFonts w:ascii="Times New Roman" w:hAnsi="Times New Roman"/>
        </w:rPr>
        <w:t>,</w:t>
      </w:r>
    </w:p>
    <w:p w14:paraId="723D5558" w14:textId="2EA46B35" w:rsidR="00B6785B" w:rsidRPr="00495A99" w:rsidRDefault="00B6785B" w:rsidP="00B6785B">
      <w:pPr>
        <w:spacing w:after="0" w:line="271" w:lineRule="auto"/>
        <w:ind w:right="176"/>
        <w:jc w:val="both"/>
        <w:rPr>
          <w:rFonts w:ascii="Times New Roman" w:hAnsi="Times New Roman"/>
        </w:rPr>
      </w:pPr>
    </w:p>
    <w:p w14:paraId="5DC338CE" w14:textId="77777777" w:rsidR="00B6785B" w:rsidRPr="00495A99" w:rsidRDefault="00B6785B" w:rsidP="00B6785B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Zamawiający dopuszcza wykonanie przedmiotu zamówienia przy udziale podwykonawców w pełnym zakresie przedmiotu zamówienia. </w:t>
      </w:r>
    </w:p>
    <w:p w14:paraId="25671C5E" w14:textId="77777777" w:rsidR="00B6785B" w:rsidRPr="00495A99" w:rsidRDefault="00B6785B" w:rsidP="00B6785B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>Prace będą prowadzone zgodnie z Rozporządzeniem Ministra Infrastruktury w sprawie bezpieczeństwa i higieny pracy przy wykonywaniu prac podwodnych,</w:t>
      </w:r>
    </w:p>
    <w:p w14:paraId="7FB7FA57" w14:textId="77777777" w:rsidR="00B6785B" w:rsidRPr="00495A99" w:rsidRDefault="00B6785B" w:rsidP="00B6785B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Zamawiający żąda wskazania przez Wykonawcę części zamówienia, których wykonanie zamierza powierzyć podwykonawcom, i podania przez Wykonawcę firm podwykonawców (o ile są znane). </w:t>
      </w:r>
    </w:p>
    <w:p w14:paraId="500BE4A6" w14:textId="77777777" w:rsidR="00B6785B" w:rsidRPr="00495A99" w:rsidRDefault="00B6785B" w:rsidP="00B6785B">
      <w:pPr>
        <w:numPr>
          <w:ilvl w:val="0"/>
          <w:numId w:val="3"/>
        </w:numPr>
        <w:spacing w:after="0" w:line="271" w:lineRule="auto"/>
        <w:ind w:left="844" w:right="176" w:hanging="427"/>
        <w:jc w:val="both"/>
        <w:rPr>
          <w:rFonts w:ascii="Times New Roman" w:hAnsi="Times New Roman"/>
        </w:rPr>
      </w:pPr>
      <w:r w:rsidRPr="00495A99">
        <w:rPr>
          <w:rFonts w:ascii="Times New Roman" w:hAnsi="Times New Roman"/>
        </w:rPr>
        <w:t xml:space="preserve">Przeprowadzona inwentaryzacja nie wskazuje na obecność przedmiotów niebezpiecznych przewidzianych do wydobycia. Natomiast w przypadku natrafienia na tego typu przedmioty w trakcie prowadzonych prac, Wykonawca zobowiązany jest do poinformowania o tym fakcie Zamawiającego oraz zabezpieczenia przedmiotów wybuchowych/niebezpiecznych do momentu przybycia odpowiednich służb. </w:t>
      </w:r>
    </w:p>
    <w:p w14:paraId="734F96AF" w14:textId="77777777" w:rsidR="00B6785B" w:rsidRPr="00495A99" w:rsidRDefault="00B6785B" w:rsidP="00B6785B">
      <w:pPr>
        <w:pStyle w:val="Akapitzlist"/>
        <w:numPr>
          <w:ilvl w:val="0"/>
          <w:numId w:val="3"/>
        </w:numPr>
        <w:tabs>
          <w:tab w:val="num" w:pos="720"/>
        </w:tabs>
        <w:suppressAutoHyphens/>
        <w:spacing w:after="0" w:line="320" w:lineRule="exact"/>
        <w:ind w:hanging="419"/>
        <w:jc w:val="both"/>
        <w:rPr>
          <w:rFonts w:ascii="Times New Roman" w:hAnsi="Times New Roman"/>
          <w:bCs/>
          <w:lang w:eastAsia="ar-SA"/>
        </w:rPr>
      </w:pPr>
      <w:r w:rsidRPr="00495A99">
        <w:rPr>
          <w:rFonts w:ascii="Times New Roman" w:hAnsi="Times New Roman"/>
          <w:bCs/>
          <w:lang w:eastAsia="ar-SA"/>
        </w:rPr>
        <w:t xml:space="preserve">W ramach kalkulacji świadczonej usługi wykonawca nie uwzględnia kosztów utylizacji obiektów niebezpiecznych, ponieważ ten koszt nie będzie obciążał Wykonawcy. Obiekty inne niż niebezpieczne Wykonawca zobowiązany jest natomiast zutylizować i przedstawić na tą okoliczność stosowne dokumenty. </w:t>
      </w:r>
    </w:p>
    <w:p w14:paraId="4C190448" w14:textId="62865432" w:rsidR="00FD0E24" w:rsidRPr="00F97B17" w:rsidRDefault="00B6785B" w:rsidP="00F97B17">
      <w:pPr>
        <w:pStyle w:val="Akapitzlist"/>
        <w:numPr>
          <w:ilvl w:val="0"/>
          <w:numId w:val="3"/>
        </w:numPr>
        <w:suppressAutoHyphens/>
        <w:spacing w:after="0" w:line="320" w:lineRule="exact"/>
        <w:ind w:hanging="419"/>
        <w:jc w:val="both"/>
        <w:rPr>
          <w:rFonts w:ascii="Times New Roman" w:hAnsi="Times New Roman"/>
          <w:bCs/>
          <w:lang w:eastAsia="ar-SA"/>
        </w:rPr>
      </w:pPr>
      <w:r w:rsidRPr="00495A99">
        <w:rPr>
          <w:rFonts w:ascii="Times New Roman" w:hAnsi="Times New Roman"/>
          <w:bCs/>
          <w:lang w:eastAsia="ar-SA"/>
        </w:rPr>
        <w:t>Przedmiot zamówienia Wykonawca zobowiązany jest wykonać uwzględniając poniższe wymagania, a w skalkulowanej cenie dotyczących odsłonięcia, sprawdzenia, wydobycia i utylizacji poszczególnych obiektów Wykonawca zobowiązany jest przyjęć i wycenić wszystkie koszty związane z tymi czynnościami, w szczególności odpowiednią do ich wielkości i głębokości zalegania technologię, a także ewentualne kosztów przestoju ekip nurkowych i sprzętu Wykonawcy spowodowanych przestojami, związanych z odbieraniem na miejscu znalezionych przedmiotów wy</w:t>
      </w:r>
      <w:r w:rsidR="00F97B17">
        <w:rPr>
          <w:rFonts w:ascii="Times New Roman" w:hAnsi="Times New Roman"/>
          <w:bCs/>
          <w:lang w:eastAsia="ar-SA"/>
        </w:rPr>
        <w:t>buchowych i/lub niebezpiecznych.</w:t>
      </w:r>
      <w:bookmarkStart w:id="2" w:name="_GoBack"/>
      <w:bookmarkEnd w:id="2"/>
    </w:p>
    <w:sectPr w:rsidR="00FD0E24" w:rsidRPr="00F97B17" w:rsidSect="008523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.keller" w:date="2021-08-30T10:19:00Z" w:initials="k">
    <w:p w14:paraId="5CF07007" w14:textId="7F461E07" w:rsidR="00132147" w:rsidRDefault="00132147">
      <w:pPr>
        <w:pStyle w:val="Tekstkomentarza"/>
      </w:pPr>
      <w:r>
        <w:rPr>
          <w:rStyle w:val="Odwoaniedokomentarza"/>
        </w:rPr>
        <w:annotationRef/>
      </w:r>
      <w:r w:rsidR="00014BDE">
        <w:t>To Zamawiający na siebie</w:t>
      </w:r>
    </w:p>
  </w:comment>
  <w:comment w:id="1" w:author="k.keller" w:date="2021-08-27T12:02:00Z" w:initials="k">
    <w:p w14:paraId="0B462138" w14:textId="5E383E2B" w:rsidR="00A846F9" w:rsidRDefault="00A846F9">
      <w:pPr>
        <w:pStyle w:val="Tekstkomentarza"/>
      </w:pPr>
      <w:r>
        <w:rPr>
          <w:rStyle w:val="Odwoaniedokomentarza"/>
        </w:rPr>
        <w:annotationRef/>
      </w:r>
      <w:r>
        <w:t>Może dopytać o to Szatana?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12D2D" w14:textId="77777777" w:rsidR="00CD3470" w:rsidRDefault="00CD3470" w:rsidP="00D82E8A">
      <w:pPr>
        <w:spacing w:after="0" w:line="240" w:lineRule="auto"/>
      </w:pPr>
      <w:r>
        <w:separator/>
      </w:r>
    </w:p>
  </w:endnote>
  <w:endnote w:type="continuationSeparator" w:id="0">
    <w:p w14:paraId="1F42E87C" w14:textId="77777777" w:rsidR="00CD3470" w:rsidRDefault="00CD3470" w:rsidP="00D8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63476" w14:textId="77777777" w:rsidR="00611956" w:rsidRDefault="00CD3470" w:rsidP="005C027C">
    <w:pPr>
      <w:pStyle w:val="Stopka"/>
      <w:jc w:val="center"/>
      <w:rPr>
        <w:rFonts w:ascii="Arial" w:hAnsi="Arial" w:cs="Arial"/>
        <w:sz w:val="14"/>
        <w:szCs w:val="14"/>
      </w:rPr>
    </w:pPr>
  </w:p>
  <w:p w14:paraId="0367576E" w14:textId="77777777" w:rsidR="00611956" w:rsidRPr="0019466B" w:rsidRDefault="00AC1A9A" w:rsidP="005C027C">
    <w:pPr>
      <w:pStyle w:val="Stopka"/>
      <w:jc w:val="center"/>
      <w:rPr>
        <w:rFonts w:ascii="Arial" w:hAnsi="Arial" w:cs="Arial"/>
        <w:sz w:val="14"/>
        <w:szCs w:val="14"/>
      </w:rPr>
    </w:pPr>
    <w:r w:rsidRPr="0019466B">
      <w:rPr>
        <w:rFonts w:ascii="Arial" w:hAnsi="Arial" w:cs="Arial"/>
        <w:sz w:val="14"/>
        <w:szCs w:val="14"/>
      </w:rPr>
      <w:t xml:space="preserve">Strona </w:t>
    </w:r>
    <w:r w:rsidRPr="0019466B">
      <w:rPr>
        <w:rFonts w:ascii="Arial" w:hAnsi="Arial" w:cs="Arial"/>
        <w:b/>
        <w:bCs/>
        <w:sz w:val="14"/>
        <w:szCs w:val="14"/>
      </w:rPr>
      <w:fldChar w:fldCharType="begin"/>
    </w:r>
    <w:r w:rsidRPr="0019466B">
      <w:rPr>
        <w:rFonts w:ascii="Arial" w:hAnsi="Arial" w:cs="Arial"/>
        <w:b/>
        <w:bCs/>
        <w:sz w:val="14"/>
        <w:szCs w:val="14"/>
      </w:rPr>
      <w:instrText>PAGE</w:instrText>
    </w:r>
    <w:r w:rsidRPr="0019466B">
      <w:rPr>
        <w:rFonts w:ascii="Arial" w:hAnsi="Arial" w:cs="Arial"/>
        <w:b/>
        <w:bCs/>
        <w:sz w:val="14"/>
        <w:szCs w:val="14"/>
      </w:rPr>
      <w:fldChar w:fldCharType="separate"/>
    </w:r>
    <w:r w:rsidR="00F97B17">
      <w:rPr>
        <w:rFonts w:ascii="Arial" w:hAnsi="Arial" w:cs="Arial"/>
        <w:b/>
        <w:bCs/>
        <w:noProof/>
        <w:sz w:val="14"/>
        <w:szCs w:val="14"/>
      </w:rPr>
      <w:t>4</w:t>
    </w:r>
    <w:r w:rsidRPr="0019466B">
      <w:rPr>
        <w:rFonts w:ascii="Arial" w:hAnsi="Arial" w:cs="Arial"/>
        <w:b/>
        <w:bCs/>
        <w:sz w:val="14"/>
        <w:szCs w:val="14"/>
      </w:rPr>
      <w:fldChar w:fldCharType="end"/>
    </w:r>
    <w:r w:rsidRPr="0019466B">
      <w:rPr>
        <w:rFonts w:ascii="Arial" w:hAnsi="Arial" w:cs="Arial"/>
        <w:sz w:val="14"/>
        <w:szCs w:val="14"/>
      </w:rPr>
      <w:t xml:space="preserve"> z </w:t>
    </w:r>
    <w:r w:rsidRPr="0019466B">
      <w:rPr>
        <w:rFonts w:ascii="Arial" w:hAnsi="Arial" w:cs="Arial"/>
        <w:b/>
        <w:bCs/>
        <w:sz w:val="14"/>
        <w:szCs w:val="14"/>
      </w:rPr>
      <w:fldChar w:fldCharType="begin"/>
    </w:r>
    <w:r w:rsidRPr="0019466B">
      <w:rPr>
        <w:rFonts w:ascii="Arial" w:hAnsi="Arial" w:cs="Arial"/>
        <w:b/>
        <w:bCs/>
        <w:sz w:val="14"/>
        <w:szCs w:val="14"/>
      </w:rPr>
      <w:instrText>NUMPAGES</w:instrText>
    </w:r>
    <w:r w:rsidRPr="0019466B">
      <w:rPr>
        <w:rFonts w:ascii="Arial" w:hAnsi="Arial" w:cs="Arial"/>
        <w:b/>
        <w:bCs/>
        <w:sz w:val="14"/>
        <w:szCs w:val="14"/>
      </w:rPr>
      <w:fldChar w:fldCharType="separate"/>
    </w:r>
    <w:r w:rsidR="00F97B17">
      <w:rPr>
        <w:rFonts w:ascii="Arial" w:hAnsi="Arial" w:cs="Arial"/>
        <w:b/>
        <w:bCs/>
        <w:noProof/>
        <w:sz w:val="14"/>
        <w:szCs w:val="14"/>
      </w:rPr>
      <w:t>4</w:t>
    </w:r>
    <w:r w:rsidRPr="0019466B">
      <w:rPr>
        <w:rFonts w:ascii="Arial" w:hAnsi="Arial" w:cs="Arial"/>
        <w:b/>
        <w:bCs/>
        <w:sz w:val="14"/>
        <w:szCs w:val="14"/>
      </w:rPr>
      <w:fldChar w:fldCharType="end"/>
    </w:r>
  </w:p>
  <w:p w14:paraId="2E91D228" w14:textId="77777777" w:rsidR="00611956" w:rsidRDefault="00CD3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9C7FE" w14:textId="77777777" w:rsidR="00CD3470" w:rsidRDefault="00CD3470" w:rsidP="00D82E8A">
      <w:pPr>
        <w:spacing w:after="0" w:line="240" w:lineRule="auto"/>
      </w:pPr>
      <w:r>
        <w:separator/>
      </w:r>
    </w:p>
  </w:footnote>
  <w:footnote w:type="continuationSeparator" w:id="0">
    <w:p w14:paraId="76973472" w14:textId="77777777" w:rsidR="00CD3470" w:rsidRDefault="00CD3470" w:rsidP="00D82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114"/>
    <w:multiLevelType w:val="hybridMultilevel"/>
    <w:tmpl w:val="88C8DDA4"/>
    <w:name w:val="WW8Num93"/>
    <w:lvl w:ilvl="0" w:tplc="49628B54">
      <w:start w:val="1"/>
      <w:numFmt w:val="decimal"/>
      <w:lvlText w:val="%1)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/>
        <w:sz w:val="24"/>
      </w:rPr>
    </w:lvl>
    <w:lvl w:ilvl="1" w:tplc="C00C2A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6EABF6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/>
        <w:sz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9A3E32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7" w:tplc="5A20F11A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 w:hint="default"/>
        <w:b w:val="0"/>
        <w:i w:val="0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65325B"/>
    <w:multiLevelType w:val="hybridMultilevel"/>
    <w:tmpl w:val="6A465980"/>
    <w:lvl w:ilvl="0" w:tplc="1400B178">
      <w:start w:val="1"/>
      <w:numFmt w:val="decimal"/>
      <w:lvlText w:val="%1."/>
      <w:lvlJc w:val="left"/>
      <w:pPr>
        <w:ind w:left="845"/>
      </w:pPr>
      <w:rPr>
        <w:rFonts w:ascii="Times New Roman" w:eastAsia="Arial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EE45E8">
      <w:start w:val="1"/>
      <w:numFmt w:val="lowerLetter"/>
      <w:lvlText w:val="%2"/>
      <w:lvlJc w:val="left"/>
      <w:pPr>
        <w:ind w:left="1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05D8">
      <w:start w:val="1"/>
      <w:numFmt w:val="lowerRoman"/>
      <w:lvlText w:val="%3"/>
      <w:lvlJc w:val="left"/>
      <w:pPr>
        <w:ind w:left="1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5CAEEC">
      <w:start w:val="1"/>
      <w:numFmt w:val="decimal"/>
      <w:lvlText w:val="%4"/>
      <w:lvlJc w:val="left"/>
      <w:pPr>
        <w:ind w:left="2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B62008">
      <w:start w:val="1"/>
      <w:numFmt w:val="lowerLetter"/>
      <w:lvlText w:val="%5"/>
      <w:lvlJc w:val="left"/>
      <w:pPr>
        <w:ind w:left="32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28408">
      <w:start w:val="1"/>
      <w:numFmt w:val="lowerRoman"/>
      <w:lvlText w:val="%6"/>
      <w:lvlJc w:val="left"/>
      <w:pPr>
        <w:ind w:left="39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247D22">
      <w:start w:val="1"/>
      <w:numFmt w:val="decimal"/>
      <w:lvlText w:val="%7"/>
      <w:lvlJc w:val="left"/>
      <w:pPr>
        <w:ind w:left="47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742020">
      <w:start w:val="1"/>
      <w:numFmt w:val="lowerLetter"/>
      <w:lvlText w:val="%8"/>
      <w:lvlJc w:val="left"/>
      <w:pPr>
        <w:ind w:left="54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B2D3A0">
      <w:start w:val="1"/>
      <w:numFmt w:val="lowerRoman"/>
      <w:lvlText w:val="%9"/>
      <w:lvlJc w:val="left"/>
      <w:pPr>
        <w:ind w:left="61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033EF4"/>
    <w:multiLevelType w:val="hybridMultilevel"/>
    <w:tmpl w:val="A4FC06B8"/>
    <w:lvl w:ilvl="0" w:tplc="4054600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9EEBB2">
      <w:start w:val="1"/>
      <w:numFmt w:val="decimal"/>
      <w:lvlText w:val="%2.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7240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828BA2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6E79A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18E694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F88092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2E4AA8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9E00E8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A210A52"/>
    <w:multiLevelType w:val="hybridMultilevel"/>
    <w:tmpl w:val="35881148"/>
    <w:lvl w:ilvl="0" w:tplc="5630F2F2">
      <w:start w:val="1"/>
      <w:numFmt w:val="decimal"/>
      <w:lvlText w:val="%1."/>
      <w:lvlJc w:val="left"/>
      <w:pPr>
        <w:ind w:left="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367E8C">
      <w:start w:val="1"/>
      <w:numFmt w:val="decimal"/>
      <w:lvlText w:val="%2)"/>
      <w:lvlJc w:val="left"/>
      <w:pPr>
        <w:ind w:left="11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802F6E">
      <w:start w:val="1"/>
      <w:numFmt w:val="lowerLetter"/>
      <w:lvlText w:val="%3)"/>
      <w:lvlJc w:val="left"/>
      <w:pPr>
        <w:ind w:left="1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666366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0489A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E1252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EE930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B441A0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B0FF7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F9C6671"/>
    <w:multiLevelType w:val="hybridMultilevel"/>
    <w:tmpl w:val="1DEAF22C"/>
    <w:lvl w:ilvl="0" w:tplc="FD121DFE">
      <w:start w:val="1"/>
      <w:numFmt w:val="lowerLetter"/>
      <w:lvlText w:val="%1."/>
      <w:lvlJc w:val="left"/>
      <w:pPr>
        <w:ind w:left="1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5">
    <w:nsid w:val="795A3F52"/>
    <w:multiLevelType w:val="hybridMultilevel"/>
    <w:tmpl w:val="EFB8F19A"/>
    <w:lvl w:ilvl="0" w:tplc="25B86C44">
      <w:start w:val="1"/>
      <w:numFmt w:val="decimal"/>
      <w:lvlText w:val="%1."/>
      <w:lvlJc w:val="left"/>
      <w:pPr>
        <w:ind w:left="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7E25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2AAF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78E8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C825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22B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C832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6459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6D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A7"/>
    <w:rsid w:val="000031B7"/>
    <w:rsid w:val="00011413"/>
    <w:rsid w:val="00014BDE"/>
    <w:rsid w:val="000217A9"/>
    <w:rsid w:val="000263CB"/>
    <w:rsid w:val="000316A7"/>
    <w:rsid w:val="0003185D"/>
    <w:rsid w:val="00031E0D"/>
    <w:rsid w:val="00035E28"/>
    <w:rsid w:val="00054BA7"/>
    <w:rsid w:val="00054C61"/>
    <w:rsid w:val="00057B2C"/>
    <w:rsid w:val="000647C3"/>
    <w:rsid w:val="00092821"/>
    <w:rsid w:val="00097531"/>
    <w:rsid w:val="00097613"/>
    <w:rsid w:val="000A088F"/>
    <w:rsid w:val="000D213B"/>
    <w:rsid w:val="000D34A7"/>
    <w:rsid w:val="00132147"/>
    <w:rsid w:val="00160C37"/>
    <w:rsid w:val="0019077D"/>
    <w:rsid w:val="001A7896"/>
    <w:rsid w:val="001B209A"/>
    <w:rsid w:val="001D0E70"/>
    <w:rsid w:val="001F4DA5"/>
    <w:rsid w:val="001F7C4E"/>
    <w:rsid w:val="00222A8A"/>
    <w:rsid w:val="00226E2E"/>
    <w:rsid w:val="002601BC"/>
    <w:rsid w:val="00272DDC"/>
    <w:rsid w:val="002731E5"/>
    <w:rsid w:val="002D1839"/>
    <w:rsid w:val="002D21DB"/>
    <w:rsid w:val="002E1A41"/>
    <w:rsid w:val="002F2D25"/>
    <w:rsid w:val="00304725"/>
    <w:rsid w:val="003347C6"/>
    <w:rsid w:val="00355D74"/>
    <w:rsid w:val="00367512"/>
    <w:rsid w:val="003A496C"/>
    <w:rsid w:val="003B3ABC"/>
    <w:rsid w:val="003C7BCB"/>
    <w:rsid w:val="003F741D"/>
    <w:rsid w:val="004077AF"/>
    <w:rsid w:val="00410732"/>
    <w:rsid w:val="00410CCE"/>
    <w:rsid w:val="00426624"/>
    <w:rsid w:val="004372B9"/>
    <w:rsid w:val="004562E9"/>
    <w:rsid w:val="00467E2A"/>
    <w:rsid w:val="00495A99"/>
    <w:rsid w:val="004B33A9"/>
    <w:rsid w:val="004D567A"/>
    <w:rsid w:val="004D5F4A"/>
    <w:rsid w:val="004D73A4"/>
    <w:rsid w:val="004E4396"/>
    <w:rsid w:val="00500108"/>
    <w:rsid w:val="005002B4"/>
    <w:rsid w:val="00502BBC"/>
    <w:rsid w:val="0050347C"/>
    <w:rsid w:val="00515EC3"/>
    <w:rsid w:val="00525F1F"/>
    <w:rsid w:val="00536F95"/>
    <w:rsid w:val="0054401B"/>
    <w:rsid w:val="00567A7F"/>
    <w:rsid w:val="00570F91"/>
    <w:rsid w:val="0057404B"/>
    <w:rsid w:val="0057732C"/>
    <w:rsid w:val="005A7832"/>
    <w:rsid w:val="005C42B8"/>
    <w:rsid w:val="005D193E"/>
    <w:rsid w:val="005E5652"/>
    <w:rsid w:val="006176E9"/>
    <w:rsid w:val="00617C46"/>
    <w:rsid w:val="00624163"/>
    <w:rsid w:val="006713CD"/>
    <w:rsid w:val="006A194D"/>
    <w:rsid w:val="006B73A2"/>
    <w:rsid w:val="006C5736"/>
    <w:rsid w:val="006C753A"/>
    <w:rsid w:val="006D1542"/>
    <w:rsid w:val="00720BBE"/>
    <w:rsid w:val="00734223"/>
    <w:rsid w:val="00735103"/>
    <w:rsid w:val="007474E0"/>
    <w:rsid w:val="00775B74"/>
    <w:rsid w:val="00794B4D"/>
    <w:rsid w:val="007C27CB"/>
    <w:rsid w:val="007E7241"/>
    <w:rsid w:val="007F42B0"/>
    <w:rsid w:val="008000E7"/>
    <w:rsid w:val="00822CC3"/>
    <w:rsid w:val="0082745E"/>
    <w:rsid w:val="00836B5B"/>
    <w:rsid w:val="0085747E"/>
    <w:rsid w:val="00861723"/>
    <w:rsid w:val="008C5F2D"/>
    <w:rsid w:val="008D1A28"/>
    <w:rsid w:val="008D6DEF"/>
    <w:rsid w:val="00901C61"/>
    <w:rsid w:val="00905D0B"/>
    <w:rsid w:val="009109EE"/>
    <w:rsid w:val="00933D55"/>
    <w:rsid w:val="00956471"/>
    <w:rsid w:val="00986BDD"/>
    <w:rsid w:val="00992968"/>
    <w:rsid w:val="009B2717"/>
    <w:rsid w:val="009B6CF4"/>
    <w:rsid w:val="009D5E69"/>
    <w:rsid w:val="00A00AEC"/>
    <w:rsid w:val="00A325D3"/>
    <w:rsid w:val="00A36133"/>
    <w:rsid w:val="00A407E6"/>
    <w:rsid w:val="00A61298"/>
    <w:rsid w:val="00A65635"/>
    <w:rsid w:val="00A72309"/>
    <w:rsid w:val="00A771A4"/>
    <w:rsid w:val="00A77673"/>
    <w:rsid w:val="00A846F9"/>
    <w:rsid w:val="00A93D69"/>
    <w:rsid w:val="00AC1A9A"/>
    <w:rsid w:val="00AC2A40"/>
    <w:rsid w:val="00AC541F"/>
    <w:rsid w:val="00AE2D14"/>
    <w:rsid w:val="00AF36C4"/>
    <w:rsid w:val="00B222F0"/>
    <w:rsid w:val="00B358C8"/>
    <w:rsid w:val="00B36E6B"/>
    <w:rsid w:val="00B479D4"/>
    <w:rsid w:val="00B565B6"/>
    <w:rsid w:val="00B57649"/>
    <w:rsid w:val="00B63715"/>
    <w:rsid w:val="00B6785B"/>
    <w:rsid w:val="00B71CA5"/>
    <w:rsid w:val="00B75A1D"/>
    <w:rsid w:val="00BC1CCE"/>
    <w:rsid w:val="00BD4275"/>
    <w:rsid w:val="00BD42E1"/>
    <w:rsid w:val="00BE22ED"/>
    <w:rsid w:val="00BF1B21"/>
    <w:rsid w:val="00BF1C1E"/>
    <w:rsid w:val="00BF4BA5"/>
    <w:rsid w:val="00C004A0"/>
    <w:rsid w:val="00C600C9"/>
    <w:rsid w:val="00C86B88"/>
    <w:rsid w:val="00C8745B"/>
    <w:rsid w:val="00C90B1D"/>
    <w:rsid w:val="00CB5760"/>
    <w:rsid w:val="00CD3470"/>
    <w:rsid w:val="00CE61F0"/>
    <w:rsid w:val="00D308F5"/>
    <w:rsid w:val="00D37A53"/>
    <w:rsid w:val="00D44552"/>
    <w:rsid w:val="00D50CFC"/>
    <w:rsid w:val="00D63129"/>
    <w:rsid w:val="00D773A8"/>
    <w:rsid w:val="00D77F3D"/>
    <w:rsid w:val="00D81120"/>
    <w:rsid w:val="00D82074"/>
    <w:rsid w:val="00D82E8A"/>
    <w:rsid w:val="00DA1E78"/>
    <w:rsid w:val="00DB0BFF"/>
    <w:rsid w:val="00DC22FA"/>
    <w:rsid w:val="00DD4296"/>
    <w:rsid w:val="00E118A4"/>
    <w:rsid w:val="00E21895"/>
    <w:rsid w:val="00E3250F"/>
    <w:rsid w:val="00E51369"/>
    <w:rsid w:val="00E75767"/>
    <w:rsid w:val="00E87215"/>
    <w:rsid w:val="00EA7314"/>
    <w:rsid w:val="00EB1F5F"/>
    <w:rsid w:val="00EC31BD"/>
    <w:rsid w:val="00EC3735"/>
    <w:rsid w:val="00EE4A3B"/>
    <w:rsid w:val="00EE5FEA"/>
    <w:rsid w:val="00F01533"/>
    <w:rsid w:val="00F10C3E"/>
    <w:rsid w:val="00F3455C"/>
    <w:rsid w:val="00F56006"/>
    <w:rsid w:val="00F62595"/>
    <w:rsid w:val="00F91468"/>
    <w:rsid w:val="00F92053"/>
    <w:rsid w:val="00F97B17"/>
    <w:rsid w:val="00FA440C"/>
    <w:rsid w:val="00FA5356"/>
    <w:rsid w:val="00FD0E24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3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A2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5136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rsid w:val="008D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8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D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8"/>
    <w:rPr>
      <w:rFonts w:ascii="Calibri" w:eastAsia="Calibri" w:hAnsi="Calibri" w:cs="Times New Roman"/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8D1A2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styleId="Hipercze">
    <w:name w:val="Hyperlink"/>
    <w:uiPriority w:val="99"/>
    <w:rsid w:val="008D1A2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9077D"/>
    <w:pPr>
      <w:ind w:left="720"/>
      <w:contextualSpacing/>
    </w:pPr>
  </w:style>
  <w:style w:type="table" w:customStyle="1" w:styleId="TableGrid">
    <w:name w:val="TableGrid"/>
    <w:rsid w:val="00EB1F5F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54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4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4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4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41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4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A2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5136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rsid w:val="008D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8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D1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8"/>
    <w:rPr>
      <w:rFonts w:ascii="Calibri" w:eastAsia="Calibri" w:hAnsi="Calibri" w:cs="Times New Roman"/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8D1A2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styleId="Hipercze">
    <w:name w:val="Hyperlink"/>
    <w:uiPriority w:val="99"/>
    <w:rsid w:val="008D1A2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9077D"/>
    <w:pPr>
      <w:ind w:left="720"/>
      <w:contextualSpacing/>
    </w:pPr>
  </w:style>
  <w:style w:type="table" w:customStyle="1" w:styleId="TableGrid">
    <w:name w:val="TableGrid"/>
    <w:rsid w:val="00EB1F5F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54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4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4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4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41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4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1682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Zielonka</dc:creator>
  <cp:keywords/>
  <dc:description/>
  <cp:lastModifiedBy>k.keller</cp:lastModifiedBy>
  <cp:revision>220</cp:revision>
  <dcterms:created xsi:type="dcterms:W3CDTF">2021-04-26T08:38:00Z</dcterms:created>
  <dcterms:modified xsi:type="dcterms:W3CDTF">2021-08-31T11:32:00Z</dcterms:modified>
</cp:coreProperties>
</file>