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C805" w14:textId="78EE04AE" w:rsidR="003B77C9" w:rsidRPr="007A7521" w:rsidRDefault="00CD3127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 12</w:t>
      </w:r>
      <w:r w:rsidR="00996E63">
        <w:rPr>
          <w:rFonts w:ascii="Century Gothic" w:hAnsi="Century Gothic" w:cs="Arial"/>
          <w:sz w:val="22"/>
          <w:szCs w:val="22"/>
        </w:rPr>
        <w:t>.01.2021</w:t>
      </w:r>
      <w:r w:rsidR="003B77C9" w:rsidRPr="007A7521">
        <w:rPr>
          <w:rFonts w:ascii="Century Gothic" w:hAnsi="Century Gothic" w:cs="Arial"/>
          <w:sz w:val="22"/>
          <w:szCs w:val="22"/>
        </w:rPr>
        <w:t xml:space="preserve"> r.</w:t>
      </w:r>
    </w:p>
    <w:p w14:paraId="16B53C6A" w14:textId="77777777" w:rsidR="002E62DB" w:rsidRPr="007A7521" w:rsidRDefault="002E62DB" w:rsidP="003B77C9">
      <w:pPr>
        <w:rPr>
          <w:rFonts w:ascii="Century Gothic" w:hAnsi="Century Gothic" w:cs="Arial"/>
          <w:sz w:val="22"/>
          <w:szCs w:val="22"/>
        </w:rPr>
      </w:pPr>
      <w:r w:rsidRPr="007A7521">
        <w:rPr>
          <w:rFonts w:ascii="Century Gothic" w:hAnsi="Century Gothic" w:cs="Arial"/>
          <w:sz w:val="22"/>
          <w:szCs w:val="22"/>
        </w:rPr>
        <w:t>Biuro Zakupów</w:t>
      </w:r>
    </w:p>
    <w:p w14:paraId="41DB64C2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18B52D70" w14:textId="6DA133A5" w:rsidR="003B77C9" w:rsidRPr="007A7521" w:rsidRDefault="00A83318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BZ.261.77</w:t>
      </w:r>
      <w:r w:rsidR="003B77C9" w:rsidRPr="007A7521">
        <w:rPr>
          <w:rFonts w:ascii="Century Gothic" w:hAnsi="Century Gothic" w:cs="Arial"/>
          <w:sz w:val="22"/>
          <w:szCs w:val="22"/>
        </w:rPr>
        <w:t>.2020</w:t>
      </w:r>
      <w:r w:rsidR="00CA2D32">
        <w:rPr>
          <w:rFonts w:ascii="Century Gothic" w:hAnsi="Century Gothic" w:cs="Arial"/>
          <w:sz w:val="22"/>
          <w:szCs w:val="22"/>
        </w:rPr>
        <w:t>/</w:t>
      </w:r>
      <w:r w:rsidR="00BA1B36">
        <w:rPr>
          <w:rFonts w:ascii="Century Gothic" w:hAnsi="Century Gothic" w:cs="Arial"/>
          <w:sz w:val="22"/>
          <w:szCs w:val="22"/>
        </w:rPr>
        <w:t>9</w:t>
      </w:r>
    </w:p>
    <w:p w14:paraId="799CD5AF" w14:textId="77777777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14:paraId="10BE9D07" w14:textId="77777777" w:rsidR="003B77C9" w:rsidRPr="007A7521" w:rsidRDefault="001E6CA9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  <w:r w:rsidRPr="007A7521">
        <w:rPr>
          <w:rFonts w:ascii="Century Gothic" w:hAnsi="Century Gothic" w:cs="Arial"/>
          <w:b/>
          <w:sz w:val="22"/>
          <w:szCs w:val="22"/>
        </w:rPr>
        <w:t>Do Wykonawców</w:t>
      </w:r>
    </w:p>
    <w:p w14:paraId="7B9AD228" w14:textId="79E00E25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</w:p>
    <w:p w14:paraId="7D7D46B5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40D46461" w14:textId="20179DEC" w:rsidR="00996E63" w:rsidRPr="00A83318" w:rsidRDefault="006006A4" w:rsidP="00A83318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Dotyczy: postępowania o udzielenie zamówienia publicznego </w:t>
      </w:r>
      <w:r w:rsidR="00996E63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na </w:t>
      </w:r>
      <w:r w:rsidR="00996E63" w:rsidRPr="00A83318">
        <w:rPr>
          <w:rFonts w:ascii="Century Gothic" w:eastAsia="Calibri" w:hAnsi="Century Gothic" w:cs="Arial"/>
          <w:sz w:val="22"/>
          <w:szCs w:val="22"/>
          <w:lang w:eastAsia="pl-PL"/>
        </w:rPr>
        <w:t>świadczenie usług serwisu utrzymaniowego, prac rozwojowych oraz usług dodatkowych dla Systemu SAP – znak sprawy: BZ.261.77.2020.</w:t>
      </w:r>
    </w:p>
    <w:p w14:paraId="4A0E8976" w14:textId="27108BEA" w:rsidR="006006A4" w:rsidRPr="007A7521" w:rsidRDefault="006006A4" w:rsidP="006006A4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ABC4983" w14:textId="77777777" w:rsidR="003B77C9" w:rsidRPr="007A7521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14:paraId="145CF1AC" w14:textId="557C40C6" w:rsidR="004E29B3" w:rsidRPr="007A7521" w:rsidRDefault="00976D77" w:rsidP="00A86BB1">
      <w:pPr>
        <w:spacing w:before="120" w:after="120"/>
        <w:ind w:firstLine="425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Działając na podstawie art. 38 ust. 2</w:t>
      </w:r>
      <w:r w:rsidR="00082FE2">
        <w:rPr>
          <w:rFonts w:ascii="Century Gothic" w:eastAsia="Calibri" w:hAnsi="Century Gothic" w:cs="Arial"/>
          <w:sz w:val="22"/>
          <w:szCs w:val="22"/>
          <w:lang w:eastAsia="pl-PL"/>
        </w:rPr>
        <w:t xml:space="preserve"> i 4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 ustawy z dnia 29 stycznia 2004 r. – Prawo zamówień publicznych (Dz. U. z 20</w:t>
      </w:r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19 r. poz. 1843, z </w:t>
      </w:r>
      <w:proofErr w:type="spellStart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>późn</w:t>
      </w:r>
      <w:proofErr w:type="spellEnd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. zm.), </w:t>
      </w:r>
      <w:r w:rsidR="00017327">
        <w:rPr>
          <w:rFonts w:ascii="Century Gothic" w:eastAsia="Calibri" w:hAnsi="Century Gothic" w:cs="Arial"/>
          <w:sz w:val="22"/>
          <w:szCs w:val="22"/>
          <w:lang w:eastAsia="pl-PL"/>
        </w:rPr>
        <w:t>zwanej dalej „ustawą”, Z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amawiający przekazuje wyjaśnienia treści SIWZ.</w:t>
      </w:r>
    </w:p>
    <w:p w14:paraId="4CB0071C" w14:textId="5B652CB4" w:rsidR="00132BD6" w:rsidRDefault="00132BD6" w:rsidP="0078484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 w:rsidR="00FF386D"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</w:t>
      </w:r>
    </w:p>
    <w:p w14:paraId="05E87DD3" w14:textId="353109D3" w:rsidR="00054908" w:rsidRPr="00054908" w:rsidRDefault="00054908" w:rsidP="0005490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054908">
        <w:rPr>
          <w:rFonts w:ascii="Century Gothic" w:eastAsia="Calibri" w:hAnsi="Century Gothic" w:cs="Arial"/>
          <w:sz w:val="22"/>
          <w:szCs w:val="22"/>
          <w:lang w:eastAsia="pl-PL"/>
        </w:rPr>
        <w:t>Dotyczy pkt. 1.4.1 SIWZ: wykonawca w okresie ostatnich 3 (trzech) lat przed upływem terminu składania ofert, a jeżeli okres prowadzenia działalności jest krótszy – w tym okresie, wykonał co najmniej 2 (dwie) usługi, których przedmiotem było świadczenie usług serwisu utrzymaniowego lub prac rozwojowych lub usług modyfikacji o wartości co najmniej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1 500 000,00 zł brutto każda.” </w:t>
      </w:r>
      <w:r w:rsidRPr="00054908">
        <w:rPr>
          <w:rFonts w:ascii="Century Gothic" w:eastAsia="Calibri" w:hAnsi="Century Gothic" w:cs="Arial"/>
          <w:sz w:val="22"/>
          <w:szCs w:val="22"/>
          <w:lang w:eastAsia="pl-PL"/>
        </w:rPr>
        <w:t xml:space="preserve">Prosimy o potwierdzenie, że w tym zapisie chodzi o usługi, których przedmiotem było świadczenie usług serwisu utrzymaniowego sytemu SAP </w:t>
      </w:r>
      <w:r w:rsidR="00B137DF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054908">
        <w:rPr>
          <w:rFonts w:ascii="Century Gothic" w:eastAsia="Calibri" w:hAnsi="Century Gothic" w:cs="Arial"/>
          <w:sz w:val="22"/>
          <w:szCs w:val="22"/>
          <w:lang w:eastAsia="pl-PL"/>
        </w:rPr>
        <w:t>lub prac rozwojowych systemu SAP lub usług modyfikacji systemu SAP.</w:t>
      </w:r>
    </w:p>
    <w:p w14:paraId="5D4475CD" w14:textId="0A409309" w:rsidR="00574134" w:rsidRPr="007A7521" w:rsidRDefault="00976D77" w:rsidP="00CA367C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DC5E290" w14:textId="3716BB9E" w:rsidR="00984578" w:rsidRDefault="007D7F39" w:rsidP="00A34D9D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Tak. W zapisie chodzi o co najmniej 2 usługi, których przedmiotem było świadczenie usług serwisu utrzymaniowego systemu SAP lub prac rozwojowych systemu SAP lub usług modyfikacji systemu SAP.  </w:t>
      </w:r>
    </w:p>
    <w:p w14:paraId="072726B3" w14:textId="6F7AF711" w:rsidR="001121E0" w:rsidRDefault="00984578" w:rsidP="0098457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</w:t>
      </w:r>
    </w:p>
    <w:p w14:paraId="1EB2BF0D" w14:textId="021C73C5" w:rsidR="00865EDF" w:rsidRPr="001121E0" w:rsidRDefault="00984578" w:rsidP="0098457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984578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="00460506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="00E75E6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7778B5">
        <w:rPr>
          <w:rFonts w:ascii="Century Gothic" w:eastAsia="Calibri" w:hAnsi="Century Gothic" w:cs="Arial"/>
          <w:sz w:val="22"/>
          <w:szCs w:val="22"/>
          <w:lang w:eastAsia="pl-PL"/>
        </w:rPr>
        <w:t>8 pkt</w:t>
      </w:r>
      <w:r w:rsidR="00B137DF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984578">
        <w:rPr>
          <w:rFonts w:ascii="Century Gothic" w:eastAsia="Calibri" w:hAnsi="Century Gothic" w:cs="Arial"/>
          <w:sz w:val="22"/>
          <w:szCs w:val="22"/>
          <w:lang w:eastAsia="pl-PL"/>
        </w:rPr>
        <w:t xml:space="preserve">1.1: czy zamawiający wprowadzi zapis, iż nie więcej niż 50 % wszystkich zgłoszeń będzie zakwalifikowanych do kategorii A oraz B łącznie, </w:t>
      </w:r>
      <w:r w:rsidR="00B60A1C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984578">
        <w:rPr>
          <w:rFonts w:ascii="Century Gothic" w:eastAsia="Calibri" w:hAnsi="Century Gothic" w:cs="Arial"/>
          <w:sz w:val="22"/>
          <w:szCs w:val="22"/>
          <w:lang w:eastAsia="pl-PL"/>
        </w:rPr>
        <w:t>w tym nie więcej niż 5% kategorii A - o najwyższym priorytecie. Brak takiego zapisu będzie skutkował koniecznością utrzymania stałego dedykowanego zespołu konsultantów SAP, co znacznie wpłynie na wysokość kosztów świadczenia usług serwisowych.</w:t>
      </w:r>
    </w:p>
    <w:p w14:paraId="52D9B19D" w14:textId="77777777" w:rsidR="00865EDF" w:rsidRPr="007A7521" w:rsidRDefault="00865EDF" w:rsidP="00865ED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lastRenderedPageBreak/>
        <w:t>Odpowiedź:</w:t>
      </w:r>
    </w:p>
    <w:p w14:paraId="5EA846A5" w14:textId="16EC9144" w:rsidR="00865EDF" w:rsidRDefault="007D7F39" w:rsidP="00865EDF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Nie. Zamawiający nie wprowadzi takiego zapisu.</w:t>
      </w:r>
    </w:p>
    <w:p w14:paraId="56C8C0CA" w14:textId="77777777" w:rsidR="00865EDF" w:rsidRDefault="00865EDF" w:rsidP="00865EDF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EECD51F" w14:textId="5BF96A84" w:rsidR="00865EDF" w:rsidRDefault="00865EDF" w:rsidP="00865EDF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3</w:t>
      </w:r>
    </w:p>
    <w:p w14:paraId="3704F532" w14:textId="77777777" w:rsidR="001121E0" w:rsidRDefault="001121E0" w:rsidP="00865EDF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5576890D" w14:textId="29DF2BC2" w:rsidR="007778B5" w:rsidRPr="00273567" w:rsidRDefault="00865EDF" w:rsidP="00865EDF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>Dotyczy definicji: prosimy o</w:t>
      </w:r>
      <w:r w:rsidR="00E75E6B">
        <w:rPr>
          <w:rFonts w:ascii="Century Gothic" w:eastAsia="Calibri" w:hAnsi="Century Gothic" w:cs="Arial"/>
          <w:sz w:val="22"/>
          <w:szCs w:val="22"/>
          <w:lang w:eastAsia="pl-PL"/>
        </w:rPr>
        <w:t xml:space="preserve"> wskazanie kluczowych procesów z</w:t>
      </w: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>amawiającego.</w:t>
      </w: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br/>
        <w:t>Prosimy o podanie przykładów zgłoszeń dla kategorii A.</w:t>
      </w:r>
    </w:p>
    <w:p w14:paraId="6657E16E" w14:textId="77777777" w:rsidR="007778B5" w:rsidRPr="007A7521" w:rsidRDefault="007778B5" w:rsidP="007778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1A8271EA" w14:textId="594A5345" w:rsidR="000D7ABC" w:rsidRDefault="000D7ABC" w:rsidP="00D641D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Kluczowe procesy:</w:t>
      </w:r>
    </w:p>
    <w:p w14:paraId="6A10E488" w14:textId="6904687F" w:rsidR="18AAAAF7" w:rsidRDefault="18AAAAF7" w:rsidP="007801BD">
      <w:pPr>
        <w:pStyle w:val="Akapitzlist"/>
        <w:numPr>
          <w:ilvl w:val="0"/>
          <w:numId w:val="17"/>
        </w:numPr>
        <w:spacing w:line="259" w:lineRule="auto"/>
        <w:jc w:val="both"/>
        <w:rPr>
          <w:rFonts w:eastAsiaTheme="minorEastAsia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>Gospodarowanie Rezerwami Strategicznymi Żywnościowymi</w:t>
      </w:r>
    </w:p>
    <w:p w14:paraId="1493BE0C" w14:textId="5CE7EFE9" w:rsidR="18AAAAF7" w:rsidRDefault="18AAAAF7" w:rsidP="007801BD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>Gospodarowanie Rezerwami Strategicznymi Medycznymi</w:t>
      </w:r>
    </w:p>
    <w:p w14:paraId="2EF46B70" w14:textId="3D9BBB25" w:rsidR="18AAAAF7" w:rsidRDefault="18AAAAF7" w:rsidP="007801BD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>Gospodarowanie Rezerwami Strategicznymi Technicznymi</w:t>
      </w:r>
    </w:p>
    <w:p w14:paraId="7E166087" w14:textId="0EE00940" w:rsidR="18AAAAF7" w:rsidRDefault="18AAAAF7" w:rsidP="007801BD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>Tworzenie i Utrzymywanie Zapasów Agencyjnych</w:t>
      </w:r>
    </w:p>
    <w:p w14:paraId="1B56DD7B" w14:textId="1F1F467B" w:rsidR="18AAAAF7" w:rsidRDefault="18AAAAF7" w:rsidP="007801BD">
      <w:pPr>
        <w:pStyle w:val="Akapitzlist"/>
        <w:numPr>
          <w:ilvl w:val="0"/>
          <w:numId w:val="17"/>
        </w:numPr>
        <w:spacing w:line="259" w:lineRule="auto"/>
        <w:jc w:val="both"/>
        <w:rPr>
          <w:rFonts w:eastAsiaTheme="minorEastAsia"/>
          <w:sz w:val="22"/>
          <w:szCs w:val="22"/>
        </w:rPr>
      </w:pP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Nadzorowanie</w:t>
      </w:r>
      <w:r w:rsidR="5DC53376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Zapasów</w:t>
      </w:r>
      <w:r w:rsidR="4B43E04F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Obowiązkowych</w:t>
      </w:r>
      <w:r w:rsidR="48B92CD2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Ropy</w:t>
      </w:r>
      <w:r w:rsidR="5106CBB9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Naftowej</w:t>
      </w:r>
      <w:r w:rsidR="5FD91410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i</w:t>
      </w:r>
      <w:r w:rsidR="5FD91410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801BD">
        <w:rPr>
          <w:rFonts w:ascii="Century Gothic" w:eastAsia="Calibri" w:hAnsi="Century Gothic" w:cs="Arial"/>
          <w:sz w:val="22"/>
          <w:szCs w:val="22"/>
          <w:lang w:eastAsia="pl-PL"/>
        </w:rPr>
        <w:t>Paliw</w:t>
      </w:r>
    </w:p>
    <w:p w14:paraId="71D06FC2" w14:textId="3CBE0F1D" w:rsidR="208D1AA4" w:rsidRDefault="00B3548B" w:rsidP="007801BD">
      <w:pPr>
        <w:pStyle w:val="Akapitzlist"/>
        <w:numPr>
          <w:ilvl w:val="0"/>
          <w:numId w:val="17"/>
        </w:numPr>
        <w:spacing w:line="259" w:lineRule="auto"/>
        <w:jc w:val="both"/>
        <w:rPr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Gospodarowanie Zasobami Ludzkimi </w:t>
      </w:r>
      <w:r w:rsidR="003D3897">
        <w:rPr>
          <w:rFonts w:ascii="Century Gothic" w:eastAsia="Calibri" w:hAnsi="Century Gothic" w:cs="Arial"/>
          <w:sz w:val="22"/>
          <w:szCs w:val="22"/>
          <w:lang w:eastAsia="pl-PL"/>
        </w:rPr>
        <w:t xml:space="preserve"> w szczególności</w:t>
      </w:r>
      <w:r w:rsidR="000A6311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B17780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dotyczące 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>terminow</w:t>
      </w:r>
      <w:r w:rsidR="00B17780">
        <w:rPr>
          <w:rFonts w:ascii="Century Gothic" w:eastAsia="Calibri" w:hAnsi="Century Gothic" w:cs="Arial"/>
          <w:sz w:val="22"/>
          <w:szCs w:val="22"/>
          <w:lang w:eastAsia="pl-PL"/>
        </w:rPr>
        <w:t>ości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B17780" w:rsidRPr="703A998B">
        <w:rPr>
          <w:rFonts w:ascii="Century Gothic" w:eastAsia="Calibri" w:hAnsi="Century Gothic" w:cs="Arial"/>
          <w:sz w:val="22"/>
          <w:szCs w:val="22"/>
          <w:lang w:eastAsia="pl-PL"/>
        </w:rPr>
        <w:t>naliczani</w:t>
      </w:r>
      <w:r w:rsidR="00B17780">
        <w:rPr>
          <w:rFonts w:ascii="Century Gothic" w:eastAsia="Calibri" w:hAnsi="Century Gothic" w:cs="Arial"/>
          <w:sz w:val="22"/>
          <w:szCs w:val="22"/>
          <w:lang w:eastAsia="pl-PL"/>
        </w:rPr>
        <w:t>a</w:t>
      </w:r>
      <w:r w:rsidR="00B17780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>i wypłat</w:t>
      </w:r>
      <w:r w:rsidR="00B17780">
        <w:rPr>
          <w:rFonts w:ascii="Century Gothic" w:eastAsia="Calibri" w:hAnsi="Century Gothic" w:cs="Arial"/>
          <w:sz w:val="22"/>
          <w:szCs w:val="22"/>
          <w:lang w:eastAsia="pl-PL"/>
        </w:rPr>
        <w:t>y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świadczeń oraz terminowe przekazywanie sprawozdań</w:t>
      </w:r>
      <w:r w:rsidR="000A6311">
        <w:rPr>
          <w:rFonts w:ascii="Century Gothic" w:eastAsia="Calibri" w:hAnsi="Century Gothic" w:cs="Arial"/>
          <w:sz w:val="22"/>
          <w:szCs w:val="22"/>
          <w:lang w:eastAsia="pl-PL"/>
        </w:rPr>
        <w:t xml:space="preserve"> organom </w:t>
      </w:r>
      <w:r w:rsidR="00437C2C">
        <w:rPr>
          <w:rFonts w:ascii="Century Gothic" w:eastAsia="Calibri" w:hAnsi="Century Gothic" w:cs="Arial"/>
          <w:sz w:val="22"/>
          <w:szCs w:val="22"/>
          <w:lang w:eastAsia="pl-PL"/>
        </w:rPr>
        <w:t>podatkowym i nadzorującym</w:t>
      </w:r>
    </w:p>
    <w:p w14:paraId="217DA71F" w14:textId="36A503C4" w:rsidR="208D1AA4" w:rsidRDefault="00A61DD1" w:rsidP="007801BD">
      <w:pPr>
        <w:pStyle w:val="Akapitzlist"/>
        <w:numPr>
          <w:ilvl w:val="0"/>
          <w:numId w:val="17"/>
        </w:numPr>
        <w:spacing w:line="259" w:lineRule="auto"/>
        <w:jc w:val="both"/>
        <w:rPr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Realizacja Procesów 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>Finansowo -  Księgow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ych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437C2C">
        <w:rPr>
          <w:rFonts w:ascii="Century Gothic" w:eastAsia="Calibri" w:hAnsi="Century Gothic" w:cs="Arial"/>
          <w:sz w:val="22"/>
          <w:szCs w:val="22"/>
          <w:lang w:eastAsia="pl-PL"/>
        </w:rPr>
        <w:t>w szczególności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dot</w:t>
      </w:r>
      <w:r w:rsidR="003B5ED6">
        <w:rPr>
          <w:rFonts w:ascii="Century Gothic" w:eastAsia="Calibri" w:hAnsi="Century Gothic" w:cs="Arial"/>
          <w:sz w:val="22"/>
          <w:szCs w:val="22"/>
          <w:lang w:eastAsia="pl-PL"/>
        </w:rPr>
        <w:t xml:space="preserve">yczące </w:t>
      </w:r>
      <w:r w:rsidR="009B4EDC" w:rsidRPr="703A998B">
        <w:rPr>
          <w:rFonts w:ascii="Century Gothic" w:eastAsia="Calibri" w:hAnsi="Century Gothic" w:cs="Arial"/>
          <w:sz w:val="22"/>
          <w:szCs w:val="22"/>
          <w:lang w:eastAsia="pl-PL"/>
        </w:rPr>
        <w:t>termin</w:t>
      </w:r>
      <w:r w:rsidR="009B4EDC">
        <w:rPr>
          <w:rFonts w:ascii="Century Gothic" w:eastAsia="Calibri" w:hAnsi="Century Gothic" w:cs="Arial"/>
          <w:sz w:val="22"/>
          <w:szCs w:val="22"/>
          <w:lang w:eastAsia="pl-PL"/>
        </w:rPr>
        <w:t>owości</w:t>
      </w:r>
      <w:r w:rsidR="003B5ED6">
        <w:rPr>
          <w:rFonts w:ascii="Century Gothic" w:eastAsia="Calibri" w:hAnsi="Century Gothic" w:cs="Arial"/>
          <w:sz w:val="22"/>
          <w:szCs w:val="22"/>
          <w:lang w:eastAsia="pl-PL"/>
        </w:rPr>
        <w:t xml:space="preserve"> przekazywania </w:t>
      </w:r>
      <w:r w:rsidR="208D1A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sprawozdań</w:t>
      </w:r>
      <w:r w:rsidR="003B5ED6">
        <w:rPr>
          <w:rFonts w:ascii="Century Gothic" w:eastAsia="Calibri" w:hAnsi="Century Gothic" w:cs="Arial"/>
          <w:sz w:val="22"/>
          <w:szCs w:val="22"/>
          <w:lang w:eastAsia="pl-PL"/>
        </w:rPr>
        <w:t xml:space="preserve"> organom podatkowym i </w:t>
      </w:r>
      <w:r w:rsidR="009B4EDC">
        <w:rPr>
          <w:rFonts w:ascii="Century Gothic" w:eastAsia="Calibri" w:hAnsi="Century Gothic" w:cs="Arial"/>
          <w:sz w:val="22"/>
          <w:szCs w:val="22"/>
          <w:lang w:eastAsia="pl-PL"/>
        </w:rPr>
        <w:t>nadzorującym</w:t>
      </w:r>
    </w:p>
    <w:p w14:paraId="3833BE64" w14:textId="27544E1F" w:rsidR="000D7ABC" w:rsidRDefault="000D7ABC" w:rsidP="00D641D2">
      <w:pPr>
        <w:jc w:val="both"/>
        <w:rPr>
          <w:rFonts w:ascii="Century Gothic" w:eastAsia="Century Gothic" w:hAnsi="Century Gothic" w:cs="Century Gothic"/>
          <w:sz w:val="15"/>
          <w:szCs w:val="15"/>
        </w:rPr>
      </w:pPr>
    </w:p>
    <w:p w14:paraId="398909DF" w14:textId="39AA43E0" w:rsidR="00EF2AE6" w:rsidRDefault="00EF2AE6" w:rsidP="00D641D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Przykładowe z</w:t>
      </w:r>
      <w:r w:rsidR="00D641D2">
        <w:rPr>
          <w:rFonts w:ascii="Century Gothic" w:eastAsia="Calibri" w:hAnsi="Century Gothic" w:cs="Arial"/>
          <w:sz w:val="22"/>
          <w:szCs w:val="22"/>
          <w:lang w:eastAsia="pl-PL"/>
        </w:rPr>
        <w:t>głoszenie</w:t>
      </w:r>
      <w:r w:rsidR="00953AC4">
        <w:rPr>
          <w:rFonts w:ascii="Century Gothic" w:eastAsia="Calibri" w:hAnsi="Century Gothic" w:cs="Arial"/>
          <w:sz w:val="22"/>
          <w:szCs w:val="22"/>
          <w:lang w:eastAsia="pl-PL"/>
        </w:rPr>
        <w:t xml:space="preserve"> błędu typu A:</w:t>
      </w:r>
    </w:p>
    <w:p w14:paraId="3C0D051D" w14:textId="53FAC5CF" w:rsidR="00D641D2" w:rsidRPr="00D641D2" w:rsidRDefault="00953AC4" w:rsidP="00D641D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„</w:t>
      </w:r>
      <w:r w:rsidR="00D641D2" w:rsidRPr="00D641D2">
        <w:rPr>
          <w:rFonts w:ascii="Century Gothic" w:eastAsia="Calibri" w:hAnsi="Century Gothic" w:cs="Arial"/>
          <w:sz w:val="22"/>
          <w:szCs w:val="22"/>
          <w:lang w:eastAsia="pl-PL"/>
        </w:rPr>
        <w:t>Błąd podczas wprowadzania darowizny . Podczas wprowadzania darowizny w module MM ruch 951 otrzymuje komunikat "Proszę uzupełnić działy gospodarcze na pozycjach" nr komunikatu ZFI098. Pomimo uzupełnienie działu gospodarczego w ruchu 951 komunikat nadal się pojawia podczas księgowania dokumentu.</w:t>
      </w:r>
    </w:p>
    <w:p w14:paraId="54702C6D" w14:textId="64200A37" w:rsidR="007778B5" w:rsidRDefault="00D641D2" w:rsidP="00D641D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D641D2">
        <w:rPr>
          <w:rFonts w:ascii="Century Gothic" w:eastAsia="Calibri" w:hAnsi="Century Gothic" w:cs="Arial"/>
          <w:sz w:val="22"/>
          <w:szCs w:val="22"/>
          <w:lang w:eastAsia="pl-PL"/>
        </w:rPr>
        <w:t>Proszę o pilne naprawienie błędu. Towar dziś powinien zostać przyjęty na magazyn oraz wydany.</w:t>
      </w:r>
      <w:r w:rsidR="00953AC4">
        <w:rPr>
          <w:rFonts w:ascii="Century Gothic" w:eastAsia="Calibri" w:hAnsi="Century Gothic" w:cs="Arial"/>
          <w:sz w:val="22"/>
          <w:szCs w:val="22"/>
          <w:lang w:eastAsia="pl-PL"/>
        </w:rPr>
        <w:t>”</w:t>
      </w:r>
    </w:p>
    <w:p w14:paraId="67F61386" w14:textId="77777777" w:rsidR="007778B5" w:rsidRDefault="007778B5" w:rsidP="00865EDF">
      <w:pPr>
        <w:jc w:val="both"/>
      </w:pPr>
    </w:p>
    <w:p w14:paraId="7A66BB20" w14:textId="3FF2AD91" w:rsidR="007778B5" w:rsidRDefault="007778B5" w:rsidP="007778B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4</w:t>
      </w:r>
    </w:p>
    <w:p w14:paraId="543F631E" w14:textId="77777777" w:rsidR="001121E0" w:rsidRDefault="001121E0" w:rsidP="007778B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4E9AAAF7" w14:textId="1E564F61" w:rsidR="00E75E6B" w:rsidRDefault="00B137DF" w:rsidP="00B137DF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 xml:space="preserve"> 3 pkt 2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: prosimy o potwierdzenie, </w:t>
      </w: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 xml:space="preserve">że wymaganie dotyczące pracy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  <w:t>w siedzibie z</w:t>
      </w:r>
      <w:r w:rsidRPr="00B137DF">
        <w:rPr>
          <w:rFonts w:ascii="Century Gothic" w:eastAsia="Calibri" w:hAnsi="Century Gothic" w:cs="Arial"/>
          <w:sz w:val="22"/>
          <w:szCs w:val="22"/>
          <w:lang w:eastAsia="pl-PL"/>
        </w:rPr>
        <w:t>amawiającego ogranicza się do obszaru kadry i płace.</w:t>
      </w:r>
    </w:p>
    <w:p w14:paraId="1E9DB095" w14:textId="77777777" w:rsidR="00E75E6B" w:rsidRPr="007A7521" w:rsidRDefault="00E75E6B" w:rsidP="00E75E6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28BF85B" w14:textId="2DC2667D" w:rsidR="00E75E6B" w:rsidRDefault="007D7F39" w:rsidP="00E75E6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Wymaganie pracy w siedzibie Zamawiającego dotyczy wszystkich prac w systemie niejawnym i prac w systemie jawnym w obszarze obejmującym dane kadrowe lub płacowe. </w:t>
      </w:r>
      <w:r w:rsidR="00EB5DB8">
        <w:rPr>
          <w:rFonts w:ascii="Century Gothic" w:eastAsia="Calibri" w:hAnsi="Century Gothic" w:cs="Arial"/>
          <w:sz w:val="22"/>
          <w:szCs w:val="22"/>
          <w:lang w:eastAsia="pl-PL"/>
        </w:rPr>
        <w:t xml:space="preserve">Ponadto w przypadku systemu jawnego nie można </w:t>
      </w:r>
      <w:r w:rsidR="00EB5DB8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>ograniczyć się do pojęcia obszar kadry i płace</w:t>
      </w:r>
      <w:r w:rsidR="2D1AF675" w:rsidRPr="703A998B">
        <w:rPr>
          <w:rFonts w:ascii="Century Gothic" w:eastAsia="Calibri" w:hAnsi="Century Gothic" w:cs="Arial"/>
          <w:sz w:val="22"/>
          <w:szCs w:val="22"/>
          <w:lang w:eastAsia="pl-PL"/>
        </w:rPr>
        <w:t>,</w:t>
      </w:r>
      <w:r w:rsidR="00EB5DB8">
        <w:rPr>
          <w:rFonts w:ascii="Century Gothic" w:eastAsia="Calibri" w:hAnsi="Century Gothic" w:cs="Arial"/>
          <w:sz w:val="22"/>
          <w:szCs w:val="22"/>
          <w:lang w:eastAsia="pl-PL"/>
        </w:rPr>
        <w:t xml:space="preserve"> gdyż dekretacja list płac ma miejsce w systemie FI. Równocześnie Zamawiający zastrzega sobie możliwość żądania od Wykonawcy pracy w siedzibie Zamawiającego o ile uzna, że charakter prac tego wymaga. </w:t>
      </w:r>
    </w:p>
    <w:p w14:paraId="5DEC877A" w14:textId="77777777" w:rsidR="00E75E6B" w:rsidRDefault="00E75E6B" w:rsidP="00E75E6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691EAB8" w14:textId="7359327C" w:rsidR="00E75E6B" w:rsidRDefault="00E75E6B" w:rsidP="00E75E6B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5</w:t>
      </w:r>
    </w:p>
    <w:p w14:paraId="1ECA5B94" w14:textId="77777777" w:rsidR="001121E0" w:rsidRDefault="001121E0" w:rsidP="00E75E6B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134B9659" w14:textId="6EF9573A" w:rsidR="00012C7E" w:rsidRDefault="00EB68FA" w:rsidP="00012C7E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EB68FA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="00012C7E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EB68FA">
        <w:rPr>
          <w:rFonts w:ascii="Century Gothic" w:eastAsia="Calibri" w:hAnsi="Century Gothic" w:cs="Arial"/>
          <w:sz w:val="22"/>
          <w:szCs w:val="22"/>
          <w:lang w:eastAsia="pl-PL"/>
        </w:rPr>
        <w:t xml:space="preserve"> 4 pkt 6: </w:t>
      </w:r>
      <w:r w:rsidR="0035558F">
        <w:rPr>
          <w:rFonts w:ascii="Century Gothic" w:eastAsia="Calibri" w:hAnsi="Century Gothic" w:cs="Arial"/>
          <w:sz w:val="22"/>
          <w:szCs w:val="22"/>
          <w:lang w:eastAsia="pl-PL"/>
        </w:rPr>
        <w:t>i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lu pracowników z</w:t>
      </w:r>
      <w:r w:rsidRPr="00EB68FA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amawiającego zostanie wyznaczonych </w:t>
      </w:r>
      <w:r w:rsidR="00012C7E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EB68FA">
        <w:rPr>
          <w:rFonts w:ascii="Century Gothic" w:eastAsia="Calibri" w:hAnsi="Century Gothic" w:cs="Arial"/>
          <w:sz w:val="22"/>
          <w:szCs w:val="22"/>
          <w:lang w:eastAsia="pl-PL"/>
        </w:rPr>
        <w:t>do zgłaszania problemów?</w:t>
      </w:r>
    </w:p>
    <w:p w14:paraId="3007F69F" w14:textId="77777777" w:rsidR="00012C7E" w:rsidRPr="007A7521" w:rsidRDefault="00012C7E" w:rsidP="00012C7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3C8CFDE4" w14:textId="56838372" w:rsidR="00012C7E" w:rsidRDefault="00E74C0D" w:rsidP="00012C7E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Ze strony Zamawiającego zgłoszonych zostanie 5 osób upoważnionych do zgłaszania problemów.</w:t>
      </w:r>
    </w:p>
    <w:p w14:paraId="56164BBB" w14:textId="426BC8E6" w:rsidR="00E75E6B" w:rsidRDefault="00E75E6B" w:rsidP="00012C7E">
      <w:pPr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65E3784" w14:textId="33AF9E50" w:rsidR="00DC5388" w:rsidRDefault="00DC5388" w:rsidP="00DC538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6</w:t>
      </w:r>
    </w:p>
    <w:p w14:paraId="542802E6" w14:textId="77777777" w:rsidR="001121E0" w:rsidRDefault="001121E0" w:rsidP="00DC538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5D00F88C" w14:textId="0E567FD0" w:rsidR="00CD2413" w:rsidRDefault="00DC5388" w:rsidP="0027356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CD2413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="00CD2413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="00CD2413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CD2413">
        <w:rPr>
          <w:rFonts w:ascii="Century Gothic" w:eastAsia="Calibri" w:hAnsi="Century Gothic" w:cs="Arial"/>
          <w:sz w:val="22"/>
          <w:szCs w:val="22"/>
          <w:lang w:eastAsia="pl-PL"/>
        </w:rPr>
        <w:t xml:space="preserve">7 pkt 1.9: czy zamawiający udostępni środowisko jawne oraz niejawne na potrzeby realizacji wymagania określonego w </w:t>
      </w:r>
      <w:r w:rsidR="00CD2413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="00CD2413">
        <w:rPr>
          <w:rFonts w:ascii="Century Gothic" w:eastAsia="Calibri" w:hAnsi="Century Gothic" w:cs="Arial"/>
          <w:sz w:val="22"/>
          <w:szCs w:val="22"/>
          <w:lang w:eastAsia="pl-PL"/>
        </w:rPr>
        <w:t xml:space="preserve"> 7 pkt</w:t>
      </w:r>
      <w:r w:rsidRPr="00CD2413">
        <w:rPr>
          <w:rFonts w:ascii="Century Gothic" w:eastAsia="Calibri" w:hAnsi="Century Gothic" w:cs="Arial"/>
          <w:sz w:val="22"/>
          <w:szCs w:val="22"/>
          <w:lang w:eastAsia="pl-PL"/>
        </w:rPr>
        <w:t xml:space="preserve"> 1.9?</w:t>
      </w:r>
    </w:p>
    <w:p w14:paraId="414E5A7E" w14:textId="77777777" w:rsidR="00CD2413" w:rsidRPr="007A7521" w:rsidRDefault="00CD2413" w:rsidP="00CD241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5F2672A" w14:textId="27720869" w:rsidR="00CD2413" w:rsidRDefault="00D641D2" w:rsidP="00CD241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Tak, z konsekwencjami </w:t>
      </w:r>
      <w:r w:rsidR="00873FF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873FF5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="00873FF5" w:rsidRPr="00B137DF">
        <w:rPr>
          <w:rFonts w:ascii="Century Gothic" w:eastAsia="Calibri" w:hAnsi="Century Gothic" w:cs="Arial"/>
          <w:sz w:val="22"/>
          <w:szCs w:val="22"/>
          <w:lang w:eastAsia="pl-PL"/>
        </w:rPr>
        <w:t xml:space="preserve"> 3 pkt 2</w:t>
      </w:r>
      <w:r w:rsidR="00873FF5">
        <w:rPr>
          <w:rFonts w:ascii="Century Gothic" w:eastAsia="Calibri" w:hAnsi="Century Gothic" w:cs="Arial"/>
          <w:sz w:val="22"/>
          <w:szCs w:val="22"/>
          <w:lang w:eastAsia="pl-PL"/>
        </w:rPr>
        <w:t xml:space="preserve"> i wyjaśnieniami z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odpowiedzi na pytanie nr 4</w:t>
      </w:r>
      <w:r w:rsidR="00873FF5">
        <w:rPr>
          <w:rFonts w:ascii="Century Gothic" w:eastAsia="Calibri" w:hAnsi="Century Gothic" w:cs="Arial"/>
          <w:sz w:val="22"/>
          <w:szCs w:val="22"/>
          <w:lang w:eastAsia="pl-PL"/>
        </w:rPr>
        <w:t>.</w:t>
      </w:r>
    </w:p>
    <w:p w14:paraId="094BF04C" w14:textId="77777777" w:rsidR="00CD2413" w:rsidRDefault="00CD2413" w:rsidP="00DC5388">
      <w:pPr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05CF5DC" w14:textId="61D140CB" w:rsidR="009B0157" w:rsidRDefault="009B0157" w:rsidP="009B015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7</w:t>
      </w:r>
    </w:p>
    <w:p w14:paraId="1E040BFF" w14:textId="77777777" w:rsidR="001121E0" w:rsidRDefault="001121E0" w:rsidP="009B015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4CB25187" w14:textId="77777777" w:rsidR="00D831C7" w:rsidRDefault="009B0157" w:rsidP="009B015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8 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pkt 1.5</w:t>
      </w:r>
      <w:r w:rsidR="00D831C7">
        <w:rPr>
          <w:rFonts w:ascii="Century Gothic" w:eastAsia="Calibri" w:hAnsi="Century Gothic" w:cs="Arial"/>
          <w:sz w:val="22"/>
          <w:szCs w:val="22"/>
          <w:lang w:eastAsia="pl-PL"/>
        </w:rPr>
        <w:t>: p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rosimy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o wyjaśnienie szczegółowe, co z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amawiający rozumie jako aktualizację a co przez </w:t>
      </w:r>
      <w:proofErr w:type="spellStart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 systemu SAP oraz doprecyzuje w związku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z tym wymaganie w </w:t>
      </w:r>
      <w:r w:rsidR="00D831C7"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="00D831C7">
        <w:rPr>
          <w:rFonts w:ascii="Century Gothic" w:eastAsia="Calibri" w:hAnsi="Century Gothic" w:cs="Arial"/>
          <w:sz w:val="22"/>
          <w:szCs w:val="22"/>
          <w:lang w:eastAsia="pl-PL"/>
        </w:rPr>
        <w:t xml:space="preserve"> 7 pkt 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1.5 </w:t>
      </w:r>
    </w:p>
    <w:p w14:paraId="7E9767AA" w14:textId="6F064060" w:rsidR="00273567" w:rsidRDefault="009B0157" w:rsidP="00FB690D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a. Aktualizacje systemu są wydawane przez producenta średnio raz na kwartał</w:t>
      </w:r>
      <w:r w:rsidR="00FB690D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i obejmują bieżące usprawnienia oraz usunięcie istotnych wykrytych błędów. </w:t>
      </w:r>
      <w:r w:rsidR="00FB690D">
        <w:rPr>
          <w:rFonts w:ascii="Century Gothic" w:eastAsia="Calibri" w:hAnsi="Century Gothic" w:cs="Arial"/>
          <w:sz w:val="22"/>
          <w:szCs w:val="22"/>
          <w:lang w:eastAsia="pl-PL"/>
        </w:rPr>
        <w:br/>
        <w:t>Nie wymagają zmiany wersji s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ystemu. </w:t>
      </w:r>
    </w:p>
    <w:p w14:paraId="37A6488D" w14:textId="2E116C75" w:rsidR="00D26A9E" w:rsidRDefault="009B0157" w:rsidP="00FB690D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b. Upgrade natomiast jest to zupełnie nowa, wyższa wersja systemu wymagająca podejścia projektowego obejmującego: zaplanowanie zakresu, terminów, analizę i przygotowanie zakresu zmian w odniesieniu do istniejącej wersji, właściwe wykonanie </w:t>
      </w:r>
      <w:proofErr w:type="spellStart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, dostosowanie zmian zidentyfikowanych we wcześniejszym etapie, testy i uruchomienie produkcyjne. Taki projekt z reguły trwa 3 - 6 miesięcy i wymaga stopniowego czasowego wyłączenia mandantów, oraz aktywnej wspó</w:t>
      </w:r>
      <w:r w:rsidR="00FB690D">
        <w:rPr>
          <w:rFonts w:ascii="Century Gothic" w:eastAsia="Calibri" w:hAnsi="Century Gothic" w:cs="Arial"/>
          <w:sz w:val="22"/>
          <w:szCs w:val="22"/>
          <w:lang w:eastAsia="pl-PL"/>
        </w:rPr>
        <w:t>łpracy użytkowników kluczowych z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amawiającego </w:t>
      </w:r>
      <w:r w:rsidR="00FB690D">
        <w:rPr>
          <w:rFonts w:ascii="Century Gothic" w:eastAsia="Calibri" w:hAnsi="Century Gothic" w:cs="Arial"/>
          <w:sz w:val="22"/>
          <w:szCs w:val="22"/>
          <w:lang w:eastAsia="pl-PL"/>
        </w:rPr>
        <w:br/>
        <w:t>i konsultantów wykonawcy. Nowa wersja s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ystemu p</w:t>
      </w:r>
      <w:r w:rsidR="00FB690D">
        <w:rPr>
          <w:rFonts w:ascii="Century Gothic" w:eastAsia="Calibri" w:hAnsi="Century Gothic" w:cs="Arial"/>
          <w:sz w:val="22"/>
          <w:szCs w:val="22"/>
          <w:lang w:eastAsia="pl-PL"/>
        </w:rPr>
        <w:t xml:space="preserve">ojawia się średnio raz w roku. </w:t>
      </w:r>
      <w:r w:rsidR="00ED3444">
        <w:rPr>
          <w:rFonts w:ascii="Century Gothic" w:eastAsia="Calibri" w:hAnsi="Century Gothic" w:cs="Arial"/>
          <w:sz w:val="22"/>
          <w:szCs w:val="22"/>
          <w:lang w:eastAsia="pl-PL"/>
        </w:rPr>
        <w:t xml:space="preserve">W związku z taką definicją </w:t>
      </w:r>
      <w:proofErr w:type="spellStart"/>
      <w:r w:rsidR="00ED3444">
        <w:rPr>
          <w:rFonts w:ascii="Century Gothic" w:eastAsia="Calibri" w:hAnsi="Century Gothic" w:cs="Arial"/>
          <w:sz w:val="22"/>
          <w:szCs w:val="22"/>
          <w:lang w:eastAsia="pl-PL"/>
        </w:rPr>
        <w:t>u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pgrade</w:t>
      </w:r>
      <w:proofErr w:type="spellEnd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, ile w trakcie trwania umowy w ramach ryczałtu nale</w:t>
      </w:r>
      <w:r w:rsidR="00ED3444">
        <w:rPr>
          <w:rFonts w:ascii="Century Gothic" w:eastAsia="Calibri" w:hAnsi="Century Gothic" w:cs="Arial"/>
          <w:sz w:val="22"/>
          <w:szCs w:val="22"/>
          <w:lang w:eastAsia="pl-PL"/>
        </w:rPr>
        <w:t xml:space="preserve">ży przyjąć i wycenić projektów </w:t>
      </w:r>
      <w:proofErr w:type="spellStart"/>
      <w:r w:rsidR="00ED3444">
        <w:rPr>
          <w:rFonts w:ascii="Century Gothic" w:eastAsia="Calibri" w:hAnsi="Century Gothic" w:cs="Arial"/>
          <w:sz w:val="22"/>
          <w:szCs w:val="22"/>
          <w:lang w:eastAsia="pl-PL"/>
        </w:rPr>
        <w:t>u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>pgrade</w:t>
      </w:r>
      <w:proofErr w:type="spellEnd"/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t xml:space="preserve">? Czy ewentualnie będzie </w:t>
      </w:r>
      <w:r w:rsidRPr="009B0157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>to traktowane jako rozwój i zostanie wyceniane, a następnie rozliczane z puli przeznaczonej na prace rozwojowe oraz usługi dodatkowe dla systemu SAP S/4HANA?</w:t>
      </w:r>
    </w:p>
    <w:p w14:paraId="4FC0D315" w14:textId="77777777" w:rsidR="00D26A9E" w:rsidRPr="007A7521" w:rsidRDefault="00D26A9E" w:rsidP="00D26A9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776CE7F" w14:textId="5CB9604F" w:rsidR="000D7ABC" w:rsidRDefault="000D7ABC" w:rsidP="00D26A9E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Zamawiający rozumie aktualizację i </w:t>
      </w:r>
      <w:proofErr w:type="spellStart"/>
      <w:r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tak jak to zostało opisane w treści pytania, odpowiednio punkt a) i b).</w:t>
      </w:r>
    </w:p>
    <w:p w14:paraId="336EA904" w14:textId="17F80484" w:rsidR="00D26A9E" w:rsidRDefault="000D7ABC" w:rsidP="00D26A9E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Zamawiający nie będzie rozliczał tych działań z puli przeznaczonej na prace rozwojowe lub usługi dodatkowe. </w:t>
      </w:r>
    </w:p>
    <w:p w14:paraId="043EC7D3" w14:textId="77777777" w:rsidR="00D26A9E" w:rsidRDefault="00D26A9E" w:rsidP="00D26A9E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8304E45" w14:textId="47C6AF13" w:rsidR="00D26A9E" w:rsidRDefault="00D26A9E" w:rsidP="00D26A9E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8</w:t>
      </w:r>
    </w:p>
    <w:p w14:paraId="1C4CF255" w14:textId="77777777" w:rsidR="001121E0" w:rsidRDefault="001121E0" w:rsidP="00D26A9E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2BCD2A0E" w14:textId="77777777" w:rsidR="00E92DB4" w:rsidRPr="000B3C53" w:rsidRDefault="00D26A9E" w:rsidP="000B3C5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 xml:space="preserve"> 7 pkt 1.5 oraz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E92DB4" w:rsidRPr="000B3C53">
        <w:rPr>
          <w:rFonts w:ascii="Century Gothic" w:eastAsia="Calibri" w:hAnsi="Century Gothic" w:cs="Arial"/>
          <w:sz w:val="22"/>
          <w:szCs w:val="22"/>
          <w:lang w:eastAsia="pl-PL"/>
        </w:rPr>
        <w:t>3 pkt 7 w zakresie 1-2</w:t>
      </w:r>
    </w:p>
    <w:p w14:paraId="5785D215" w14:textId="77777777" w:rsidR="00E92DB4" w:rsidRPr="000B3C53" w:rsidRDefault="00E92DB4" w:rsidP="000B3C5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29AFBD7" w14:textId="77777777" w:rsidR="000B3C53" w:rsidRDefault="00E92DB4" w:rsidP="000B3C5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Dostęp do usług wsparcia świadczonego przez firmę SAP w ramach usług utrzymaniowych (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maintenance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 – SAP Enterprise 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 lub SAP Standard 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) wynikających z posiadanych licencji SAP jest konieczny do spełnienia warunków zapisu o utrzymaniu b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ieżącej aktualizacji i </w:t>
      </w:r>
      <w:proofErr w:type="spellStart"/>
      <w:r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s</w:t>
      </w:r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yst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emu.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  <w:t>Czy w związku z powyższym w</w:t>
      </w:r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ykonawca ma uwzględnić w swojej wycenie dostawę usług utrzymaniowych SAP (czyli 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maintenance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) na cały czas trwania umowy? – w zależności od odpowiedzi prosimy o zmianę zapisów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w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3 pkt 7 1-2). </w:t>
      </w:r>
      <w:r w:rsidR="000B3C53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Który poziom usługi Wykonawca ma dostarczyć? - SAP Enterprise 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 xml:space="preserve"> czy SAP Standard </w:t>
      </w:r>
      <w:proofErr w:type="spellStart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Pr="00E92DB4">
        <w:rPr>
          <w:rFonts w:ascii="Century Gothic" w:eastAsia="Calibri" w:hAnsi="Century Gothic" w:cs="Arial"/>
          <w:sz w:val="22"/>
          <w:szCs w:val="22"/>
          <w:lang w:eastAsia="pl-PL"/>
        </w:rPr>
        <w:t>?</w:t>
      </w:r>
    </w:p>
    <w:p w14:paraId="285E0FAD" w14:textId="77777777" w:rsidR="000B3C53" w:rsidRPr="007A7521" w:rsidRDefault="000B3C53" w:rsidP="000B3C5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384DB630" w14:textId="5A64A1BB" w:rsidR="0B492114" w:rsidRDefault="06955FCB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Wykonawca musi uwzględnić w swojej wycenie dostawę usług utrzymaniowych SAP (czyli </w:t>
      </w:r>
      <w:proofErr w:type="spellStart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maintenance</w:t>
      </w:r>
      <w:proofErr w:type="spellEnd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) na cały okres trwania umowy</w:t>
      </w:r>
      <w:r w:rsidR="2509B959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na poziomie SAP Enterprise </w:t>
      </w:r>
      <w:proofErr w:type="spellStart"/>
      <w:r w:rsidR="2509B959" w:rsidRPr="703A998B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="2509B959" w:rsidRPr="703A998B">
        <w:rPr>
          <w:rFonts w:ascii="Century Gothic" w:eastAsia="Calibri" w:hAnsi="Century Gothic" w:cs="Arial"/>
          <w:sz w:val="22"/>
          <w:szCs w:val="22"/>
          <w:lang w:eastAsia="pl-PL"/>
        </w:rPr>
        <w:t>.</w:t>
      </w:r>
    </w:p>
    <w:p w14:paraId="4159F7CB" w14:textId="77777777" w:rsidR="000B3C53" w:rsidRDefault="000B3C53" w:rsidP="000B3C5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91A578B" w14:textId="2C375554" w:rsidR="000B3C53" w:rsidRDefault="000B3C53" w:rsidP="000B3C53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9</w:t>
      </w:r>
    </w:p>
    <w:p w14:paraId="4EF95F4D" w14:textId="77777777" w:rsidR="001121E0" w:rsidRDefault="001121E0" w:rsidP="000B3C53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1DAA7F73" w14:textId="0BA9A15D" w:rsidR="005E55C5" w:rsidRDefault="000B3C53" w:rsidP="005E55C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>7 pkt 1.6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: </w:t>
      </w:r>
      <w:r w:rsidR="005E55C5">
        <w:rPr>
          <w:rFonts w:ascii="Century Gothic" w:eastAsia="Calibri" w:hAnsi="Century Gothic" w:cs="Arial"/>
          <w:sz w:val="22"/>
          <w:szCs w:val="22"/>
          <w:lang w:eastAsia="pl-PL"/>
        </w:rPr>
        <w:t>c</w:t>
      </w: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>zy zamawiający zmieni termin zapewnienia aktualizacji systemu z 5 na 15. Wnioskowana zmiana jest uzasadniona faktem, iż większość zmian wymaga dłuższego czasu opracowania ich przez zespół konsultantów. Obecny rygor czasowy wymagał będzie utrzymania dedykowanego dla</w:t>
      </w:r>
      <w:r w:rsidR="00E8371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2407B1">
        <w:rPr>
          <w:rFonts w:ascii="Century Gothic" w:eastAsia="Calibri" w:hAnsi="Century Gothic" w:cs="Arial"/>
          <w:sz w:val="22"/>
          <w:szCs w:val="22"/>
          <w:lang w:eastAsia="pl-PL"/>
        </w:rPr>
        <w:t>z</w:t>
      </w:r>
      <w:r w:rsidRPr="000B3C53">
        <w:rPr>
          <w:rFonts w:ascii="Century Gothic" w:eastAsia="Calibri" w:hAnsi="Century Gothic" w:cs="Arial"/>
          <w:sz w:val="22"/>
          <w:szCs w:val="22"/>
          <w:lang w:eastAsia="pl-PL"/>
        </w:rPr>
        <w:t>amawiającego zespołu ekspertów SAP, co znacznie podniesie kosz świadczenia usług serwisowych.</w:t>
      </w:r>
    </w:p>
    <w:p w14:paraId="52647589" w14:textId="77777777" w:rsidR="005E55C5" w:rsidRPr="007A7521" w:rsidRDefault="005E55C5" w:rsidP="005E55C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17C1115" w14:textId="70E53C98" w:rsidR="28110543" w:rsidRDefault="50024BAB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>Tak, Zamawiający zmieni termin zapewnienia aktualizacji systemu z 5 na 15, z zastrzeżeniem</w:t>
      </w:r>
      <w:r w:rsidR="619D5E31" w:rsidRPr="703A998B">
        <w:rPr>
          <w:rFonts w:ascii="Century Gothic" w:eastAsia="Calibri" w:hAnsi="Century Gothic" w:cs="Arial"/>
          <w:sz w:val="22"/>
          <w:szCs w:val="22"/>
          <w:lang w:eastAsia="pl-PL"/>
        </w:rPr>
        <w:t>. że będą dostarczane nie później niż terminy wynikające z przepisów.</w:t>
      </w:r>
    </w:p>
    <w:p w14:paraId="28B6CEF7" w14:textId="77777777" w:rsidR="005E55C5" w:rsidRDefault="005E55C5" w:rsidP="005E55C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024F6D0" w14:textId="4650C4C3" w:rsidR="005E55C5" w:rsidRDefault="005E55C5" w:rsidP="005E55C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10</w:t>
      </w:r>
    </w:p>
    <w:p w14:paraId="4FC9DE32" w14:textId="77777777" w:rsidR="001121E0" w:rsidRDefault="001121E0" w:rsidP="005E55C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1D0D160B" w14:textId="4EB0B16E" w:rsidR="00896A9B" w:rsidRDefault="005E55C5" w:rsidP="00896A9B">
      <w:pPr>
        <w:rPr>
          <w:rFonts w:ascii="Century Gothic" w:eastAsia="Calibri" w:hAnsi="Century Gothic" w:cs="Arial"/>
          <w:sz w:val="22"/>
          <w:szCs w:val="22"/>
          <w:lang w:eastAsia="pl-PL"/>
        </w:rPr>
      </w:pPr>
      <w:r w:rsidRPr="005E55C5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5E55C5">
        <w:rPr>
          <w:rFonts w:ascii="Century Gothic" w:eastAsia="Calibri" w:hAnsi="Century Gothic" w:cs="Arial"/>
          <w:sz w:val="22"/>
          <w:szCs w:val="22"/>
          <w:lang w:eastAsia="pl-PL"/>
        </w:rPr>
        <w:t>7 pkt 1.7</w:t>
      </w:r>
      <w:r w:rsidR="00E75EBB">
        <w:rPr>
          <w:rFonts w:ascii="Century Gothic" w:eastAsia="Calibri" w:hAnsi="Century Gothic" w:cs="Arial"/>
          <w:sz w:val="22"/>
          <w:szCs w:val="22"/>
          <w:lang w:eastAsia="pl-PL"/>
        </w:rPr>
        <w:t>: czy z</w:t>
      </w:r>
      <w:r w:rsidRPr="00E75EBB">
        <w:rPr>
          <w:rFonts w:ascii="Century Gothic" w:eastAsia="Calibri" w:hAnsi="Century Gothic" w:cs="Arial"/>
          <w:sz w:val="22"/>
          <w:szCs w:val="22"/>
          <w:lang w:eastAsia="pl-PL"/>
        </w:rPr>
        <w:t>amawiający wydłuży termin dostarczenia instrukcji z 5 na 10 dni roboczych?</w:t>
      </w:r>
    </w:p>
    <w:p w14:paraId="7961394F" w14:textId="77777777" w:rsidR="00896A9B" w:rsidRPr="007A7521" w:rsidRDefault="00896A9B" w:rsidP="00896A9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1E0725A" w14:textId="2552844A" w:rsidR="00896A9B" w:rsidRDefault="000D7ABC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Nie, Zamawiający nie wydłuży terminu dostarczenia instrukcji.</w:t>
      </w:r>
    </w:p>
    <w:p w14:paraId="7C07AD80" w14:textId="77777777" w:rsidR="00896A9B" w:rsidRDefault="00896A9B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952F9D5" w14:textId="23993659" w:rsidR="00896A9B" w:rsidRDefault="00896A9B" w:rsidP="00896A9B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11</w:t>
      </w:r>
    </w:p>
    <w:p w14:paraId="0E5DFA1C" w14:textId="77777777" w:rsidR="001121E0" w:rsidRDefault="001121E0" w:rsidP="00896A9B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E5ECE7B" w14:textId="77777777" w:rsidR="00C14D3F" w:rsidRDefault="007D4655" w:rsidP="00C14D3F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Pr="00460506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9 pkt 2c</w:t>
      </w: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 xml:space="preserve">: prosimy o wprowadzenie zapisu wyjaśniającego, że czas,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>w którym przygotowywane rozwiązanie znajduje się po stronie zamawiającego (zatwierdzenia, ustalenia, testy) nie będzie wliczany w okres, w którym zlecenie ma być wykonane. Odpowiednio:</w:t>
      </w:r>
    </w:p>
    <w:p w14:paraId="49B4A667" w14:textId="6B93B707" w:rsidR="00CE6AB2" w:rsidRDefault="007D4655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br/>
        <w:t>I. dłuższa niż 1 miesiąc - w przypadku wskazania do 160 roboczogodzin koniecznych do wykonania zleconych prac;</w:t>
      </w:r>
    </w:p>
    <w:p w14:paraId="4E129560" w14:textId="1CE1813B" w:rsidR="00CE6AB2" w:rsidRDefault="007D4655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>II. dłuższa niż 2 miesiące - w przypadku wskazania do 320 roboczogodzin koniecznych do wykonania zleconych prac;</w:t>
      </w:r>
    </w:p>
    <w:p w14:paraId="01A3695B" w14:textId="39F95B64" w:rsidR="00896A9B" w:rsidRPr="00273567" w:rsidRDefault="007D4655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D4655">
        <w:rPr>
          <w:rFonts w:ascii="Century Gothic" w:eastAsia="Calibri" w:hAnsi="Century Gothic" w:cs="Arial"/>
          <w:sz w:val="22"/>
          <w:szCs w:val="22"/>
          <w:lang w:eastAsia="pl-PL"/>
        </w:rPr>
        <w:t>III. dłuższa niż 3 miesiące - w przypadku wskazania do 480 roboczogodzin koniecznych do wykonania zleconych prac;</w:t>
      </w:r>
    </w:p>
    <w:p w14:paraId="1EAE2673" w14:textId="77777777" w:rsidR="00896A9B" w:rsidRPr="007A7521" w:rsidRDefault="00896A9B" w:rsidP="00896A9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A82D468" w14:textId="3B5E1C1D" w:rsidR="7A870C16" w:rsidRDefault="7A870C16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Zamawiający oczekuje dostarczania rozwiązań już przetestowanych przez Wykonawcę. Wskazane terminy dotyczą dostarczenia rozwiązania przed testami </w:t>
      </w:r>
      <w:r w:rsidR="1494AE21" w:rsidRPr="703A998B">
        <w:rPr>
          <w:rFonts w:ascii="Century Gothic" w:eastAsia="Calibri" w:hAnsi="Century Gothic" w:cs="Arial"/>
          <w:sz w:val="22"/>
          <w:szCs w:val="22"/>
          <w:lang w:eastAsia="pl-PL"/>
        </w:rPr>
        <w:t>UAT</w:t>
      </w: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Zamawiającego.</w:t>
      </w:r>
    </w:p>
    <w:p w14:paraId="7AF085D4" w14:textId="77777777" w:rsidR="005B1068" w:rsidRDefault="005B1068" w:rsidP="00896A9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C077746" w14:textId="5370D406" w:rsidR="001B1E9C" w:rsidRDefault="001B1E9C" w:rsidP="001B1E9C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12</w:t>
      </w:r>
    </w:p>
    <w:p w14:paraId="2A82D3D5" w14:textId="77777777" w:rsidR="001121E0" w:rsidRDefault="001121E0" w:rsidP="001B1E9C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B1AD430" w14:textId="76FD0CA4" w:rsidR="001B1E9C" w:rsidRDefault="001B1E9C" w:rsidP="001B1E9C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punktu – 1.4.2.4. SIWZ: poświadczenie bezpieczeństwa uprawniające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>do dostępu do informacji niejawnych o klauzuli „poufne” lub wyższej oraz zaświadczenie o przebytym szkoleniu w zakresie ochrony informacji niejawnych – uwaga: dotyczy instancji niejawnej obejmującej: FI, FM, SD, MM, EWM, BASIS</w:t>
      </w:r>
      <w:r w:rsidR="00A339AA">
        <w:rPr>
          <w:rFonts w:ascii="Century Gothic" w:eastAsia="Calibri" w:hAnsi="Century Gothic" w:cs="Arial"/>
          <w:sz w:val="22"/>
          <w:szCs w:val="22"/>
          <w:lang w:eastAsia="pl-PL"/>
        </w:rPr>
        <w:t>.</w:t>
      </w:r>
      <w:r w:rsidR="00A339AA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 xml:space="preserve">Prosimy potwierdzić, iż wymaganie na poświadczenie dotyczy jedynie: FI, FM,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SD, MM, EWM, BASIS. </w:t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>Dodatkowo, czy w związku z tym, że FM nie jest obec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nie </w:t>
      </w:r>
      <w:r w:rsidR="00154B6A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>
        <w:rPr>
          <w:rFonts w:ascii="Century Gothic" w:eastAsia="Calibri" w:hAnsi="Century Gothic" w:cs="Arial"/>
          <w:sz w:val="22"/>
          <w:szCs w:val="22"/>
          <w:lang w:eastAsia="pl-PL"/>
        </w:rPr>
        <w:t>na instancji niejawnej, to z</w:t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amawiający wyrazi zgodę aby opiekun modułu SAP </w:t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 xml:space="preserve">FM posiadał poświadczenie bezpieczeństwa uprawniające do dostępu </w:t>
      </w:r>
      <w:r w:rsidR="00154B6A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 xml:space="preserve">do informacji niejawnych o klauzuli „poufne” lub wyższej oraz zaświadczenie </w:t>
      </w:r>
      <w:r w:rsidR="00154B6A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 xml:space="preserve">o przebytym szkoleniu w zakresie ochrony informacji niejawnych w ciągu </w:t>
      </w:r>
      <w:r w:rsidR="00154B6A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1B1E9C">
        <w:rPr>
          <w:rFonts w:ascii="Century Gothic" w:eastAsia="Calibri" w:hAnsi="Century Gothic" w:cs="Arial"/>
          <w:sz w:val="22"/>
          <w:szCs w:val="22"/>
          <w:lang w:eastAsia="pl-PL"/>
        </w:rPr>
        <w:t>6 miesięcy od momentu podpisania umowy?</w:t>
      </w:r>
    </w:p>
    <w:p w14:paraId="584A7A8F" w14:textId="77777777" w:rsidR="00E83715" w:rsidRPr="007A7521" w:rsidRDefault="00E83715" w:rsidP="00E8371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3C4CAC4C" w14:textId="7EBD5CF7" w:rsidR="00E83715" w:rsidRDefault="00794581" w:rsidP="00E8371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Nie, </w:t>
      </w:r>
      <w:r w:rsidR="41AAB47F"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nie wyrazi zgody.</w:t>
      </w:r>
    </w:p>
    <w:p w14:paraId="4810BBA3" w14:textId="061E153C" w:rsidR="0FB69EE4" w:rsidRDefault="0FB69EE4" w:rsidP="1E27FA0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W §1 ust.12. Zamawiający wskazuje, że </w:t>
      </w:r>
      <w:r w:rsidR="6F09117C" w:rsidRPr="703A998B">
        <w:rPr>
          <w:rFonts w:ascii="Century Gothic" w:eastAsia="Calibri" w:hAnsi="Century Gothic" w:cs="Arial"/>
          <w:sz w:val="22"/>
          <w:szCs w:val="22"/>
          <w:lang w:eastAsia="pl-PL"/>
        </w:rPr>
        <w:t>instancja niejawna obejmuje również FM.</w:t>
      </w:r>
      <w:r w:rsidR="58C615ED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7E034BBE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W związku z powyższym Zamawiający nie wyrazi zgody </w:t>
      </w:r>
      <w:r w:rsidR="19B493A4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na </w:t>
      </w:r>
      <w:r w:rsidR="7E034BBE" w:rsidRPr="703A998B">
        <w:rPr>
          <w:rFonts w:ascii="Century Gothic" w:eastAsia="Calibri" w:hAnsi="Century Gothic" w:cs="Arial"/>
          <w:sz w:val="22"/>
          <w:szCs w:val="22"/>
          <w:lang w:eastAsia="pl-PL"/>
        </w:rPr>
        <w:t>przedstawioną propozycję.</w:t>
      </w:r>
    </w:p>
    <w:p w14:paraId="1FC4B46D" w14:textId="77777777" w:rsidR="00E83715" w:rsidRDefault="00E83715" w:rsidP="001B1E9C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4CA9630" w14:textId="78054A33" w:rsidR="005B1068" w:rsidRDefault="005B1068" w:rsidP="005B106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13</w:t>
      </w:r>
    </w:p>
    <w:p w14:paraId="7DFC6CBA" w14:textId="77777777" w:rsidR="001121E0" w:rsidRDefault="001121E0" w:rsidP="005B106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9EDF8BD" w14:textId="54586BFA" w:rsidR="005B1068" w:rsidRPr="00273567" w:rsidRDefault="005B1068" w:rsidP="005B1068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Dotyczy: z</w:t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>amawiający wymaga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świadczenie usług w siedzibie z</w:t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amawiającego w systemie niejawnym oraz w systemie jawnym obejmujących dane kadrowe </w:t>
      </w:r>
      <w:r w:rsidR="004B70A7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>lub płacowe. Zamawiający każdorazowo wyrazi zgodę na p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racę zdalną. </w:t>
      </w:r>
      <w:r w:rsidR="004B70A7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>
        <w:rPr>
          <w:rFonts w:ascii="Century Gothic" w:eastAsia="Calibri" w:hAnsi="Century Gothic" w:cs="Arial"/>
          <w:sz w:val="22"/>
          <w:szCs w:val="22"/>
          <w:lang w:eastAsia="pl-PL"/>
        </w:rPr>
        <w:t>Ma prawo żądać od w</w:t>
      </w:r>
      <w:r w:rsidR="004B70A7">
        <w:rPr>
          <w:rFonts w:ascii="Century Gothic" w:eastAsia="Calibri" w:hAnsi="Century Gothic" w:cs="Arial"/>
          <w:sz w:val="22"/>
          <w:szCs w:val="22"/>
          <w:lang w:eastAsia="pl-PL"/>
        </w:rPr>
        <w:t>ykonawcy wizyty w siedzibie z</w:t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>amawiającego, jeżel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i charakter prac według z</w:t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>amawiającego będzie tego wymagał</w:t>
      </w:r>
      <w:r w:rsidR="00273567"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  <w:r w:rsidRPr="005B1068">
        <w:rPr>
          <w:rFonts w:ascii="Century Gothic" w:eastAsia="Calibri" w:hAnsi="Century Gothic" w:cs="Arial"/>
          <w:sz w:val="22"/>
          <w:szCs w:val="22"/>
          <w:lang w:eastAsia="pl-PL"/>
        </w:rPr>
        <w:t>Jak to się ma do czasu rozwiązania, czy czas potrzebny na udzielenie dostępu wchodzi w czas rozwiązania błędu?</w:t>
      </w:r>
    </w:p>
    <w:p w14:paraId="140673CE" w14:textId="77777777" w:rsidR="005B1068" w:rsidRPr="007A7521" w:rsidRDefault="005B1068" w:rsidP="005B106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300E4416" w14:textId="3EF9AD52" w:rsidR="005B1068" w:rsidRPr="002668C0" w:rsidRDefault="6CB54DA5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AC5E35">
        <w:rPr>
          <w:rFonts w:ascii="Century Gothic" w:eastAsia="Calibri" w:hAnsi="Century Gothic" w:cs="Arial"/>
          <w:sz w:val="22"/>
          <w:szCs w:val="22"/>
          <w:lang w:eastAsia="pl-PL"/>
        </w:rPr>
        <w:t xml:space="preserve">Tak jak wskazuje §1 ust. 2. IPU – czas naprawy liczony jest od momentu </w:t>
      </w:r>
      <w:r w:rsidR="22BA689A" w:rsidRPr="00AC5E35">
        <w:rPr>
          <w:rFonts w:ascii="Century Gothic" w:eastAsia="Calibri" w:hAnsi="Century Gothic" w:cs="Arial"/>
          <w:sz w:val="22"/>
          <w:szCs w:val="22"/>
          <w:lang w:eastAsia="pl-PL"/>
        </w:rPr>
        <w:t>potwierdzenia przyjęcia zgłoszenia błędu</w:t>
      </w:r>
      <w:r w:rsidR="4C8BF260" w:rsidRPr="002668C0">
        <w:rPr>
          <w:rFonts w:ascii="Century Gothic" w:eastAsia="Calibri" w:hAnsi="Century Gothic" w:cs="Arial"/>
          <w:sz w:val="22"/>
          <w:szCs w:val="22"/>
          <w:lang w:eastAsia="pl-PL"/>
        </w:rPr>
        <w:t>.</w:t>
      </w:r>
    </w:p>
    <w:p w14:paraId="202DEEC2" w14:textId="77777777" w:rsidR="00E83715" w:rsidRDefault="00E83715" w:rsidP="005B1068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B39931F" w14:textId="57E4127B" w:rsidR="00E83715" w:rsidRDefault="00E83715" w:rsidP="00E8371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14</w:t>
      </w:r>
    </w:p>
    <w:p w14:paraId="63A5DCB6" w14:textId="77777777" w:rsidR="001121E0" w:rsidRDefault="001121E0" w:rsidP="00E8371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4EF2B115" w14:textId="4821E292" w:rsidR="004B70A7" w:rsidRDefault="004B70A7" w:rsidP="00E8371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Dotyczy: prawo do nowej wersji s</w:t>
      </w:r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ystemu rozumiane jako zapewnienie aktualności Sys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temu SAP zainstalowanego u z</w:t>
      </w:r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amawiającego obejmującego aktualizację oraz jej instalację (realizację </w:t>
      </w:r>
      <w:proofErr w:type="spellStart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) bez doda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tkowych opłat licencyjnych dla w</w:t>
      </w:r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 xml:space="preserve">ykonawcy z tego tytułu – </w:t>
      </w:r>
      <w:proofErr w:type="spellStart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 xml:space="preserve"> musi być wykonany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w terminie do 6 miesięcy od wyemitowania nowej wersji przez producenta. Wszelkie odstępstwa w powyższym zakresie musz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ą być poprzedzone pisemną zgodą zamawiającego. </w:t>
      </w:r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 xml:space="preserve">Jaka jest obecnie wersja systemu HCM ? i ile </w:t>
      </w:r>
      <w:proofErr w:type="spellStart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4B70A7">
        <w:rPr>
          <w:rFonts w:ascii="Century Gothic" w:eastAsia="Calibri" w:hAnsi="Century Gothic" w:cs="Arial"/>
          <w:sz w:val="22"/>
          <w:szCs w:val="22"/>
          <w:lang w:eastAsia="pl-PL"/>
        </w:rPr>
        <w:t xml:space="preserve"> jest planowane w czasie trwania umowy?</w:t>
      </w:r>
    </w:p>
    <w:p w14:paraId="1F90B6A4" w14:textId="77777777" w:rsidR="004B70A7" w:rsidRPr="007A7521" w:rsidRDefault="004B70A7" w:rsidP="004B70A7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32B3AC5" w14:textId="12276750" w:rsidR="002668C0" w:rsidRDefault="5AA35AB9" w:rsidP="703A998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Obecna wersja systemu SAP_HR to 608.</w:t>
      </w:r>
      <w:r w:rsidR="002668C0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4EECCAE2"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</w:t>
      </w:r>
      <w:r w:rsidR="7BAB56BF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uzależnia ilość </w:t>
      </w:r>
      <w:proofErr w:type="spellStart"/>
      <w:r w:rsidR="7BAB56BF" w:rsidRPr="703A998B">
        <w:rPr>
          <w:rFonts w:ascii="Century Gothic" w:eastAsia="Calibri" w:hAnsi="Century Gothic" w:cs="Arial"/>
          <w:sz w:val="22"/>
          <w:szCs w:val="22"/>
          <w:lang w:eastAsia="pl-PL"/>
        </w:rPr>
        <w:t>upgradów</w:t>
      </w:r>
      <w:proofErr w:type="spellEnd"/>
      <w:r w:rsidR="7BAB56BF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od ilości wydanych wersji systemu przez producenta.</w:t>
      </w:r>
    </w:p>
    <w:p w14:paraId="1161BECB" w14:textId="77777777" w:rsidR="004B70A7" w:rsidRDefault="004B70A7" w:rsidP="004B70A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396F3C5" w14:textId="6D111EC3" w:rsidR="004B70A7" w:rsidRDefault="004B70A7" w:rsidP="004B70A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15</w:t>
      </w:r>
    </w:p>
    <w:p w14:paraId="00FA494D" w14:textId="77777777" w:rsidR="003E25B4" w:rsidRDefault="003E25B4" w:rsidP="004B70A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213D7B9B" w14:textId="6EC339A2" w:rsidR="004B70A7" w:rsidRDefault="00B74F7B" w:rsidP="004B70A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74F7B">
        <w:rPr>
          <w:rFonts w:ascii="Century Gothic" w:eastAsia="Calibri" w:hAnsi="Century Gothic" w:cs="Arial"/>
          <w:sz w:val="22"/>
          <w:szCs w:val="22"/>
          <w:lang w:eastAsia="pl-PL"/>
        </w:rPr>
        <w:t xml:space="preserve">zgodność Systemu SAP z obowiązującymi przepisami prawa przez co rozumie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B74F7B">
        <w:rPr>
          <w:rFonts w:ascii="Century Gothic" w:eastAsia="Calibri" w:hAnsi="Century Gothic" w:cs="Arial"/>
          <w:sz w:val="22"/>
          <w:szCs w:val="22"/>
          <w:lang w:eastAsia="pl-PL"/>
        </w:rPr>
        <w:t>się z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apewnienie aktualności prawnej systemu użytkowanego u z</w:t>
      </w:r>
      <w:r w:rsidRPr="00B74F7B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amawiającego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B74F7B">
        <w:rPr>
          <w:rFonts w:ascii="Century Gothic" w:eastAsia="Calibri" w:hAnsi="Century Gothic" w:cs="Arial"/>
          <w:sz w:val="22"/>
          <w:szCs w:val="22"/>
          <w:lang w:eastAsia="pl-PL"/>
        </w:rPr>
        <w:t>w terminie do 5 dni roboczych od daty przekazania przez Zamawiającego informacji o konieczności wykonania aktualizacji prawnej lub do daty wynikającej z ustawy, rozporządzenia jednak nie później niż wejście w życie zmian prawnych jako obowiązujących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  <w:r w:rsidRPr="00B74F7B">
        <w:rPr>
          <w:rFonts w:ascii="Century Gothic" w:eastAsia="Calibri" w:hAnsi="Century Gothic" w:cs="Arial"/>
          <w:sz w:val="22"/>
          <w:szCs w:val="22"/>
          <w:lang w:eastAsia="pl-PL"/>
        </w:rPr>
        <w:t>Co w przypadku kiedy SAP Polska planuje wydanie zmiany prawnej jednak zajmie to więcej czasu niż 5 dni, czy możliwe jest zastosowanie przez Wykonawcę rozwiązania tymczasowego?</w:t>
      </w:r>
    </w:p>
    <w:p w14:paraId="31944831" w14:textId="77777777" w:rsidR="004B6849" w:rsidRDefault="004B6849" w:rsidP="004B70A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1CDACFA3" w14:textId="77777777" w:rsidR="003E25B4" w:rsidRDefault="004B6849" w:rsidP="004B684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10444F85" w14:textId="0CB3285B" w:rsidR="004B6849" w:rsidRPr="007801BD" w:rsidRDefault="00BE68DC" w:rsidP="004B684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7801BD">
        <w:rPr>
          <w:rFonts w:ascii="Century Gothic" w:eastAsia="Times New Roman" w:hAnsi="Century Gothic" w:cs="Arial"/>
          <w:sz w:val="22"/>
          <w:szCs w:val="22"/>
          <w:lang w:eastAsia="pl-PL"/>
        </w:rPr>
        <w:t>Tak</w:t>
      </w:r>
      <w:r w:rsidR="001871CD" w:rsidRPr="007801BD">
        <w:rPr>
          <w:rFonts w:ascii="Century Gothic" w:eastAsia="Times New Roman" w:hAnsi="Century Gothic" w:cs="Arial"/>
          <w:sz w:val="22"/>
          <w:szCs w:val="22"/>
          <w:lang w:eastAsia="pl-PL"/>
        </w:rPr>
        <w:t xml:space="preserve">. </w:t>
      </w:r>
      <w:r w:rsidR="00000A30" w:rsidRPr="007801BD">
        <w:rPr>
          <w:rFonts w:ascii="Century Gothic" w:eastAsia="Times New Roman" w:hAnsi="Century Gothic" w:cs="Arial"/>
          <w:sz w:val="22"/>
          <w:szCs w:val="22"/>
          <w:lang w:eastAsia="pl-PL"/>
        </w:rPr>
        <w:t xml:space="preserve">Po ukazaniu się oficjalnej wersji musi ona trafić </w:t>
      </w:r>
      <w:r w:rsidR="005A02EE" w:rsidRPr="007801BD">
        <w:rPr>
          <w:rFonts w:ascii="Century Gothic" w:eastAsia="Times New Roman" w:hAnsi="Century Gothic" w:cs="Arial"/>
          <w:sz w:val="22"/>
          <w:szCs w:val="22"/>
          <w:lang w:eastAsia="pl-PL"/>
        </w:rPr>
        <w:t>do systemu Zamawiającego.</w:t>
      </w:r>
    </w:p>
    <w:p w14:paraId="5C948095" w14:textId="3BDA1A0F" w:rsidR="004B6849" w:rsidRDefault="004B6849" w:rsidP="004B68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 w:rsidR="00010B94"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16</w:t>
      </w:r>
    </w:p>
    <w:p w14:paraId="7528BEE7" w14:textId="77777777" w:rsidR="00AA290E" w:rsidRDefault="00AA290E" w:rsidP="004B68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3730A4B8" w14:textId="7D984161" w:rsidR="00AA290E" w:rsidRDefault="00AA290E" w:rsidP="004B68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</w:t>
      </w:r>
      <w:r w:rsid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ostanowienie § 1 pkt 1 </w:t>
      </w:r>
      <w:proofErr w:type="spellStart"/>
      <w:r w:rsidR="00261981">
        <w:rPr>
          <w:rFonts w:ascii="Century Gothic" w:eastAsia="Calibri" w:hAnsi="Century Gothic" w:cs="Arial"/>
          <w:sz w:val="22"/>
          <w:szCs w:val="22"/>
          <w:lang w:eastAsia="pl-PL"/>
        </w:rPr>
        <w:t>ppkt</w:t>
      </w:r>
      <w:proofErr w:type="spellEnd"/>
      <w:r w:rsid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 1</w:t>
      </w: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 xml:space="preserve"> Umowy i nadać mu treść: </w:t>
      </w:r>
      <w:r>
        <w:br/>
      </w: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 xml:space="preserve">„błąd A — błąd w funkcjonowaniu, działaniu Systemu, skutkujący utratą </w:t>
      </w:r>
      <w:r w:rsidRPr="00E07029">
        <w:rPr>
          <w:rFonts w:ascii="Century Gothic" w:eastAsia="Calibri" w:hAnsi="Century Gothic" w:cs="Arial"/>
          <w:sz w:val="22"/>
          <w:szCs w:val="22"/>
          <w:u w:val="single"/>
          <w:lang w:eastAsia="pl-PL"/>
        </w:rPr>
        <w:t>istotnych</w:t>
      </w: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 xml:space="preserve"> danych</w:t>
      </w:r>
      <w:r w:rsidRPr="007801BD">
        <w:rPr>
          <w:rFonts w:ascii="Century Gothic" w:eastAsia="Calibri" w:hAnsi="Century Gothic" w:cs="Arial"/>
          <w:sz w:val="22"/>
          <w:szCs w:val="22"/>
          <w:u w:val="single"/>
          <w:lang w:eastAsia="pl-PL"/>
        </w:rPr>
        <w:t>, znacznej ilości danych</w:t>
      </w: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 xml:space="preserve"> lub w wyniku, którego nie jest możliwa terminowa realizacja kluczowych procesów biznesowych Zamawiającego. Całkowicie przestały działać funkcje Systemu o znaczeniu krytycznym dla Zamawiającego. Nie można kontynuować pracy, funkcjonowanie Systemu ma znaczenie krytyczne i sytuacja wymaga natychmiastowej interwencji. Nie istnieje metoda ominięcia błędu poprzez zastosowanie tymczasowego rozwiązania”?</w:t>
      </w:r>
      <w:r>
        <w:br/>
      </w:r>
      <w:r w:rsidRPr="00DA3ABD">
        <w:rPr>
          <w:rFonts w:ascii="Century Gothic" w:eastAsia="Calibri" w:hAnsi="Century Gothic" w:cs="Arial"/>
          <w:sz w:val="22"/>
          <w:szCs w:val="22"/>
          <w:lang w:eastAsia="pl-PL"/>
        </w:rPr>
        <w:t>Jest to o tyle uzasadnione, że tylko utrata istotnych lub znaczna ich ilość, powinny skutkować naruszeniem najwyższego poziomu.</w:t>
      </w:r>
    </w:p>
    <w:p w14:paraId="0A302699" w14:textId="77777777" w:rsidR="00DA3ABD" w:rsidRPr="007A7521" w:rsidRDefault="00DA3ABD" w:rsidP="00DA3AB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4456517" w14:textId="124E72F2" w:rsidR="00DA3ABD" w:rsidRDefault="005A02EE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Nie. </w:t>
      </w:r>
      <w:r w:rsidR="005E6F21" w:rsidRPr="72FD4396">
        <w:rPr>
          <w:rFonts w:ascii="Century Gothic" w:eastAsia="Calibri" w:hAnsi="Century Gothic" w:cs="Arial"/>
          <w:sz w:val="22"/>
          <w:szCs w:val="22"/>
          <w:lang w:eastAsia="pl-PL"/>
        </w:rPr>
        <w:t>Zaproponowan</w:t>
      </w:r>
      <w:r w:rsidR="1667F29E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a zmiana </w:t>
      </w:r>
      <w:r w:rsidR="78DDA7E2" w:rsidRPr="72FD4396">
        <w:rPr>
          <w:rFonts w:ascii="Century Gothic" w:eastAsia="Calibri" w:hAnsi="Century Gothic" w:cs="Arial"/>
          <w:sz w:val="22"/>
          <w:szCs w:val="22"/>
          <w:lang w:eastAsia="pl-PL"/>
        </w:rPr>
        <w:t>jest czysto semantyczna</w:t>
      </w:r>
      <w:r w:rsidR="4D7E8571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 i prowadzi na przyszłość do sporów </w:t>
      </w:r>
      <w:r w:rsidR="33378E6E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interpretacyjnych dotyczących </w:t>
      </w:r>
      <w:r w:rsidR="67E91B8C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kategorii </w:t>
      </w:r>
      <w:r w:rsidR="42288597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potencjalnego </w:t>
      </w:r>
      <w:r w:rsidR="67E91B8C" w:rsidRPr="72FD4396">
        <w:rPr>
          <w:rFonts w:ascii="Century Gothic" w:eastAsia="Calibri" w:hAnsi="Century Gothic" w:cs="Arial"/>
          <w:sz w:val="22"/>
          <w:szCs w:val="22"/>
          <w:lang w:eastAsia="pl-PL"/>
        </w:rPr>
        <w:t>zgłoszenia.</w:t>
      </w:r>
      <w:r w:rsidR="391B2015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 Przykładowo “utrata” jednego rekordu z tabeli faktur skut</w:t>
      </w:r>
      <w:r w:rsidR="69C0DB84" w:rsidRPr="72FD4396">
        <w:rPr>
          <w:rFonts w:ascii="Century Gothic" w:eastAsia="Calibri" w:hAnsi="Century Gothic" w:cs="Arial"/>
          <w:sz w:val="22"/>
          <w:szCs w:val="22"/>
          <w:lang w:eastAsia="pl-PL"/>
        </w:rPr>
        <w:t>kuje tym, że nieprawidłowa będzie deklaracja podatkowa</w:t>
      </w:r>
      <w:r w:rsidR="79209B57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 (a to skutkuje karami) ale w myśl zaproponowanej definicji </w:t>
      </w:r>
      <w:r w:rsidR="1607B252"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Wykonawca będzie się powoływał na zapis “znacznej ilości danych”. </w:t>
      </w:r>
    </w:p>
    <w:p w14:paraId="3FE55B37" w14:textId="11CE20D8" w:rsidR="1607B252" w:rsidRDefault="1607B252" w:rsidP="72FD4396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2FD4396">
        <w:rPr>
          <w:rFonts w:ascii="Century Gothic" w:eastAsia="Calibri" w:hAnsi="Century Gothic" w:cs="Arial"/>
          <w:sz w:val="22"/>
          <w:szCs w:val="22"/>
          <w:lang w:eastAsia="pl-PL"/>
        </w:rPr>
        <w:t xml:space="preserve">Istotą błędu kategorii A jest niemożność kontynuowania pracy </w:t>
      </w:r>
      <w:r w:rsidR="6BCE903F" w:rsidRPr="72FD4396">
        <w:rPr>
          <w:rFonts w:ascii="Century Gothic" w:eastAsia="Calibri" w:hAnsi="Century Gothic" w:cs="Arial"/>
          <w:sz w:val="22"/>
          <w:szCs w:val="22"/>
          <w:lang w:eastAsia="pl-PL"/>
        </w:rPr>
        <w:t>w systemie lub takie jego zachowanie, które powoduje błędy w danych.</w:t>
      </w:r>
    </w:p>
    <w:p w14:paraId="410137FA" w14:textId="77777777" w:rsidR="00CD5496" w:rsidRDefault="00CD5496" w:rsidP="00CD5496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202E2536" w14:textId="77777777" w:rsidR="004B5892" w:rsidRDefault="004B5892" w:rsidP="00CD5496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6D8AA12" w14:textId="0E65C355" w:rsidR="00CD5496" w:rsidRDefault="00CD5496" w:rsidP="00CD5496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17</w:t>
      </w:r>
    </w:p>
    <w:p w14:paraId="39268BD0" w14:textId="77777777" w:rsidR="008C1D17" w:rsidRDefault="008C1D17" w:rsidP="00CD5496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4027DB41" w14:textId="4F9D200D" w:rsidR="001121E0" w:rsidRDefault="001121E0" w:rsidP="00CD549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1121E0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3 ust. 4 pkt. 2 Umowy i nada jej następującą treść:</w:t>
      </w:r>
    </w:p>
    <w:p w14:paraId="17D42615" w14:textId="77777777" w:rsidR="00E807B4" w:rsidRDefault="00E807B4" w:rsidP="00CD549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0C5B232" w14:textId="75CD5687" w:rsidR="00E807B4" w:rsidRPr="001121E0" w:rsidRDefault="00E807B4" w:rsidP="00CD549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E807B4">
        <w:rPr>
          <w:rFonts w:ascii="Century Gothic" w:eastAsia="Calibri" w:hAnsi="Century Gothic" w:cs="Arial"/>
          <w:sz w:val="22"/>
          <w:szCs w:val="22"/>
          <w:lang w:eastAsia="pl-PL"/>
        </w:rPr>
        <w:t>„Zamawiający zapewni ciągłość realizacji Umowy przez następcę, który przejmie działania Zamawiaj</w:t>
      </w:r>
      <w:r w:rsidR="00F95E2A">
        <w:rPr>
          <w:rFonts w:ascii="Century Gothic" w:eastAsia="Calibri" w:hAnsi="Century Gothic" w:cs="Arial"/>
          <w:sz w:val="22"/>
          <w:szCs w:val="22"/>
          <w:lang w:eastAsia="pl-PL"/>
        </w:rPr>
        <w:t>ący</w:t>
      </w:r>
      <w:r w:rsidRPr="00E807B4">
        <w:rPr>
          <w:rFonts w:ascii="Century Gothic" w:eastAsia="Calibri" w:hAnsi="Century Gothic" w:cs="Arial"/>
          <w:sz w:val="22"/>
          <w:szCs w:val="22"/>
          <w:lang w:eastAsia="pl-PL"/>
        </w:rPr>
        <w:t>”?</w:t>
      </w:r>
    </w:p>
    <w:p w14:paraId="48D0F1C4" w14:textId="77777777" w:rsidR="003D14F5" w:rsidRDefault="003D14F5" w:rsidP="00CD5496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6ECDA29A" w14:textId="77777777" w:rsidR="00D14747" w:rsidRPr="007A7521" w:rsidRDefault="00D14747" w:rsidP="00D14747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92A6E91" w14:textId="70C8C987" w:rsidR="01C12367" w:rsidRDefault="01C12367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Zmawiający zmienia zapis §3 ust. 4. pkt 2 na następujący:</w:t>
      </w:r>
    </w:p>
    <w:p w14:paraId="06B26CAC" w14:textId="13C24D1F" w:rsidR="01C12367" w:rsidRDefault="01C12367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“Zamawiający zapewni ciągłość realizacji Umowy przez następcę, który przejmie działania Zamawiającego.” </w:t>
      </w:r>
    </w:p>
    <w:p w14:paraId="07A9FF91" w14:textId="77777777" w:rsidR="00F95E2A" w:rsidRDefault="00F95E2A" w:rsidP="00D1474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A3829D7" w14:textId="45F307B4" w:rsidR="00F95E2A" w:rsidRDefault="00F95E2A" w:rsidP="00F95E2A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18</w:t>
      </w:r>
    </w:p>
    <w:p w14:paraId="26615362" w14:textId="77777777" w:rsidR="00F95E2A" w:rsidRDefault="00F95E2A" w:rsidP="00F95E2A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222A25A6" w14:textId="28D776D0" w:rsidR="00F95E2A" w:rsidRDefault="00F95E2A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F95E2A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3 ust. 8 pkt. 3 Umowy i nada jej następującą treść:</w:t>
      </w:r>
      <w:r w:rsidRPr="00F95E2A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„3) zaplanowanie i wykonywanie prac związanych z realizacją Umowy w taki sposób, by nie spowodowały one ponadprzeciętnych zakłóceń w pracy infrastruktury Zamawiającego oraz innych systemów SAP i modułów systemu SAP, które są użytkowane przez Zamawiającego, a w szczególności nie uniemożliwiły ich użytkowania. Wykonawca usunie niezwłocznie wszelkie zakłócenia </w:t>
      </w:r>
      <w:r w:rsidR="00F86691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F95E2A">
        <w:rPr>
          <w:rFonts w:ascii="Century Gothic" w:eastAsia="Calibri" w:hAnsi="Century Gothic" w:cs="Arial"/>
          <w:sz w:val="22"/>
          <w:szCs w:val="22"/>
          <w:lang w:eastAsia="pl-PL"/>
        </w:rPr>
        <w:t>w funkcjonowaniu zasobów Zamawiającego, spowodowane przez w</w:t>
      </w:r>
      <w:r w:rsidR="00F86691">
        <w:rPr>
          <w:rFonts w:ascii="Century Gothic" w:eastAsia="Calibri" w:hAnsi="Century Gothic" w:cs="Arial"/>
          <w:sz w:val="22"/>
          <w:szCs w:val="22"/>
          <w:lang w:eastAsia="pl-PL"/>
        </w:rPr>
        <w:t>ykonywanie prac przez Wykonawcę</w:t>
      </w:r>
      <w:r w:rsidRPr="00F95E2A">
        <w:rPr>
          <w:rFonts w:ascii="Century Gothic" w:eastAsia="Calibri" w:hAnsi="Century Gothic" w:cs="Arial"/>
          <w:sz w:val="22"/>
          <w:szCs w:val="22"/>
          <w:lang w:eastAsia="pl-PL"/>
        </w:rPr>
        <w:t>?</w:t>
      </w:r>
      <w:r w:rsidR="00F86691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F95E2A">
        <w:rPr>
          <w:rFonts w:ascii="Century Gothic" w:eastAsia="Calibri" w:hAnsi="Century Gothic" w:cs="Arial"/>
          <w:sz w:val="22"/>
          <w:szCs w:val="22"/>
          <w:lang w:eastAsia="pl-PL"/>
        </w:rPr>
        <w:t>Jest to o tyle uzasadnione, że przy wykonaniu prac, zawsze będą pojawiały się drobne zakłócenia.</w:t>
      </w:r>
    </w:p>
    <w:p w14:paraId="289EBB36" w14:textId="77777777" w:rsidR="00F86691" w:rsidRDefault="00F86691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666833B" w14:textId="77777777" w:rsidR="00F86691" w:rsidRPr="007A7521" w:rsidRDefault="00F86691" w:rsidP="00F8669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1D5DD871" w14:textId="18408408" w:rsidR="00F86691" w:rsidRDefault="008F42E3" w:rsidP="703A998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Nie. </w:t>
      </w:r>
    </w:p>
    <w:p w14:paraId="45C53564" w14:textId="088978B6" w:rsidR="00F86691" w:rsidRDefault="4730B2EA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nie wyraża zgody na proponowaną zmianę.</w:t>
      </w:r>
    </w:p>
    <w:p w14:paraId="399E17B1" w14:textId="77777777" w:rsidR="00F86691" w:rsidRDefault="00F86691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BE478DD" w14:textId="2EA09995" w:rsidR="00F86691" w:rsidRDefault="00F86691" w:rsidP="00F86691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19</w:t>
      </w:r>
    </w:p>
    <w:p w14:paraId="747E5C1C" w14:textId="77777777" w:rsidR="00F86691" w:rsidRDefault="00F86691" w:rsidP="00F86691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6230A2E6" w14:textId="6171CC55" w:rsidR="00F86691" w:rsidRDefault="00261981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Pytanie do § 7 us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t. 1 pkt. 5</w:t>
      </w: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 Umowy. Czy Zamawiający potwierdza, że w ramach posiadanych licencji uprawniony jest do pobierania i instalowania aktualizacji/</w:t>
      </w:r>
      <w:proofErr w:type="spellStart"/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>upgradu</w:t>
      </w:r>
      <w:proofErr w:type="spellEnd"/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 Systemu SAP?</w:t>
      </w:r>
    </w:p>
    <w:p w14:paraId="0759B943" w14:textId="77777777" w:rsidR="009B3408" w:rsidRDefault="009B3408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6619D349" w14:textId="77777777" w:rsidR="00230F30" w:rsidRDefault="00230F30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7CB9361" w14:textId="77777777" w:rsidR="00230F30" w:rsidRDefault="00230F30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B089EAB" w14:textId="77777777" w:rsidR="009B3408" w:rsidRPr="007A7521" w:rsidRDefault="009B3408" w:rsidP="009B340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lastRenderedPageBreak/>
        <w:t>Odpowiedź:</w:t>
      </w:r>
    </w:p>
    <w:p w14:paraId="2D4E5C0D" w14:textId="61E827F7" w:rsidR="009B3408" w:rsidRDefault="7F27DDB6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Bieżące wsparcie </w:t>
      </w:r>
      <w:r w:rsidR="43AF272A" w:rsidRPr="703A998B">
        <w:rPr>
          <w:rFonts w:ascii="Century Gothic" w:eastAsia="Calibri" w:hAnsi="Century Gothic" w:cs="Arial"/>
          <w:sz w:val="22"/>
          <w:szCs w:val="22"/>
          <w:lang w:eastAsia="pl-PL"/>
        </w:rPr>
        <w:t>umożliwia pobieranie i instalowanie aktualizacji/</w:t>
      </w:r>
      <w:proofErr w:type="spellStart"/>
      <w:r w:rsidR="43AF272A" w:rsidRPr="703A998B">
        <w:rPr>
          <w:rFonts w:ascii="Century Gothic" w:eastAsia="Calibri" w:hAnsi="Century Gothic" w:cs="Arial"/>
          <w:sz w:val="22"/>
          <w:szCs w:val="22"/>
          <w:lang w:eastAsia="pl-PL"/>
        </w:rPr>
        <w:t>upgradu</w:t>
      </w:r>
      <w:proofErr w:type="spellEnd"/>
      <w:r w:rsidR="43AF272A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Systemu SAP. </w:t>
      </w: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Wykonawca musi uwzględnić w swojej wycenie dostawę usług utrzymaniowych SAP (czyli </w:t>
      </w:r>
      <w:proofErr w:type="spellStart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maintenance</w:t>
      </w:r>
      <w:proofErr w:type="spellEnd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) na cały okres trwania umowy na poziomie SAP Enterprise </w:t>
      </w:r>
      <w:proofErr w:type="spellStart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Support</w:t>
      </w:r>
      <w:proofErr w:type="spellEnd"/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.</w:t>
      </w:r>
    </w:p>
    <w:p w14:paraId="78519A6F" w14:textId="77777777" w:rsidR="00261981" w:rsidRDefault="00261981" w:rsidP="00F8669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78C9299" w14:textId="7DB7B4B5" w:rsidR="00261981" w:rsidRDefault="00261981" w:rsidP="00261981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20</w:t>
      </w:r>
    </w:p>
    <w:p w14:paraId="1C198D0A" w14:textId="77777777" w:rsidR="00261981" w:rsidRDefault="00261981" w:rsidP="00261981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1B448968" w14:textId="489A7A44" w:rsidR="00261981" w:rsidRPr="00261981" w:rsidRDefault="00261981" w:rsidP="0026198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7 ust. 1 pkt. 6 Umowy i nada mu następującą treść:</w:t>
      </w: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„należytą staranność w tym, aby zapewnić zgodność Systemu SAP </w:t>
      </w:r>
      <w:r w:rsidR="009B3408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z obowiązującymi przepisami prawa przez co rozumie się zapewnienie aktualności prawnej Systemu użytkowanego u Zamawiającego w terminie </w:t>
      </w:r>
      <w:r w:rsidR="009B3408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 xml:space="preserve">do 5 dni roboczych od daty przekazania przez Zamawiającego informacji </w:t>
      </w:r>
      <w:r w:rsidR="009B3408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261981">
        <w:rPr>
          <w:rFonts w:ascii="Century Gothic" w:eastAsia="Calibri" w:hAnsi="Century Gothic" w:cs="Arial"/>
          <w:sz w:val="22"/>
          <w:szCs w:val="22"/>
          <w:lang w:eastAsia="pl-PL"/>
        </w:rPr>
        <w:t>o konieczności wykonania aktualizacji prawnej lub do daty wynikającej z ustawy, rozporządzenia jednak nie później niż wejście w życie zmian prawnych jako obowiązujących, z tym zastrzeżeniem, że vacatio legis takich zmian mus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i wynosić przynajmniej 14 dni.</w:t>
      </w:r>
    </w:p>
    <w:p w14:paraId="4FC39E08" w14:textId="77777777" w:rsidR="00261981" w:rsidRDefault="00261981" w:rsidP="00261981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3ECB3AF" w14:textId="77777777" w:rsidR="00261981" w:rsidRPr="007A7521" w:rsidRDefault="00261981" w:rsidP="0026198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3C3FB10" w14:textId="59C824C2" w:rsidR="00261981" w:rsidRDefault="16AB7570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Zgodnie z odpowiedzią na pytanie 9 -</w:t>
      </w:r>
      <w:r w:rsidR="7A3CCC6E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3680FC19" w:rsidRPr="703A998B">
        <w:rPr>
          <w:rFonts w:ascii="Century Gothic" w:eastAsia="Calibri" w:hAnsi="Century Gothic" w:cs="Arial"/>
          <w:sz w:val="22"/>
          <w:szCs w:val="22"/>
          <w:lang w:eastAsia="pl-PL"/>
        </w:rPr>
        <w:t>Z</w:t>
      </w:r>
      <w:r w:rsidR="7A3CCC6E" w:rsidRPr="703A998B">
        <w:rPr>
          <w:rFonts w:ascii="Century Gothic" w:eastAsia="Calibri" w:hAnsi="Century Gothic" w:cs="Arial"/>
          <w:sz w:val="22"/>
          <w:szCs w:val="22"/>
          <w:lang w:eastAsia="pl-PL"/>
        </w:rPr>
        <w:t>amawiający zmieni termin zapewnienia aktualizacji systemu z 5 na 15, z zastrzeżeniem. że będą dostarczane nie później niż terminy wynikające z przepisów.</w:t>
      </w:r>
    </w:p>
    <w:p w14:paraId="7D02655D" w14:textId="77777777" w:rsidR="00B64658" w:rsidRDefault="00B64658" w:rsidP="0026198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9D0DCB1" w14:textId="0C33F0D0" w:rsidR="00B64658" w:rsidRDefault="00B64658" w:rsidP="00B6465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21</w:t>
      </w:r>
    </w:p>
    <w:p w14:paraId="5FF7A063" w14:textId="5A9F45E0" w:rsidR="00B64658" w:rsidRDefault="00B64658" w:rsidP="0026198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64658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8 ust. 2 pkt. 1 Umowy i nadać mu następującą treść:</w:t>
      </w:r>
      <w:r w:rsidRPr="00B64658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„błąd A - w terminie do 15 roboczogodzin”? Jest to o tyle uzasadnione,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B64658">
        <w:rPr>
          <w:rFonts w:ascii="Century Gothic" w:eastAsia="Calibri" w:hAnsi="Century Gothic" w:cs="Arial"/>
          <w:sz w:val="22"/>
          <w:szCs w:val="22"/>
          <w:lang w:eastAsia="pl-PL"/>
        </w:rPr>
        <w:t>że w przeciwnym wypadku może się okazać, że termin na realizację zgłoszenia upływa już w momencie zgłoszenia, czyli z góry nie jest możliwe spełnienie wymogu w zakładanym terminie.</w:t>
      </w:r>
    </w:p>
    <w:p w14:paraId="1C3DB211" w14:textId="77777777" w:rsidR="00BA4362" w:rsidRPr="007A7521" w:rsidRDefault="00BA4362" w:rsidP="00BA436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5E4F6FE" w14:textId="25F27536" w:rsidR="00BA4362" w:rsidRDefault="00201D10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Nie</w:t>
      </w:r>
      <w:r w:rsidR="52A85E1E" w:rsidRPr="703A998B">
        <w:rPr>
          <w:rFonts w:ascii="Century Gothic" w:eastAsia="Calibri" w:hAnsi="Century Gothic" w:cs="Arial"/>
          <w:sz w:val="22"/>
          <w:szCs w:val="22"/>
          <w:lang w:eastAsia="pl-PL"/>
        </w:rPr>
        <w:t>, Zamawiający nie zmieni zapisu.</w:t>
      </w:r>
    </w:p>
    <w:p w14:paraId="3BE42652" w14:textId="77777777" w:rsidR="00BA4362" w:rsidRDefault="00BA4362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9D61EB3" w14:textId="77777777" w:rsidR="00230F30" w:rsidRDefault="00230F30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664A05B" w14:textId="77777777" w:rsidR="00230F30" w:rsidRDefault="00230F30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D68890B" w14:textId="77777777" w:rsidR="00230F30" w:rsidRDefault="00230F30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792CB55" w14:textId="37344161" w:rsidR="00BA4362" w:rsidRDefault="00BA4362" w:rsidP="00BA4362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22</w:t>
      </w:r>
    </w:p>
    <w:p w14:paraId="65819735" w14:textId="77777777" w:rsidR="00BA4362" w:rsidRDefault="00BA4362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7AACC07" w14:textId="77777777" w:rsidR="00BA4362" w:rsidRDefault="00BA4362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A4362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dodać do Umowy nowe postanowienie § 8 ust. 3a o następującej treści:</w:t>
      </w:r>
      <w:r w:rsidRPr="00BA4362">
        <w:rPr>
          <w:rFonts w:ascii="Century Gothic" w:eastAsia="Calibri" w:hAnsi="Century Gothic" w:cs="Arial"/>
          <w:sz w:val="22"/>
          <w:szCs w:val="22"/>
          <w:lang w:eastAsia="pl-PL"/>
        </w:rPr>
        <w:br/>
        <w:t>„W przypadku, gdy do rozwiązania błędu konieczna jest brakująca dokumentacja Systemu, na uzasadniony wniosek Wykonawcy, czas naprawy ulega automatycznemu zawieszeniu, o czas niezbędny do odtworzenia niezbędnych informacji przez Wykonawcę.”</w:t>
      </w:r>
    </w:p>
    <w:p w14:paraId="5EDC7E68" w14:textId="77777777" w:rsidR="00BA4362" w:rsidRDefault="00BA4362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609048C" w14:textId="77777777" w:rsidR="00BA4362" w:rsidRPr="007A7521" w:rsidRDefault="00BA4362" w:rsidP="00BA436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3006911" w14:textId="43A11AC6" w:rsidR="00BA4362" w:rsidRDefault="00096C83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Nie</w:t>
      </w:r>
      <w:r w:rsidR="2378A238" w:rsidRPr="703A998B">
        <w:rPr>
          <w:rFonts w:ascii="Century Gothic" w:eastAsia="Calibri" w:hAnsi="Century Gothic" w:cs="Arial"/>
          <w:sz w:val="22"/>
          <w:szCs w:val="22"/>
          <w:lang w:eastAsia="pl-PL"/>
        </w:rPr>
        <w:t>, Zamawiający nie wyraża zgody na proponowany zapis.</w:t>
      </w:r>
    </w:p>
    <w:p w14:paraId="4BD9E858" w14:textId="77777777" w:rsidR="00B53450" w:rsidRDefault="00B53450" w:rsidP="00BA4362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1A607B77" w14:textId="5ADF57E6" w:rsidR="00B53450" w:rsidRDefault="00B53450" w:rsidP="00B53450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23</w:t>
      </w:r>
    </w:p>
    <w:p w14:paraId="026D4E57" w14:textId="77777777" w:rsidR="00B53450" w:rsidRDefault="00B53450" w:rsidP="00B53450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2B392634" w14:textId="4A7B5DC0" w:rsidR="00B53450" w:rsidRDefault="00B53450" w:rsidP="00B53450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B53450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usunąć postanowienie § 8 ust. 5 Umowy? Jest to o tyle uzasadnione, że Zamawiającemu przysługuje już prawo wykonawstwa zastępczego na zasadach kodeksu cywilnego, który zabezpiecza interes Zamawiającego w sposób należyty.</w:t>
      </w:r>
    </w:p>
    <w:p w14:paraId="013680F0" w14:textId="77777777" w:rsidR="00432641" w:rsidRPr="007A7521" w:rsidRDefault="00432641" w:rsidP="0043264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2FD1D67" w14:textId="3EBF6923" w:rsidR="00432641" w:rsidRDefault="22776E52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nie wyraża zgody na usunięcie postanowień § 8 ust. 5 IPU.</w:t>
      </w:r>
    </w:p>
    <w:p w14:paraId="0AD03666" w14:textId="77777777" w:rsidR="006C7949" w:rsidRDefault="006C7949" w:rsidP="0043264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1B70C08E" w14:textId="0C43573A" w:rsidR="006C7949" w:rsidRDefault="006C7949" w:rsidP="006C79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24</w:t>
      </w:r>
    </w:p>
    <w:p w14:paraId="06F74A9E" w14:textId="77777777" w:rsidR="00200F30" w:rsidRDefault="00200F30" w:rsidP="006C79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57F649C4" w14:textId="29F56780" w:rsidR="00200F30" w:rsidRDefault="00200F30" w:rsidP="006C79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C57CA3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11 ust. 1 Umowy i nadać mu następującą treść:</w:t>
      </w:r>
      <w:r w:rsidRPr="00C57CA3">
        <w:rPr>
          <w:rFonts w:ascii="Century Gothic" w:eastAsia="Calibri" w:hAnsi="Century Gothic" w:cs="Arial"/>
          <w:sz w:val="22"/>
          <w:szCs w:val="22"/>
          <w:lang w:eastAsia="pl-PL"/>
        </w:rPr>
        <w:br/>
        <w:t>„Wykonawca - oświadcza, że przysługują mu wszelkie majątkowe prawa autorskie do Utworów powstałych w wyniku realizacji przedmiotu Umowy w szczególności do wytworzonych na rzecz Zamawiającego programów komputerowych i ich fragmentów oraz dokumentacji.”? Jest to tyle uzasadnione, że Wykonawca nigdy nie będzie autorem w rozumieniu prawa autorskiego, współautorami będę poszczególni programiści. Wykonawca może się jedynie zobowiązać, że przeniesie na Zamawiającego majątkowe prawa autorskie.</w:t>
      </w:r>
    </w:p>
    <w:p w14:paraId="346C9121" w14:textId="77777777" w:rsidR="00C57CA3" w:rsidRDefault="00C57CA3" w:rsidP="006C79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1321996D" w14:textId="77777777" w:rsidR="00C57CA3" w:rsidRPr="007A7521" w:rsidRDefault="00C57CA3" w:rsidP="00C57CA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B079A68" w14:textId="531AD426" w:rsidR="00C57CA3" w:rsidRDefault="35A80337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nie wyraża zgody na proponowaną zmianę.</w:t>
      </w:r>
    </w:p>
    <w:p w14:paraId="52366C26" w14:textId="77777777" w:rsidR="00C57CA3" w:rsidRDefault="00C57CA3" w:rsidP="00C57CA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13CC822" w14:textId="24E72089" w:rsidR="00C57CA3" w:rsidRDefault="00C57CA3" w:rsidP="00C57CA3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25</w:t>
      </w:r>
    </w:p>
    <w:p w14:paraId="0DEE06E6" w14:textId="77777777" w:rsidR="00756879" w:rsidRDefault="00756879" w:rsidP="00C57CA3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5AA6C8D" w14:textId="77777777" w:rsidR="00756879" w:rsidRDefault="00756879" w:rsidP="00C57CA3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11 ust. 14 Umowy i nada mu stępującą treść:</w:t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„W przypadku wystąpienia przez jakąkolwiek osobę wobec Zamawiającego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lub jego następców prawnych z uzasadnionym roszczeniem – tj. opartym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na prawomocnym wyroku Sądu lub ugodzie, potwierdzających że wykonane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>i dostarczone przez Wykonawcę Utwory, o których mowa w ust. 1, naruszają jej prawa, o których mowa w ust. 13, Zamawiającemu lub jego następcom prawnym przysługuje prawo odstąpienia od Umowy:</w:t>
      </w:r>
    </w:p>
    <w:p w14:paraId="7F8B5FFF" w14:textId="5B859D06" w:rsidR="00756879" w:rsidRDefault="00756879" w:rsidP="00FE098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br/>
        <w:t>1) w całości lub 2) w części tj. odstąpienia od realizacji części przedmiotu Umowy dotyczącej odpowiednio wykonania i dostarczenia przez Wykonawcę danego Utworu, co do którego, zostało zgłoszone przez ww. osobę trzecią to roszczenie.</w:t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Prawo odstąpienia, o którym mowa powyżej może zostać zrealizowane </w:t>
      </w:r>
      <w:r w:rsidR="00FE0986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w terminie 14 dni od stwierdzenia przesłanki uprawniającej do jego dokonania. W tej sytuacji Wykonawcy nie przysługuje roszczenie o wynagrodzenie, roszczenie o zwrot poniesionych kosztów ani jakiekolwiek inne </w:t>
      </w:r>
      <w:r w:rsidR="00FE0986">
        <w:rPr>
          <w:rFonts w:ascii="Century Gothic" w:eastAsia="Calibri" w:hAnsi="Century Gothic" w:cs="Arial"/>
          <w:sz w:val="22"/>
          <w:szCs w:val="22"/>
          <w:lang w:eastAsia="pl-PL"/>
        </w:rPr>
        <w:t xml:space="preserve">roszczenie odszkodowawcze wobec Zamawiającego.”? </w:t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Jest to o tyle uzasadnione, </w:t>
      </w:r>
      <w:r w:rsidR="00FE0986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że organami powołanym do rozstrzygania sporów są sądy. Wykonawca </w:t>
      </w:r>
      <w:r w:rsidR="00FE0986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 xml:space="preserve">nie powinien być przedwcześnie karany za to, że inny podmiot wysnuł względem niego jakieś roszczenie. Niesłuszne oskarżenie, które tylko z pozoru mogło zdawać się uzasadnione, może doprowadzić do upadłości uczciwego Wykonawcę. Zdaniem Wykonawcy, w obecnym kształcie, zaproponowane postanowieni </w:t>
      </w:r>
      <w:r w:rsidR="00FE0986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56879">
        <w:rPr>
          <w:rFonts w:ascii="Century Gothic" w:eastAsia="Calibri" w:hAnsi="Century Gothic" w:cs="Arial"/>
          <w:sz w:val="22"/>
          <w:szCs w:val="22"/>
          <w:lang w:eastAsia="pl-PL"/>
        </w:rPr>
        <w:t>nie spełnia wymogów proporcjonalności ustalonych w art. 7 ust. 1 PZP.</w:t>
      </w:r>
    </w:p>
    <w:p w14:paraId="58B1A138" w14:textId="77777777" w:rsidR="003201FD" w:rsidRDefault="003201FD" w:rsidP="00FE0986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2226B6B" w14:textId="77777777" w:rsidR="003201FD" w:rsidRPr="007A7521" w:rsidRDefault="003201FD" w:rsidP="003201F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D7FA070" w14:textId="2310C752" w:rsidR="003201FD" w:rsidRDefault="08DCF428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Nie, Zamawiający nie wyraża zgody na zaproponowany zapis.</w:t>
      </w:r>
    </w:p>
    <w:p w14:paraId="5CF3C938" w14:textId="77777777" w:rsidR="003201FD" w:rsidRDefault="003201FD" w:rsidP="003201FD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50C667E" w14:textId="7F0AD0A8" w:rsidR="003201FD" w:rsidRDefault="003201FD" w:rsidP="003201FD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26</w:t>
      </w:r>
    </w:p>
    <w:p w14:paraId="2BAE5AD5" w14:textId="77777777" w:rsidR="00995149" w:rsidRDefault="00995149" w:rsidP="003201FD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188C735" w14:textId="77777777" w:rsidR="00995149" w:rsidRDefault="003201FD" w:rsidP="009951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95149">
        <w:rPr>
          <w:rFonts w:ascii="Century Gothic" w:eastAsia="Calibri" w:hAnsi="Century Gothic" w:cs="Arial"/>
          <w:sz w:val="22"/>
          <w:szCs w:val="22"/>
          <w:lang w:eastAsia="pl-PL"/>
        </w:rPr>
        <w:t xml:space="preserve">Pytanie do załącznika nr 8 do SIWZ – IPU. Czy Zamawiający potwierdza, </w:t>
      </w:r>
      <w:r w:rsidR="00995149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995149">
        <w:rPr>
          <w:rFonts w:ascii="Century Gothic" w:eastAsia="Calibri" w:hAnsi="Century Gothic" w:cs="Arial"/>
          <w:sz w:val="22"/>
          <w:szCs w:val="22"/>
          <w:lang w:eastAsia="pl-PL"/>
        </w:rPr>
        <w:t>że podmiot trzeci, o którym mowa w § 13 ust. 2 Umowy, nie będzie podmiotem konkurencyjnym w stosunku do Wykonawcy?</w:t>
      </w:r>
    </w:p>
    <w:p w14:paraId="2A1C832E" w14:textId="77777777" w:rsidR="00995149" w:rsidRDefault="00995149" w:rsidP="009951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4B96C27" w14:textId="77777777" w:rsidR="00995149" w:rsidRPr="007A7521" w:rsidRDefault="00995149" w:rsidP="0099514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14AB1D78" w14:textId="2FE5D7C8" w:rsidR="00CE4FC3" w:rsidRDefault="4AFF90C4" w:rsidP="703A998B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będzie korzystał z UZP. Nie wyklucza to możliwości przystąpienia do takiego postępowania żadnego podmiotu.</w:t>
      </w:r>
    </w:p>
    <w:p w14:paraId="3088EC4D" w14:textId="77777777" w:rsidR="00995149" w:rsidRDefault="00995149" w:rsidP="009951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3556FD3" w14:textId="4E435FB8" w:rsidR="00995149" w:rsidRDefault="00995149" w:rsidP="009951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27</w:t>
      </w:r>
    </w:p>
    <w:p w14:paraId="691B100B" w14:textId="77777777" w:rsidR="00995149" w:rsidRDefault="00995149" w:rsidP="00995149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09BBFB00" w14:textId="6785E040" w:rsidR="00995149" w:rsidRDefault="00995149" w:rsidP="009951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95149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postanowienie, o k</w:t>
      </w:r>
      <w:r w:rsidR="00771695">
        <w:rPr>
          <w:rFonts w:ascii="Century Gothic" w:eastAsia="Calibri" w:hAnsi="Century Gothic" w:cs="Arial"/>
          <w:sz w:val="22"/>
          <w:szCs w:val="22"/>
          <w:lang w:eastAsia="pl-PL"/>
        </w:rPr>
        <w:t>tórym mowa w § 15 ust. 3 pkt 10</w:t>
      </w:r>
      <w:r w:rsidRPr="00995149">
        <w:rPr>
          <w:rFonts w:ascii="Century Gothic" w:eastAsia="Calibri" w:hAnsi="Century Gothic" w:cs="Arial"/>
          <w:sz w:val="22"/>
          <w:szCs w:val="22"/>
          <w:lang w:eastAsia="pl-PL"/>
        </w:rPr>
        <w:t xml:space="preserve"> i ustanowi karę umową na poziomie 5% maksymalnego wynagrodzenia brutto? Jest to o tyle uzasadnione, że zaproponowana wysokość kary umownej jest rażąco wygórowana.</w:t>
      </w:r>
      <w:r w:rsidRPr="00995149">
        <w:rPr>
          <w:rFonts w:ascii="Century Gothic" w:eastAsia="Calibri" w:hAnsi="Century Gothic" w:cs="Arial"/>
          <w:sz w:val="22"/>
          <w:szCs w:val="22"/>
          <w:lang w:eastAsia="pl-PL"/>
        </w:rPr>
        <w:br/>
      </w:r>
    </w:p>
    <w:p w14:paraId="43D2528E" w14:textId="77777777" w:rsidR="00995149" w:rsidRPr="007A7521" w:rsidRDefault="00995149" w:rsidP="0099514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76B5E62D" w14:textId="083051CB" w:rsidR="00995149" w:rsidRDefault="3B4FDB71" w:rsidP="007801BD">
      <w:pPr>
        <w:spacing w:line="259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Zamawiający nie wyraża zgody na zmianę.</w:t>
      </w:r>
    </w:p>
    <w:p w14:paraId="0A3CFA32" w14:textId="77777777" w:rsidR="00771695" w:rsidRDefault="00771695" w:rsidP="0099514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7BD1F07" w14:textId="4A536522" w:rsidR="00771695" w:rsidRDefault="00771695" w:rsidP="0077169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28</w:t>
      </w:r>
    </w:p>
    <w:p w14:paraId="4C433BA1" w14:textId="77777777" w:rsidR="00771695" w:rsidRDefault="00771695" w:rsidP="0077169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C5B946D" w14:textId="7BA25EF5" w:rsidR="00771695" w:rsidRDefault="00771695" w:rsidP="00771695">
      <w:pPr>
        <w:jc w:val="both"/>
      </w:pPr>
      <w:r w:rsidRPr="00771695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usunąć postanowienie § 15 ust. 4 Umowy? Jest to o tyle uzasadnione, że Zamawiający uzyskuje prawo do naliczenia olbrzymiej kary umownej, na podstawie subiektywnej oceny zasadności roszczenia. W obecnym kształcie, ryzyko związane z naliczeniem kary umownej, która doprowadzi do upadłości większość z przedsiębiorców, jest tak duże, że racjonalni Wykonawcy będą musieli uwzględnić to ryzyko w swoich ofertach</w:t>
      </w:r>
      <w:r>
        <w:t>.</w:t>
      </w:r>
    </w:p>
    <w:p w14:paraId="388E5BE0" w14:textId="77777777" w:rsidR="00771695" w:rsidRDefault="00771695" w:rsidP="00771695">
      <w:pPr>
        <w:jc w:val="both"/>
      </w:pPr>
    </w:p>
    <w:p w14:paraId="44A02377" w14:textId="77777777" w:rsidR="00771695" w:rsidRPr="007A7521" w:rsidRDefault="00771695" w:rsidP="0077169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324471A" w14:textId="610D5C54" w:rsidR="00205F94" w:rsidRDefault="005F1B0C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Nie, Zamawiający nie </w:t>
      </w:r>
      <w:r w:rsidR="002C18E9">
        <w:rPr>
          <w:rFonts w:ascii="Century Gothic" w:eastAsia="Calibri" w:hAnsi="Century Gothic" w:cs="Arial"/>
          <w:sz w:val="22"/>
          <w:szCs w:val="22"/>
          <w:lang w:eastAsia="pl-PL"/>
        </w:rPr>
        <w:t xml:space="preserve">usunie postanowienia </w:t>
      </w:r>
      <w:r w:rsidR="002C18E9" w:rsidRPr="00771695">
        <w:rPr>
          <w:rFonts w:ascii="Century Gothic" w:eastAsia="Calibri" w:hAnsi="Century Gothic" w:cs="Arial"/>
          <w:sz w:val="22"/>
          <w:szCs w:val="22"/>
          <w:lang w:eastAsia="pl-PL"/>
        </w:rPr>
        <w:t>§ 15 ust. 4 Umowy</w:t>
      </w:r>
      <w:r w:rsidR="002C18E9"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</w:p>
    <w:p w14:paraId="4EAA4599" w14:textId="77777777" w:rsidR="00EC6560" w:rsidRDefault="00EC6560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4C44BD2" w14:textId="4F9BE413" w:rsidR="00205F94" w:rsidRDefault="00205F94" w:rsidP="00205F94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29</w:t>
      </w:r>
    </w:p>
    <w:p w14:paraId="258130AB" w14:textId="77777777" w:rsidR="00205F94" w:rsidRDefault="00205F94" w:rsidP="00205F94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31C885DD" w14:textId="32B81BD8" w:rsidR="00205F94" w:rsidRDefault="00205F94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05F94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zmienić postanowienie § 15 ust. 6 Umowy, w ten sposób, że obniży karę umową do poziomu 10% maksymalnego wynagrodzenia brutto? Jest to o tyle uzasadnione, że zaproponowana kara jest rażąco wygórowana i odstaje od rynkowych standardów na rynku IT.</w:t>
      </w:r>
    </w:p>
    <w:p w14:paraId="5C1107E8" w14:textId="14693257" w:rsidR="00E6501F" w:rsidRDefault="00E6501F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B905967" w14:textId="77777777" w:rsidR="00C45654" w:rsidRPr="007A7521" w:rsidRDefault="00C45654" w:rsidP="00C4565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2BCEC07" w14:textId="589BF096" w:rsidR="00E6501F" w:rsidRDefault="00C45654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Nie</w:t>
      </w:r>
      <w:r w:rsidR="71C3BF0F" w:rsidRPr="703A998B">
        <w:rPr>
          <w:rFonts w:ascii="Century Gothic" w:eastAsia="Calibri" w:hAnsi="Century Gothic" w:cs="Arial"/>
          <w:sz w:val="22"/>
          <w:szCs w:val="22"/>
          <w:lang w:eastAsia="pl-PL"/>
        </w:rPr>
        <w:t>, Zamawiający nie wyraża zgody na proponowaną zmianę.</w:t>
      </w:r>
    </w:p>
    <w:p w14:paraId="1180F8C8" w14:textId="77777777" w:rsidR="00205F94" w:rsidRDefault="00205F94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4249660" w14:textId="77777777" w:rsidR="00F808BF" w:rsidRDefault="00F808BF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7AA9C367" w14:textId="77777777" w:rsidR="00F808BF" w:rsidRDefault="00F808BF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DBA4126" w14:textId="77777777" w:rsidR="00F808BF" w:rsidRDefault="00F808BF" w:rsidP="00771695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4DD98DFD" w14:textId="6F1A6E35" w:rsidR="00205F94" w:rsidRDefault="00205F94" w:rsidP="00205F94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30</w:t>
      </w:r>
    </w:p>
    <w:p w14:paraId="738C7968" w14:textId="77777777" w:rsidR="00205F94" w:rsidRDefault="00205F94" w:rsidP="00205F94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17CBCE6C" w14:textId="77777777" w:rsidR="00205F94" w:rsidRDefault="00205F94" w:rsidP="00205F94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05F94">
        <w:rPr>
          <w:rFonts w:ascii="Century Gothic" w:eastAsia="Calibri" w:hAnsi="Century Gothic" w:cs="Arial"/>
          <w:sz w:val="22"/>
          <w:szCs w:val="22"/>
          <w:lang w:eastAsia="pl-PL"/>
        </w:rPr>
        <w:t>Pytanie do Załącznika nr 8 do SIWZ – IPU. Czy Zamawiający zgodzi się dodać do § 15 nowe postanowienie, w którym ustanowi limit kar umownych na poziomie 15% maksymalnego wynagrodzenia brutto? Jest to o tyle uzasadnione, że ryzyko związane z realizacją projektu jest tak duże, że wykonawcy będą musieli uwzględnić te ryzyka w swoich ofertach.</w:t>
      </w:r>
    </w:p>
    <w:p w14:paraId="44B6F6E9" w14:textId="77777777" w:rsidR="002B28DA" w:rsidRDefault="002B28DA" w:rsidP="00205F94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1641CEA" w14:textId="77777777" w:rsidR="002B28DA" w:rsidRPr="007A7521" w:rsidRDefault="002B28DA" w:rsidP="002B28D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F7AD6B0" w14:textId="3989C1E8" w:rsidR="00984578" w:rsidRPr="009E0DD1" w:rsidRDefault="501474BA" w:rsidP="009E0DD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703A998B">
        <w:rPr>
          <w:rFonts w:ascii="Century Gothic" w:eastAsia="Calibri" w:hAnsi="Century Gothic" w:cs="Arial"/>
          <w:sz w:val="22"/>
          <w:szCs w:val="22"/>
          <w:lang w:eastAsia="pl-PL"/>
        </w:rPr>
        <w:t>Nie</w:t>
      </w:r>
      <w:r w:rsidR="5F986027" w:rsidRPr="703A998B">
        <w:rPr>
          <w:rFonts w:ascii="Century Gothic" w:eastAsia="Calibri" w:hAnsi="Century Gothic" w:cs="Arial"/>
          <w:sz w:val="22"/>
          <w:szCs w:val="22"/>
          <w:lang w:eastAsia="pl-PL"/>
        </w:rPr>
        <w:t xml:space="preserve">, Zamawiający nie zgadza się na proponowany zapis. </w:t>
      </w:r>
    </w:p>
    <w:sectPr w:rsidR="00984578" w:rsidRPr="009E0DD1" w:rsidSect="003E7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4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FEE8" w14:textId="77777777" w:rsidR="002D1247" w:rsidRDefault="002D1247" w:rsidP="00CF47EC">
      <w:r>
        <w:separator/>
      </w:r>
    </w:p>
  </w:endnote>
  <w:endnote w:type="continuationSeparator" w:id="0">
    <w:p w14:paraId="6FCB6BFB" w14:textId="77777777" w:rsidR="002D1247" w:rsidRDefault="002D1247" w:rsidP="00CF47EC">
      <w:r>
        <w:continuationSeparator/>
      </w:r>
    </w:p>
  </w:endnote>
  <w:endnote w:type="continuationNotice" w:id="1">
    <w:p w14:paraId="49A2525D" w14:textId="77777777" w:rsidR="002D1247" w:rsidRDefault="002D1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572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8355CC" w14:textId="77777777"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7F477A" w14:textId="77777777"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040512"/>
      <w:docPartObj>
        <w:docPartGallery w:val="Page Numbers (Bottom of Page)"/>
        <w:docPartUnique/>
      </w:docPartObj>
    </w:sdtPr>
    <w:sdtEndPr/>
    <w:sdtContent>
      <w:p w14:paraId="187BB8D6" w14:textId="7A835D21" w:rsidR="006417D2" w:rsidRDefault="00641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36">
          <w:rPr>
            <w:noProof/>
          </w:rPr>
          <w:t>13</w:t>
        </w:r>
        <w:r>
          <w:fldChar w:fldCharType="end"/>
        </w:r>
      </w:p>
    </w:sdtContent>
  </w:sdt>
  <w:p w14:paraId="3C4DB58B" w14:textId="6356EAD4"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CFAB6" w14:textId="77777777" w:rsidR="006417D2" w:rsidRDefault="00641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EC4D" w14:textId="77777777" w:rsidR="002D1247" w:rsidRDefault="002D1247" w:rsidP="00CF47EC">
      <w:r>
        <w:separator/>
      </w:r>
    </w:p>
  </w:footnote>
  <w:footnote w:type="continuationSeparator" w:id="0">
    <w:p w14:paraId="13004ED6" w14:textId="77777777" w:rsidR="002D1247" w:rsidRDefault="002D1247" w:rsidP="00CF47EC">
      <w:r>
        <w:continuationSeparator/>
      </w:r>
    </w:p>
  </w:footnote>
  <w:footnote w:type="continuationNotice" w:id="1">
    <w:p w14:paraId="7625081E" w14:textId="77777777" w:rsidR="002D1247" w:rsidRDefault="002D12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5EC9" w14:textId="77777777" w:rsidR="006417D2" w:rsidRDefault="00641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E67B" w14:textId="77777777" w:rsidR="00CF47EC" w:rsidRDefault="703A998B">
    <w:pPr>
      <w:pStyle w:val="Nagwek"/>
    </w:pPr>
    <w:r>
      <w:rPr>
        <w:noProof/>
        <w:lang w:eastAsia="pl-PL"/>
      </w:rPr>
      <w:drawing>
        <wp:inline distT="0" distB="0" distL="0" distR="0" wp14:anchorId="7C1B30B3" wp14:editId="424191AD">
          <wp:extent cx="1730375" cy="503993"/>
          <wp:effectExtent l="0" t="0" r="0" b="4445"/>
          <wp:docPr id="6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0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6B24" w14:textId="77777777" w:rsidR="006417D2" w:rsidRDefault="00641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C8D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0F7"/>
    <w:multiLevelType w:val="multilevel"/>
    <w:tmpl w:val="6C708956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53857"/>
    <w:multiLevelType w:val="hybridMultilevel"/>
    <w:tmpl w:val="427E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A0186"/>
    <w:multiLevelType w:val="hybridMultilevel"/>
    <w:tmpl w:val="08FAADA8"/>
    <w:lvl w:ilvl="0" w:tplc="9DF2D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AF6090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D467224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4AB43EEC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 w:tplc="469AED3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 w:tplc="A70E5B6A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 w:tplc="72C691DC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 w:tplc="1D76B4B4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 w:tplc="090EABB4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04D52"/>
    <w:multiLevelType w:val="hybridMultilevel"/>
    <w:tmpl w:val="85F2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7897"/>
    <w:multiLevelType w:val="hybridMultilevel"/>
    <w:tmpl w:val="0AD848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864A32"/>
    <w:multiLevelType w:val="hybridMultilevel"/>
    <w:tmpl w:val="C754713A"/>
    <w:lvl w:ilvl="0" w:tplc="AD46DF16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D1010A8">
      <w:start w:val="1"/>
      <w:numFmt w:val="lowerLetter"/>
      <w:lvlText w:val="%2."/>
      <w:lvlJc w:val="left"/>
      <w:pPr>
        <w:ind w:left="1440" w:hanging="360"/>
      </w:pPr>
    </w:lvl>
    <w:lvl w:ilvl="2" w:tplc="434E59E8">
      <w:start w:val="1"/>
      <w:numFmt w:val="lowerRoman"/>
      <w:lvlText w:val="%3."/>
      <w:lvlJc w:val="right"/>
      <w:pPr>
        <w:ind w:left="2160" w:hanging="180"/>
      </w:pPr>
    </w:lvl>
    <w:lvl w:ilvl="3" w:tplc="822C5A0A">
      <w:start w:val="1"/>
      <w:numFmt w:val="decimal"/>
      <w:lvlText w:val="%4."/>
      <w:lvlJc w:val="left"/>
      <w:pPr>
        <w:ind w:left="2880" w:hanging="360"/>
      </w:pPr>
    </w:lvl>
    <w:lvl w:ilvl="4" w:tplc="CD46A094">
      <w:start w:val="1"/>
      <w:numFmt w:val="lowerLetter"/>
      <w:lvlText w:val="%5."/>
      <w:lvlJc w:val="left"/>
      <w:pPr>
        <w:ind w:left="3600" w:hanging="360"/>
      </w:pPr>
    </w:lvl>
    <w:lvl w:ilvl="5" w:tplc="E314057A">
      <w:start w:val="1"/>
      <w:numFmt w:val="lowerRoman"/>
      <w:lvlText w:val="%6."/>
      <w:lvlJc w:val="right"/>
      <w:pPr>
        <w:ind w:left="4320" w:hanging="180"/>
      </w:pPr>
    </w:lvl>
    <w:lvl w:ilvl="6" w:tplc="818A1A0E">
      <w:start w:val="1"/>
      <w:numFmt w:val="decimal"/>
      <w:lvlText w:val="%7."/>
      <w:lvlJc w:val="left"/>
      <w:pPr>
        <w:ind w:left="5040" w:hanging="360"/>
      </w:pPr>
    </w:lvl>
    <w:lvl w:ilvl="7" w:tplc="02C47690">
      <w:start w:val="1"/>
      <w:numFmt w:val="lowerLetter"/>
      <w:lvlText w:val="%8."/>
      <w:lvlJc w:val="left"/>
      <w:pPr>
        <w:ind w:left="5760" w:hanging="360"/>
      </w:pPr>
    </w:lvl>
    <w:lvl w:ilvl="8" w:tplc="D6702C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076F"/>
    <w:multiLevelType w:val="hybridMultilevel"/>
    <w:tmpl w:val="B5808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71078"/>
    <w:multiLevelType w:val="hybridMultilevel"/>
    <w:tmpl w:val="87D6B5A6"/>
    <w:lvl w:ilvl="0" w:tplc="7C4256DA">
      <w:start w:val="1"/>
      <w:numFmt w:val="decimal"/>
      <w:lvlText w:val="%1."/>
      <w:legacy w:legacy="1" w:legacySpace="0" w:legacyIndent="312"/>
      <w:lvlJc w:val="left"/>
      <w:rPr>
        <w:rFonts w:ascii="Century Gothic" w:hAnsi="Century Gothic" w:cs="Arial" w:hint="default"/>
      </w:rPr>
    </w:lvl>
    <w:lvl w:ilvl="1" w:tplc="4508D052">
      <w:numFmt w:val="decimal"/>
      <w:lvlText w:val=""/>
      <w:lvlJc w:val="left"/>
    </w:lvl>
    <w:lvl w:ilvl="2" w:tplc="821A8EE0">
      <w:numFmt w:val="decimal"/>
      <w:lvlText w:val=""/>
      <w:lvlJc w:val="left"/>
    </w:lvl>
    <w:lvl w:ilvl="3" w:tplc="B3987CE8">
      <w:numFmt w:val="decimal"/>
      <w:lvlText w:val=""/>
      <w:lvlJc w:val="left"/>
    </w:lvl>
    <w:lvl w:ilvl="4" w:tplc="5CFA600C">
      <w:numFmt w:val="decimal"/>
      <w:lvlText w:val=""/>
      <w:lvlJc w:val="left"/>
    </w:lvl>
    <w:lvl w:ilvl="5" w:tplc="189A367C">
      <w:numFmt w:val="decimal"/>
      <w:lvlText w:val=""/>
      <w:lvlJc w:val="left"/>
    </w:lvl>
    <w:lvl w:ilvl="6" w:tplc="9BD49DE6">
      <w:numFmt w:val="decimal"/>
      <w:lvlText w:val=""/>
      <w:lvlJc w:val="left"/>
    </w:lvl>
    <w:lvl w:ilvl="7" w:tplc="1C08E260">
      <w:numFmt w:val="decimal"/>
      <w:lvlText w:val=""/>
      <w:lvlJc w:val="left"/>
    </w:lvl>
    <w:lvl w:ilvl="8" w:tplc="1180DAD8">
      <w:numFmt w:val="decimal"/>
      <w:lvlText w:val=""/>
      <w:lvlJc w:val="left"/>
    </w:lvl>
  </w:abstractNum>
  <w:abstractNum w:abstractNumId="11" w15:restartNumberingAfterBreak="0">
    <w:nsid w:val="5CCA734B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EF9"/>
    <w:multiLevelType w:val="hybridMultilevel"/>
    <w:tmpl w:val="B218C4AC"/>
    <w:lvl w:ilvl="0" w:tplc="7442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4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20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A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E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1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33D"/>
    <w:multiLevelType w:val="hybridMultilevel"/>
    <w:tmpl w:val="7FF8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45C8B"/>
    <w:multiLevelType w:val="hybridMultilevel"/>
    <w:tmpl w:val="73F046E8"/>
    <w:lvl w:ilvl="0" w:tplc="7EDA0D7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07D6"/>
    <w:multiLevelType w:val="hybridMultilevel"/>
    <w:tmpl w:val="C0F0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00A30"/>
    <w:rsid w:val="00001894"/>
    <w:rsid w:val="000044B4"/>
    <w:rsid w:val="000067F4"/>
    <w:rsid w:val="00010B94"/>
    <w:rsid w:val="00012C7E"/>
    <w:rsid w:val="00015B0C"/>
    <w:rsid w:val="00017327"/>
    <w:rsid w:val="00023BB5"/>
    <w:rsid w:val="00030A75"/>
    <w:rsid w:val="00031B80"/>
    <w:rsid w:val="000400E1"/>
    <w:rsid w:val="00041818"/>
    <w:rsid w:val="00044CE0"/>
    <w:rsid w:val="000457A0"/>
    <w:rsid w:val="00054908"/>
    <w:rsid w:val="00056E38"/>
    <w:rsid w:val="00081226"/>
    <w:rsid w:val="000819DC"/>
    <w:rsid w:val="00082FE2"/>
    <w:rsid w:val="00086206"/>
    <w:rsid w:val="00090E56"/>
    <w:rsid w:val="00096C83"/>
    <w:rsid w:val="000A6311"/>
    <w:rsid w:val="000A6486"/>
    <w:rsid w:val="000B024F"/>
    <w:rsid w:val="000B052E"/>
    <w:rsid w:val="000B3C53"/>
    <w:rsid w:val="000C172F"/>
    <w:rsid w:val="000C73F1"/>
    <w:rsid w:val="000D7ABC"/>
    <w:rsid w:val="000F3908"/>
    <w:rsid w:val="000F61FB"/>
    <w:rsid w:val="00101305"/>
    <w:rsid w:val="00106269"/>
    <w:rsid w:val="00111383"/>
    <w:rsid w:val="001121E0"/>
    <w:rsid w:val="00113CD2"/>
    <w:rsid w:val="00114E47"/>
    <w:rsid w:val="00116A22"/>
    <w:rsid w:val="00122064"/>
    <w:rsid w:val="00123F8C"/>
    <w:rsid w:val="00132BD6"/>
    <w:rsid w:val="00143F37"/>
    <w:rsid w:val="0014588A"/>
    <w:rsid w:val="00145C14"/>
    <w:rsid w:val="00151255"/>
    <w:rsid w:val="00151E0F"/>
    <w:rsid w:val="00154B6A"/>
    <w:rsid w:val="0016268B"/>
    <w:rsid w:val="00162F95"/>
    <w:rsid w:val="00167CBC"/>
    <w:rsid w:val="00184770"/>
    <w:rsid w:val="001871CD"/>
    <w:rsid w:val="00191CBF"/>
    <w:rsid w:val="0019287D"/>
    <w:rsid w:val="001975FC"/>
    <w:rsid w:val="00197D12"/>
    <w:rsid w:val="001A0F4A"/>
    <w:rsid w:val="001A2900"/>
    <w:rsid w:val="001A4852"/>
    <w:rsid w:val="001A75BD"/>
    <w:rsid w:val="001B04C1"/>
    <w:rsid w:val="001B1E9C"/>
    <w:rsid w:val="001B26A0"/>
    <w:rsid w:val="001B5867"/>
    <w:rsid w:val="001D7A61"/>
    <w:rsid w:val="001E29D0"/>
    <w:rsid w:val="001E3447"/>
    <w:rsid w:val="001E6CA9"/>
    <w:rsid w:val="001F0B12"/>
    <w:rsid w:val="001F0C30"/>
    <w:rsid w:val="001F1ABD"/>
    <w:rsid w:val="001F279E"/>
    <w:rsid w:val="001F5A2B"/>
    <w:rsid w:val="00200F30"/>
    <w:rsid w:val="00201D10"/>
    <w:rsid w:val="00203891"/>
    <w:rsid w:val="00203CDB"/>
    <w:rsid w:val="00204DE6"/>
    <w:rsid w:val="00205F94"/>
    <w:rsid w:val="00210073"/>
    <w:rsid w:val="00212C18"/>
    <w:rsid w:val="002153DE"/>
    <w:rsid w:val="00217D5A"/>
    <w:rsid w:val="0022011D"/>
    <w:rsid w:val="00220450"/>
    <w:rsid w:val="00222406"/>
    <w:rsid w:val="00230460"/>
    <w:rsid w:val="00230D49"/>
    <w:rsid w:val="00230F30"/>
    <w:rsid w:val="00232F0B"/>
    <w:rsid w:val="00237524"/>
    <w:rsid w:val="002407B1"/>
    <w:rsid w:val="002412D0"/>
    <w:rsid w:val="00252848"/>
    <w:rsid w:val="00253CE2"/>
    <w:rsid w:val="00256E19"/>
    <w:rsid w:val="00261981"/>
    <w:rsid w:val="0026258D"/>
    <w:rsid w:val="002668C0"/>
    <w:rsid w:val="002707CF"/>
    <w:rsid w:val="00270F3B"/>
    <w:rsid w:val="00271D93"/>
    <w:rsid w:val="0027273F"/>
    <w:rsid w:val="00272C1D"/>
    <w:rsid w:val="00273567"/>
    <w:rsid w:val="00280F03"/>
    <w:rsid w:val="00285A52"/>
    <w:rsid w:val="002942B7"/>
    <w:rsid w:val="00294772"/>
    <w:rsid w:val="002A1680"/>
    <w:rsid w:val="002A1CD9"/>
    <w:rsid w:val="002A33C1"/>
    <w:rsid w:val="002B28DA"/>
    <w:rsid w:val="002B43C8"/>
    <w:rsid w:val="002B51FD"/>
    <w:rsid w:val="002C05C6"/>
    <w:rsid w:val="002C0DD8"/>
    <w:rsid w:val="002C18E9"/>
    <w:rsid w:val="002C7833"/>
    <w:rsid w:val="002D1247"/>
    <w:rsid w:val="002D77A1"/>
    <w:rsid w:val="002E0C3B"/>
    <w:rsid w:val="002E62DB"/>
    <w:rsid w:val="002E7735"/>
    <w:rsid w:val="002F561D"/>
    <w:rsid w:val="00303AF0"/>
    <w:rsid w:val="003165F6"/>
    <w:rsid w:val="003201FD"/>
    <w:rsid w:val="00326E05"/>
    <w:rsid w:val="00327600"/>
    <w:rsid w:val="00335653"/>
    <w:rsid w:val="00336387"/>
    <w:rsid w:val="00344BDD"/>
    <w:rsid w:val="00344CEA"/>
    <w:rsid w:val="0035558F"/>
    <w:rsid w:val="00356A4F"/>
    <w:rsid w:val="003762C6"/>
    <w:rsid w:val="003807C5"/>
    <w:rsid w:val="00384EA6"/>
    <w:rsid w:val="00387D90"/>
    <w:rsid w:val="003905C5"/>
    <w:rsid w:val="003A4CF4"/>
    <w:rsid w:val="003B2D93"/>
    <w:rsid w:val="003B3D85"/>
    <w:rsid w:val="003B44CB"/>
    <w:rsid w:val="003B5408"/>
    <w:rsid w:val="003B5ED6"/>
    <w:rsid w:val="003B7152"/>
    <w:rsid w:val="003B77BC"/>
    <w:rsid w:val="003B77C9"/>
    <w:rsid w:val="003C0652"/>
    <w:rsid w:val="003C0F23"/>
    <w:rsid w:val="003C1AE1"/>
    <w:rsid w:val="003D13B9"/>
    <w:rsid w:val="003D14F5"/>
    <w:rsid w:val="003D3897"/>
    <w:rsid w:val="003E25B4"/>
    <w:rsid w:val="003E4490"/>
    <w:rsid w:val="003E70F8"/>
    <w:rsid w:val="003E7F29"/>
    <w:rsid w:val="003E7F83"/>
    <w:rsid w:val="003F5D0C"/>
    <w:rsid w:val="00400B94"/>
    <w:rsid w:val="004251D9"/>
    <w:rsid w:val="00432641"/>
    <w:rsid w:val="00432ACE"/>
    <w:rsid w:val="00434E13"/>
    <w:rsid w:val="00437C2C"/>
    <w:rsid w:val="00445E37"/>
    <w:rsid w:val="00454A40"/>
    <w:rsid w:val="00460506"/>
    <w:rsid w:val="00461EB5"/>
    <w:rsid w:val="00465A94"/>
    <w:rsid w:val="00470211"/>
    <w:rsid w:val="00470960"/>
    <w:rsid w:val="004916AF"/>
    <w:rsid w:val="00496724"/>
    <w:rsid w:val="004A387B"/>
    <w:rsid w:val="004B0304"/>
    <w:rsid w:val="004B5807"/>
    <w:rsid w:val="004B5892"/>
    <w:rsid w:val="004B6849"/>
    <w:rsid w:val="004B70A7"/>
    <w:rsid w:val="004C7520"/>
    <w:rsid w:val="004D46E7"/>
    <w:rsid w:val="004E1C49"/>
    <w:rsid w:val="004E29B3"/>
    <w:rsid w:val="004E3433"/>
    <w:rsid w:val="004E4042"/>
    <w:rsid w:val="00505AF1"/>
    <w:rsid w:val="00511D77"/>
    <w:rsid w:val="0052049C"/>
    <w:rsid w:val="00524B2A"/>
    <w:rsid w:val="00530B59"/>
    <w:rsid w:val="00534EC7"/>
    <w:rsid w:val="00540AC1"/>
    <w:rsid w:val="005448CC"/>
    <w:rsid w:val="005531C8"/>
    <w:rsid w:val="00561EBF"/>
    <w:rsid w:val="00566DDE"/>
    <w:rsid w:val="00574134"/>
    <w:rsid w:val="00577351"/>
    <w:rsid w:val="005808A8"/>
    <w:rsid w:val="00585069"/>
    <w:rsid w:val="005942E3"/>
    <w:rsid w:val="00596A37"/>
    <w:rsid w:val="00597C83"/>
    <w:rsid w:val="005A02EE"/>
    <w:rsid w:val="005B1068"/>
    <w:rsid w:val="005B479B"/>
    <w:rsid w:val="005C52FE"/>
    <w:rsid w:val="005C6220"/>
    <w:rsid w:val="005D66FA"/>
    <w:rsid w:val="005D6786"/>
    <w:rsid w:val="005D6CDF"/>
    <w:rsid w:val="005E55C5"/>
    <w:rsid w:val="005E6F21"/>
    <w:rsid w:val="005F1B0C"/>
    <w:rsid w:val="005F617E"/>
    <w:rsid w:val="005F7FC3"/>
    <w:rsid w:val="006006A4"/>
    <w:rsid w:val="00617D21"/>
    <w:rsid w:val="006321EC"/>
    <w:rsid w:val="006417D2"/>
    <w:rsid w:val="006426BF"/>
    <w:rsid w:val="00643E86"/>
    <w:rsid w:val="00651313"/>
    <w:rsid w:val="00653F83"/>
    <w:rsid w:val="00664080"/>
    <w:rsid w:val="0067015D"/>
    <w:rsid w:val="006721BE"/>
    <w:rsid w:val="00676022"/>
    <w:rsid w:val="00683159"/>
    <w:rsid w:val="006836CB"/>
    <w:rsid w:val="006868DC"/>
    <w:rsid w:val="0069109C"/>
    <w:rsid w:val="00695542"/>
    <w:rsid w:val="00696D8F"/>
    <w:rsid w:val="006A65B9"/>
    <w:rsid w:val="006B08A9"/>
    <w:rsid w:val="006C37D7"/>
    <w:rsid w:val="006C7949"/>
    <w:rsid w:val="006D0A1A"/>
    <w:rsid w:val="006D4E14"/>
    <w:rsid w:val="006D6B5E"/>
    <w:rsid w:val="006D78E7"/>
    <w:rsid w:val="006E13A3"/>
    <w:rsid w:val="006E501A"/>
    <w:rsid w:val="006E671F"/>
    <w:rsid w:val="006F2730"/>
    <w:rsid w:val="00700220"/>
    <w:rsid w:val="007044B4"/>
    <w:rsid w:val="00707C48"/>
    <w:rsid w:val="00712831"/>
    <w:rsid w:val="007332B2"/>
    <w:rsid w:val="00755FE9"/>
    <w:rsid w:val="00756879"/>
    <w:rsid w:val="00771695"/>
    <w:rsid w:val="00775263"/>
    <w:rsid w:val="007778B5"/>
    <w:rsid w:val="007801BD"/>
    <w:rsid w:val="00784842"/>
    <w:rsid w:val="00787B19"/>
    <w:rsid w:val="0079318D"/>
    <w:rsid w:val="00794581"/>
    <w:rsid w:val="0079480F"/>
    <w:rsid w:val="007A4996"/>
    <w:rsid w:val="007A5030"/>
    <w:rsid w:val="007A5F04"/>
    <w:rsid w:val="007A7521"/>
    <w:rsid w:val="007B359F"/>
    <w:rsid w:val="007D4655"/>
    <w:rsid w:val="007D7F39"/>
    <w:rsid w:val="007E60A9"/>
    <w:rsid w:val="007E789D"/>
    <w:rsid w:val="007F44C9"/>
    <w:rsid w:val="007F47A9"/>
    <w:rsid w:val="007F591A"/>
    <w:rsid w:val="007F6115"/>
    <w:rsid w:val="007F61C2"/>
    <w:rsid w:val="008010FD"/>
    <w:rsid w:val="00811636"/>
    <w:rsid w:val="00812ACA"/>
    <w:rsid w:val="00817D4B"/>
    <w:rsid w:val="008536D3"/>
    <w:rsid w:val="00853FBE"/>
    <w:rsid w:val="00855AF9"/>
    <w:rsid w:val="00865647"/>
    <w:rsid w:val="00865EDF"/>
    <w:rsid w:val="00872B14"/>
    <w:rsid w:val="00873FF5"/>
    <w:rsid w:val="00881FFE"/>
    <w:rsid w:val="008873F4"/>
    <w:rsid w:val="00890F02"/>
    <w:rsid w:val="00892A16"/>
    <w:rsid w:val="00896A9B"/>
    <w:rsid w:val="008A0BC8"/>
    <w:rsid w:val="008A27A4"/>
    <w:rsid w:val="008A6263"/>
    <w:rsid w:val="008A70AB"/>
    <w:rsid w:val="008A70C8"/>
    <w:rsid w:val="008B301A"/>
    <w:rsid w:val="008B325A"/>
    <w:rsid w:val="008B715B"/>
    <w:rsid w:val="008C1D17"/>
    <w:rsid w:val="008D10CC"/>
    <w:rsid w:val="008D6BAC"/>
    <w:rsid w:val="008E54B0"/>
    <w:rsid w:val="008F42E3"/>
    <w:rsid w:val="008F72D0"/>
    <w:rsid w:val="00902639"/>
    <w:rsid w:val="009059E4"/>
    <w:rsid w:val="009126F3"/>
    <w:rsid w:val="009270ED"/>
    <w:rsid w:val="00927AB0"/>
    <w:rsid w:val="00930DD4"/>
    <w:rsid w:val="009363DB"/>
    <w:rsid w:val="00952F36"/>
    <w:rsid w:val="00953AC4"/>
    <w:rsid w:val="00954333"/>
    <w:rsid w:val="009609C1"/>
    <w:rsid w:val="009618A9"/>
    <w:rsid w:val="00962090"/>
    <w:rsid w:val="00970762"/>
    <w:rsid w:val="00971314"/>
    <w:rsid w:val="00976D77"/>
    <w:rsid w:val="00984578"/>
    <w:rsid w:val="0098789C"/>
    <w:rsid w:val="00993EEF"/>
    <w:rsid w:val="00995149"/>
    <w:rsid w:val="0099658C"/>
    <w:rsid w:val="00996E63"/>
    <w:rsid w:val="009A2887"/>
    <w:rsid w:val="009A599A"/>
    <w:rsid w:val="009B0157"/>
    <w:rsid w:val="009B0FBD"/>
    <w:rsid w:val="009B3408"/>
    <w:rsid w:val="009B4EDC"/>
    <w:rsid w:val="009C165A"/>
    <w:rsid w:val="009C7043"/>
    <w:rsid w:val="009D57E7"/>
    <w:rsid w:val="009E0DD1"/>
    <w:rsid w:val="009E4B72"/>
    <w:rsid w:val="009F3F6B"/>
    <w:rsid w:val="009F559B"/>
    <w:rsid w:val="00A023BB"/>
    <w:rsid w:val="00A11FAA"/>
    <w:rsid w:val="00A12BC7"/>
    <w:rsid w:val="00A261FA"/>
    <w:rsid w:val="00A339AA"/>
    <w:rsid w:val="00A34D9D"/>
    <w:rsid w:val="00A4583E"/>
    <w:rsid w:val="00A534E1"/>
    <w:rsid w:val="00A540C0"/>
    <w:rsid w:val="00A564BC"/>
    <w:rsid w:val="00A6055E"/>
    <w:rsid w:val="00A61DD1"/>
    <w:rsid w:val="00A67644"/>
    <w:rsid w:val="00A83318"/>
    <w:rsid w:val="00A86BB1"/>
    <w:rsid w:val="00A96045"/>
    <w:rsid w:val="00AA034F"/>
    <w:rsid w:val="00AA290E"/>
    <w:rsid w:val="00AA70BD"/>
    <w:rsid w:val="00AC2181"/>
    <w:rsid w:val="00AC4D7F"/>
    <w:rsid w:val="00AC4DF3"/>
    <w:rsid w:val="00AC5E35"/>
    <w:rsid w:val="00AC76DB"/>
    <w:rsid w:val="00AE1CEF"/>
    <w:rsid w:val="00AE1FB0"/>
    <w:rsid w:val="00AF330B"/>
    <w:rsid w:val="00AF598D"/>
    <w:rsid w:val="00B06FAC"/>
    <w:rsid w:val="00B137DF"/>
    <w:rsid w:val="00B138B9"/>
    <w:rsid w:val="00B17780"/>
    <w:rsid w:val="00B25ED1"/>
    <w:rsid w:val="00B33B29"/>
    <w:rsid w:val="00B34DF9"/>
    <w:rsid w:val="00B3548B"/>
    <w:rsid w:val="00B35EC6"/>
    <w:rsid w:val="00B4433E"/>
    <w:rsid w:val="00B5261C"/>
    <w:rsid w:val="00B53450"/>
    <w:rsid w:val="00B557BB"/>
    <w:rsid w:val="00B60A1C"/>
    <w:rsid w:val="00B64658"/>
    <w:rsid w:val="00B66272"/>
    <w:rsid w:val="00B70582"/>
    <w:rsid w:val="00B74F7B"/>
    <w:rsid w:val="00B77D3C"/>
    <w:rsid w:val="00B85A14"/>
    <w:rsid w:val="00B9541B"/>
    <w:rsid w:val="00B978FD"/>
    <w:rsid w:val="00BA1B36"/>
    <w:rsid w:val="00BA4362"/>
    <w:rsid w:val="00BA4F19"/>
    <w:rsid w:val="00BC1156"/>
    <w:rsid w:val="00BC401B"/>
    <w:rsid w:val="00BD30A5"/>
    <w:rsid w:val="00BD356E"/>
    <w:rsid w:val="00BE68DC"/>
    <w:rsid w:val="00C024A0"/>
    <w:rsid w:val="00C06640"/>
    <w:rsid w:val="00C14D3F"/>
    <w:rsid w:val="00C1512F"/>
    <w:rsid w:val="00C16119"/>
    <w:rsid w:val="00C229F9"/>
    <w:rsid w:val="00C2305E"/>
    <w:rsid w:val="00C25911"/>
    <w:rsid w:val="00C35876"/>
    <w:rsid w:val="00C445F3"/>
    <w:rsid w:val="00C4531F"/>
    <w:rsid w:val="00C45654"/>
    <w:rsid w:val="00C53A32"/>
    <w:rsid w:val="00C57CA3"/>
    <w:rsid w:val="00C6151C"/>
    <w:rsid w:val="00C61F26"/>
    <w:rsid w:val="00C6790C"/>
    <w:rsid w:val="00C702E5"/>
    <w:rsid w:val="00C77820"/>
    <w:rsid w:val="00C823D9"/>
    <w:rsid w:val="00C8274A"/>
    <w:rsid w:val="00C8485A"/>
    <w:rsid w:val="00C85651"/>
    <w:rsid w:val="00CA207B"/>
    <w:rsid w:val="00CA2D32"/>
    <w:rsid w:val="00CA367C"/>
    <w:rsid w:val="00CB6B8F"/>
    <w:rsid w:val="00CC0F28"/>
    <w:rsid w:val="00CC36A6"/>
    <w:rsid w:val="00CC372F"/>
    <w:rsid w:val="00CD2413"/>
    <w:rsid w:val="00CD2831"/>
    <w:rsid w:val="00CD3127"/>
    <w:rsid w:val="00CD5496"/>
    <w:rsid w:val="00CE0D70"/>
    <w:rsid w:val="00CE4FC3"/>
    <w:rsid w:val="00CE6AB2"/>
    <w:rsid w:val="00CF2D0E"/>
    <w:rsid w:val="00CF47EC"/>
    <w:rsid w:val="00CF7DB7"/>
    <w:rsid w:val="00D04377"/>
    <w:rsid w:val="00D066B0"/>
    <w:rsid w:val="00D14747"/>
    <w:rsid w:val="00D16104"/>
    <w:rsid w:val="00D23AF1"/>
    <w:rsid w:val="00D25A15"/>
    <w:rsid w:val="00D26A9E"/>
    <w:rsid w:val="00D26B83"/>
    <w:rsid w:val="00D27086"/>
    <w:rsid w:val="00D404DE"/>
    <w:rsid w:val="00D41C39"/>
    <w:rsid w:val="00D41F14"/>
    <w:rsid w:val="00D45F9C"/>
    <w:rsid w:val="00D52E9B"/>
    <w:rsid w:val="00D5575F"/>
    <w:rsid w:val="00D56508"/>
    <w:rsid w:val="00D57B29"/>
    <w:rsid w:val="00D641D2"/>
    <w:rsid w:val="00D67A76"/>
    <w:rsid w:val="00D772EF"/>
    <w:rsid w:val="00D82F7C"/>
    <w:rsid w:val="00D831C7"/>
    <w:rsid w:val="00D8481C"/>
    <w:rsid w:val="00D93164"/>
    <w:rsid w:val="00D96EFC"/>
    <w:rsid w:val="00DA3ABD"/>
    <w:rsid w:val="00DB02BC"/>
    <w:rsid w:val="00DC1152"/>
    <w:rsid w:val="00DC5388"/>
    <w:rsid w:val="00DE0449"/>
    <w:rsid w:val="00DE057B"/>
    <w:rsid w:val="00DE4B6D"/>
    <w:rsid w:val="00DF1BCD"/>
    <w:rsid w:val="00DF50C4"/>
    <w:rsid w:val="00DF670F"/>
    <w:rsid w:val="00DF7F8C"/>
    <w:rsid w:val="00E04AE1"/>
    <w:rsid w:val="00E04BED"/>
    <w:rsid w:val="00E07029"/>
    <w:rsid w:val="00E16D61"/>
    <w:rsid w:val="00E304F3"/>
    <w:rsid w:val="00E3103B"/>
    <w:rsid w:val="00E35EB5"/>
    <w:rsid w:val="00E47705"/>
    <w:rsid w:val="00E509A0"/>
    <w:rsid w:val="00E57FE1"/>
    <w:rsid w:val="00E637E4"/>
    <w:rsid w:val="00E6501F"/>
    <w:rsid w:val="00E74BDE"/>
    <w:rsid w:val="00E74C0D"/>
    <w:rsid w:val="00E75E6B"/>
    <w:rsid w:val="00E75EBB"/>
    <w:rsid w:val="00E807B4"/>
    <w:rsid w:val="00E83715"/>
    <w:rsid w:val="00E911EF"/>
    <w:rsid w:val="00E92DB4"/>
    <w:rsid w:val="00EA0AE9"/>
    <w:rsid w:val="00EB30C2"/>
    <w:rsid w:val="00EB5178"/>
    <w:rsid w:val="00EB5DB8"/>
    <w:rsid w:val="00EB68FA"/>
    <w:rsid w:val="00EC1356"/>
    <w:rsid w:val="00EC32E8"/>
    <w:rsid w:val="00EC5515"/>
    <w:rsid w:val="00EC6560"/>
    <w:rsid w:val="00ED3444"/>
    <w:rsid w:val="00EE5E2D"/>
    <w:rsid w:val="00EF2AE6"/>
    <w:rsid w:val="00EF2D09"/>
    <w:rsid w:val="00F033C8"/>
    <w:rsid w:val="00F118E7"/>
    <w:rsid w:val="00F14DDF"/>
    <w:rsid w:val="00F208D8"/>
    <w:rsid w:val="00F2149E"/>
    <w:rsid w:val="00F25E4B"/>
    <w:rsid w:val="00F32CEC"/>
    <w:rsid w:val="00F50B12"/>
    <w:rsid w:val="00F5506E"/>
    <w:rsid w:val="00F61816"/>
    <w:rsid w:val="00F61F69"/>
    <w:rsid w:val="00F62303"/>
    <w:rsid w:val="00F72573"/>
    <w:rsid w:val="00F7425F"/>
    <w:rsid w:val="00F808BF"/>
    <w:rsid w:val="00F86691"/>
    <w:rsid w:val="00F95E2A"/>
    <w:rsid w:val="00F9661C"/>
    <w:rsid w:val="00FB10A5"/>
    <w:rsid w:val="00FB49C9"/>
    <w:rsid w:val="00FB4CB9"/>
    <w:rsid w:val="00FB548E"/>
    <w:rsid w:val="00FB5F12"/>
    <w:rsid w:val="00FB690D"/>
    <w:rsid w:val="00FD28B2"/>
    <w:rsid w:val="00FD7FB9"/>
    <w:rsid w:val="00FE0986"/>
    <w:rsid w:val="00FE0DB4"/>
    <w:rsid w:val="00FE4DBA"/>
    <w:rsid w:val="00FF2736"/>
    <w:rsid w:val="00FF386D"/>
    <w:rsid w:val="01A55ECB"/>
    <w:rsid w:val="01C12367"/>
    <w:rsid w:val="03335B42"/>
    <w:rsid w:val="03904B9E"/>
    <w:rsid w:val="04531F98"/>
    <w:rsid w:val="045FC492"/>
    <w:rsid w:val="05BEC7F8"/>
    <w:rsid w:val="05EA274B"/>
    <w:rsid w:val="0692DED6"/>
    <w:rsid w:val="06955FCB"/>
    <w:rsid w:val="074C2EDA"/>
    <w:rsid w:val="081D4A95"/>
    <w:rsid w:val="08DCF428"/>
    <w:rsid w:val="08FD8BF7"/>
    <w:rsid w:val="092A9A8C"/>
    <w:rsid w:val="0B492114"/>
    <w:rsid w:val="0E43BE2A"/>
    <w:rsid w:val="0F6F099D"/>
    <w:rsid w:val="0FB69EE4"/>
    <w:rsid w:val="1046CD13"/>
    <w:rsid w:val="1275DF7A"/>
    <w:rsid w:val="1494AE21"/>
    <w:rsid w:val="15618AF8"/>
    <w:rsid w:val="1607B252"/>
    <w:rsid w:val="1667F29E"/>
    <w:rsid w:val="169F20EE"/>
    <w:rsid w:val="16AB7570"/>
    <w:rsid w:val="18AAAAF7"/>
    <w:rsid w:val="1931AE8E"/>
    <w:rsid w:val="1959B3E2"/>
    <w:rsid w:val="19B493A4"/>
    <w:rsid w:val="19BE5036"/>
    <w:rsid w:val="1ACD7EEF"/>
    <w:rsid w:val="1C71F99F"/>
    <w:rsid w:val="1E14083B"/>
    <w:rsid w:val="1E27FA06"/>
    <w:rsid w:val="1E793074"/>
    <w:rsid w:val="1F83BB8E"/>
    <w:rsid w:val="1F8404CB"/>
    <w:rsid w:val="202D91BA"/>
    <w:rsid w:val="208D1AA4"/>
    <w:rsid w:val="22331EC5"/>
    <w:rsid w:val="22776E52"/>
    <w:rsid w:val="22BA689A"/>
    <w:rsid w:val="2378A238"/>
    <w:rsid w:val="241A86F4"/>
    <w:rsid w:val="2467E028"/>
    <w:rsid w:val="247E056B"/>
    <w:rsid w:val="2509B959"/>
    <w:rsid w:val="259022E4"/>
    <w:rsid w:val="26B0A95E"/>
    <w:rsid w:val="27616DA0"/>
    <w:rsid w:val="276B958C"/>
    <w:rsid w:val="27891594"/>
    <w:rsid w:val="28110543"/>
    <w:rsid w:val="28BC46BC"/>
    <w:rsid w:val="28FBE118"/>
    <w:rsid w:val="299A774E"/>
    <w:rsid w:val="2A31180F"/>
    <w:rsid w:val="2B5FA102"/>
    <w:rsid w:val="2B991B45"/>
    <w:rsid w:val="2D1AF675"/>
    <w:rsid w:val="2E8BD0AB"/>
    <w:rsid w:val="32098BB9"/>
    <w:rsid w:val="328F348C"/>
    <w:rsid w:val="32F1CD9A"/>
    <w:rsid w:val="33378E6E"/>
    <w:rsid w:val="33889D50"/>
    <w:rsid w:val="33BED1F8"/>
    <w:rsid w:val="34D49CEC"/>
    <w:rsid w:val="35246DB1"/>
    <w:rsid w:val="35A80337"/>
    <w:rsid w:val="3680FC19"/>
    <w:rsid w:val="36E61BA8"/>
    <w:rsid w:val="37354499"/>
    <w:rsid w:val="3746DD84"/>
    <w:rsid w:val="378CF7D0"/>
    <w:rsid w:val="37BF84F8"/>
    <w:rsid w:val="3821CEA3"/>
    <w:rsid w:val="382C813B"/>
    <w:rsid w:val="391B2015"/>
    <w:rsid w:val="39D2E600"/>
    <w:rsid w:val="3B4FDB71"/>
    <w:rsid w:val="3CBE0B77"/>
    <w:rsid w:val="3E8D02E9"/>
    <w:rsid w:val="41AAB47F"/>
    <w:rsid w:val="42288597"/>
    <w:rsid w:val="4337EE4B"/>
    <w:rsid w:val="4367B154"/>
    <w:rsid w:val="43AF272A"/>
    <w:rsid w:val="43C40738"/>
    <w:rsid w:val="45304A61"/>
    <w:rsid w:val="455B7392"/>
    <w:rsid w:val="45CB09B0"/>
    <w:rsid w:val="46276163"/>
    <w:rsid w:val="46F2B167"/>
    <w:rsid w:val="4730B2EA"/>
    <w:rsid w:val="47612BAD"/>
    <w:rsid w:val="4896DE8D"/>
    <w:rsid w:val="48B92CD2"/>
    <w:rsid w:val="49B7E762"/>
    <w:rsid w:val="4A7676ED"/>
    <w:rsid w:val="4AB6B56D"/>
    <w:rsid w:val="4ABF41B2"/>
    <w:rsid w:val="4AFF90C4"/>
    <w:rsid w:val="4B2542F1"/>
    <w:rsid w:val="4B43E04F"/>
    <w:rsid w:val="4C36E00D"/>
    <w:rsid w:val="4C8BF260"/>
    <w:rsid w:val="4D2954D0"/>
    <w:rsid w:val="4D51C121"/>
    <w:rsid w:val="4D7E8571"/>
    <w:rsid w:val="4E3CFCC0"/>
    <w:rsid w:val="4E43BB56"/>
    <w:rsid w:val="4EECCAE2"/>
    <w:rsid w:val="4F25051F"/>
    <w:rsid w:val="50024BAB"/>
    <w:rsid w:val="501474BA"/>
    <w:rsid w:val="5106CBB9"/>
    <w:rsid w:val="51E9EF43"/>
    <w:rsid w:val="52A85E1E"/>
    <w:rsid w:val="52BC9C53"/>
    <w:rsid w:val="547AFBB7"/>
    <w:rsid w:val="54AA1686"/>
    <w:rsid w:val="55B8665D"/>
    <w:rsid w:val="55E367E0"/>
    <w:rsid w:val="568F0DA6"/>
    <w:rsid w:val="56FEC82F"/>
    <w:rsid w:val="58C615ED"/>
    <w:rsid w:val="59FE67CE"/>
    <w:rsid w:val="5A21CDE7"/>
    <w:rsid w:val="5A415C7E"/>
    <w:rsid w:val="5AA35AB9"/>
    <w:rsid w:val="5B898613"/>
    <w:rsid w:val="5B9A8F14"/>
    <w:rsid w:val="5D810AD5"/>
    <w:rsid w:val="5DC53376"/>
    <w:rsid w:val="5E52B14B"/>
    <w:rsid w:val="5EC14BBD"/>
    <w:rsid w:val="5F986027"/>
    <w:rsid w:val="5FD91410"/>
    <w:rsid w:val="610DEBF3"/>
    <w:rsid w:val="6133397B"/>
    <w:rsid w:val="619D5E31"/>
    <w:rsid w:val="61D96E7F"/>
    <w:rsid w:val="61F8CC53"/>
    <w:rsid w:val="62E44C18"/>
    <w:rsid w:val="62FC6957"/>
    <w:rsid w:val="634353C8"/>
    <w:rsid w:val="64E3C572"/>
    <w:rsid w:val="65673DB6"/>
    <w:rsid w:val="65BCE397"/>
    <w:rsid w:val="676D462D"/>
    <w:rsid w:val="67E91B8C"/>
    <w:rsid w:val="69C0DB84"/>
    <w:rsid w:val="6B3B1BEB"/>
    <w:rsid w:val="6BCE903F"/>
    <w:rsid w:val="6CB54DA5"/>
    <w:rsid w:val="6CB6A388"/>
    <w:rsid w:val="6D53AEBE"/>
    <w:rsid w:val="6DC55A33"/>
    <w:rsid w:val="6DD3469E"/>
    <w:rsid w:val="6DF0CC2B"/>
    <w:rsid w:val="6E8A2766"/>
    <w:rsid w:val="6F09117C"/>
    <w:rsid w:val="6FD71B14"/>
    <w:rsid w:val="703A998B"/>
    <w:rsid w:val="713BD8AF"/>
    <w:rsid w:val="71C3BF0F"/>
    <w:rsid w:val="7223FE33"/>
    <w:rsid w:val="72FD4396"/>
    <w:rsid w:val="73323936"/>
    <w:rsid w:val="74B21217"/>
    <w:rsid w:val="74CE0997"/>
    <w:rsid w:val="761BD226"/>
    <w:rsid w:val="76803FCE"/>
    <w:rsid w:val="7728BD76"/>
    <w:rsid w:val="78861F27"/>
    <w:rsid w:val="78DDA7E2"/>
    <w:rsid w:val="78E1256D"/>
    <w:rsid w:val="79209B57"/>
    <w:rsid w:val="79FD28FA"/>
    <w:rsid w:val="7A21EF88"/>
    <w:rsid w:val="7A3CCC6E"/>
    <w:rsid w:val="7A870C16"/>
    <w:rsid w:val="7AB2FAEC"/>
    <w:rsid w:val="7AC6658E"/>
    <w:rsid w:val="7BAB56BF"/>
    <w:rsid w:val="7C418A2F"/>
    <w:rsid w:val="7C4E4292"/>
    <w:rsid w:val="7D9FCFCC"/>
    <w:rsid w:val="7E034BBE"/>
    <w:rsid w:val="7E46C2BC"/>
    <w:rsid w:val="7E76B49B"/>
    <w:rsid w:val="7ED5A7CD"/>
    <w:rsid w:val="7F27DDB6"/>
    <w:rsid w:val="7F8C2E86"/>
    <w:rsid w:val="7FA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902D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uiPriority w:val="34"/>
    <w:qFormat/>
    <w:rsid w:val="00132BD6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rsid w:val="00CB6B8F"/>
  </w:style>
  <w:style w:type="table" w:styleId="Tabela-Siatka">
    <w:name w:val="Table Grid"/>
    <w:basedOn w:val="Standardowy"/>
    <w:uiPriority w:val="39"/>
    <w:rsid w:val="001F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5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06E"/>
    <w:rPr>
      <w:b/>
      <w:bCs/>
      <w:sz w:val="20"/>
      <w:szCs w:val="20"/>
    </w:rPr>
  </w:style>
  <w:style w:type="numbering" w:customStyle="1" w:styleId="WW8Num281">
    <w:name w:val="WW8Num281"/>
    <w:basedOn w:val="Bezlisty"/>
    <w:rsid w:val="001F1ABD"/>
    <w:pPr>
      <w:numPr>
        <w:numId w:val="13"/>
      </w:numPr>
    </w:pPr>
  </w:style>
  <w:style w:type="paragraph" w:styleId="Poprawka">
    <w:name w:val="Revision"/>
    <w:hidden/>
    <w:uiPriority w:val="99"/>
    <w:semiHidden/>
    <w:rsid w:val="0027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47BEC4C3E674B97DA297AD244117C" ma:contentTypeVersion="5" ma:contentTypeDescription="Utwórz nowy dokument." ma:contentTypeScope="" ma:versionID="aec1e9dba84b448b1c2b985b7a0fea4f">
  <xsd:schema xmlns:xsd="http://www.w3.org/2001/XMLSchema" xmlns:xs="http://www.w3.org/2001/XMLSchema" xmlns:p="http://schemas.microsoft.com/office/2006/metadata/properties" xmlns:ns3="865a0b26-e058-4dc1-981d-9da467e5867e" xmlns:ns4="b22b52a5-5312-4f39-8383-9812be6c5d8f" targetNamespace="http://schemas.microsoft.com/office/2006/metadata/properties" ma:root="true" ma:fieldsID="5c1139cdf42a5a8a44a097512eeec3ae" ns3:_="" ns4:_="">
    <xsd:import namespace="865a0b26-e058-4dc1-981d-9da467e5867e"/>
    <xsd:import namespace="b22b52a5-5312-4f39-8383-9812be6c5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b26-e058-4dc1-981d-9da467e5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2a5-5312-4f39-8383-9812be6c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BA61-D588-4852-B934-007AF3A6F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627DA-4BAA-4950-BE67-926886BB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0b26-e058-4dc1-981d-9da467e5867e"/>
    <ds:schemaRef ds:uri="b22b52a5-5312-4f39-8383-9812be6c5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D57CA-BECB-470F-971E-017C019B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91AF6-B5BC-47B2-AD22-06D3072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76</cp:revision>
  <cp:lastPrinted>2021-01-12T10:11:00Z</cp:lastPrinted>
  <dcterms:created xsi:type="dcterms:W3CDTF">2021-01-07T11:58:00Z</dcterms:created>
  <dcterms:modified xsi:type="dcterms:W3CDTF">2021-01-12T12:19:00Z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0x010100F3E47BEC4C3E674B97DA297AD244117C</vt:lpwstr>
  </property>
</Properties>
</file>