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05C" w14:textId="20B10BC4" w:rsidR="004E54AD" w:rsidRPr="004E54AD" w:rsidRDefault="004E54AD" w:rsidP="004E54AD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4E54AD">
        <w:rPr>
          <w:rFonts w:eastAsia="Calibri" w:cstheme="minorHAnsi"/>
          <w:sz w:val="20"/>
          <w:szCs w:val="20"/>
        </w:rPr>
        <w:t>21/ZP/OCE/2023</w:t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</w:r>
      <w:r w:rsidRPr="004E54AD">
        <w:rPr>
          <w:rFonts w:eastAsia="Calibri" w:cstheme="minorHAnsi"/>
          <w:sz w:val="20"/>
          <w:szCs w:val="20"/>
        </w:rPr>
        <w:tab/>
        <w:t xml:space="preserve">Opole, </w:t>
      </w:r>
      <w:r w:rsidRPr="004E54AD">
        <w:rPr>
          <w:rFonts w:eastAsia="Calibri" w:cstheme="minorHAnsi"/>
          <w:sz w:val="20"/>
          <w:szCs w:val="20"/>
        </w:rPr>
        <w:t>01</w:t>
      </w:r>
      <w:r w:rsidRPr="004E54AD">
        <w:rPr>
          <w:rFonts w:eastAsia="Calibri" w:cstheme="minorHAnsi"/>
          <w:sz w:val="20"/>
          <w:szCs w:val="20"/>
        </w:rPr>
        <w:t>.1</w:t>
      </w:r>
      <w:r w:rsidRPr="004E54AD">
        <w:rPr>
          <w:rFonts w:eastAsia="Calibri" w:cstheme="minorHAnsi"/>
          <w:sz w:val="20"/>
          <w:szCs w:val="20"/>
        </w:rPr>
        <w:t>2</w:t>
      </w:r>
      <w:r w:rsidRPr="004E54AD">
        <w:rPr>
          <w:rFonts w:eastAsia="Calibri" w:cstheme="minorHAnsi"/>
          <w:sz w:val="20"/>
          <w:szCs w:val="20"/>
        </w:rPr>
        <w:t>.2023r.</w:t>
      </w:r>
    </w:p>
    <w:p w14:paraId="5F806014" w14:textId="77777777" w:rsidR="004E54AD" w:rsidRPr="004E54AD" w:rsidRDefault="004E54AD" w:rsidP="004E54AD">
      <w:pPr>
        <w:spacing w:after="120" w:line="240" w:lineRule="auto"/>
        <w:ind w:firstLine="709"/>
        <w:jc w:val="both"/>
        <w:rPr>
          <w:rFonts w:eastAsia="Calibri" w:cstheme="minorHAnsi"/>
          <w:sz w:val="20"/>
          <w:szCs w:val="20"/>
        </w:rPr>
      </w:pPr>
    </w:p>
    <w:p w14:paraId="5AF2C41E" w14:textId="77777777" w:rsidR="004E54AD" w:rsidRPr="004E54AD" w:rsidRDefault="004E54AD" w:rsidP="004E54A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  <w:r w:rsidRPr="004E54AD">
        <w:rPr>
          <w:rFonts w:asciiTheme="minorHAnsi" w:hAnsiTheme="minorHAnsi" w:cstheme="minorHAnsi"/>
          <w:sz w:val="20"/>
          <w:szCs w:val="20"/>
        </w:rPr>
        <w:t>Dotyczy postępowania na:</w:t>
      </w:r>
    </w:p>
    <w:p w14:paraId="2E5A9F79" w14:textId="77777777" w:rsidR="004E54AD" w:rsidRPr="004E54AD" w:rsidRDefault="004E54AD" w:rsidP="004E54AD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bookmarkStart w:id="0" w:name="_Hlk68590019"/>
      <w:r w:rsidRPr="004E54AD">
        <w:rPr>
          <w:rFonts w:cstheme="minorHAnsi"/>
          <w:b/>
          <w:bCs/>
          <w:sz w:val="20"/>
          <w:szCs w:val="20"/>
        </w:rPr>
        <w:t>malowanie pomieszczeń w Opolskim Centrum Edukacji</w:t>
      </w:r>
      <w:r w:rsidRPr="004E54AD">
        <w:rPr>
          <w:rFonts w:eastAsia="Calibri" w:cstheme="minorHAnsi"/>
          <w:b/>
          <w:bCs/>
          <w:sz w:val="20"/>
          <w:szCs w:val="20"/>
        </w:rPr>
        <w:t xml:space="preserve">. </w:t>
      </w:r>
    </w:p>
    <w:bookmarkEnd w:id="0"/>
    <w:p w14:paraId="65A4A000" w14:textId="77777777" w:rsidR="004E54AD" w:rsidRPr="004E54AD" w:rsidRDefault="004E54AD" w:rsidP="004E54AD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779AFEEE" w14:textId="2ED112B8" w:rsidR="004E54AD" w:rsidRPr="004E54AD" w:rsidRDefault="004E54AD" w:rsidP="004E54AD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4E54AD">
        <w:rPr>
          <w:rFonts w:eastAsia="Calibri" w:cstheme="minorHAnsi"/>
          <w:sz w:val="20"/>
          <w:szCs w:val="20"/>
        </w:rPr>
        <w:t xml:space="preserve">Działając na podstawie art. 284 ust. 2 oraz ust.6 ustawy z dnia 11 września 2019 r. Prawo zamówień publicznych (Dz. U. z 2023r., poz. 1605), Zamawiający, tj. Opolskie Centrum Edukacji przekazuje treść zapytań, jakie wpłynęły w dniu </w:t>
      </w:r>
      <w:r>
        <w:rPr>
          <w:rFonts w:eastAsia="Calibri" w:cstheme="minorHAnsi"/>
          <w:sz w:val="20"/>
          <w:szCs w:val="20"/>
        </w:rPr>
        <w:t>29</w:t>
      </w:r>
      <w:r w:rsidRPr="004E54AD">
        <w:rPr>
          <w:rFonts w:eastAsia="Calibri" w:cstheme="minorHAnsi"/>
          <w:sz w:val="20"/>
          <w:szCs w:val="20"/>
        </w:rPr>
        <w:t>.11.2023 r. od Wykonawcy.</w:t>
      </w:r>
    </w:p>
    <w:p w14:paraId="1032F5FD" w14:textId="77777777" w:rsidR="004E54AD" w:rsidRPr="004E54AD" w:rsidRDefault="004E54AD" w:rsidP="004E54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E139267" w14:textId="11473658" w:rsidR="004E54AD" w:rsidRPr="004E54AD" w:rsidRDefault="004E54AD" w:rsidP="004E54AD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u w:val="single"/>
          <w:lang w:eastAsia="pl-PL"/>
        </w:rPr>
      </w:pPr>
      <w:r w:rsidRPr="004E54AD">
        <w:rPr>
          <w:rFonts w:eastAsia="Calibri" w:cstheme="minorHAnsi"/>
          <w:b/>
          <w:bCs/>
          <w:sz w:val="20"/>
          <w:szCs w:val="20"/>
          <w:u w:val="single"/>
          <w:lang w:eastAsia="pl-PL"/>
        </w:rPr>
        <w:t>Pytanie 1</w:t>
      </w:r>
      <w:r w:rsidRPr="004E54AD">
        <w:rPr>
          <w:rFonts w:eastAsia="Calibri" w:cstheme="minorHAnsi"/>
          <w:b/>
          <w:bCs/>
          <w:sz w:val="20"/>
          <w:szCs w:val="20"/>
          <w:u w:val="single"/>
          <w:lang w:eastAsia="pl-PL"/>
        </w:rPr>
        <w:t>:</w:t>
      </w:r>
    </w:p>
    <w:p w14:paraId="0FF2A02B" w14:textId="77777777" w:rsidR="004E54AD" w:rsidRPr="004E54AD" w:rsidRDefault="004E54AD" w:rsidP="004E54AD">
      <w:pPr>
        <w:spacing w:after="0" w:line="240" w:lineRule="auto"/>
        <w:rPr>
          <w:rFonts w:eastAsia="Calibri" w:cstheme="minorHAnsi"/>
          <w:sz w:val="20"/>
          <w:szCs w:val="20"/>
          <w:u w:val="single"/>
          <w:lang w:eastAsia="pl-PL"/>
        </w:rPr>
      </w:pPr>
      <w:r w:rsidRPr="004E54AD">
        <w:rPr>
          <w:rFonts w:cstheme="minorHAnsi"/>
          <w:sz w:val="20"/>
          <w:szCs w:val="20"/>
          <w:shd w:val="clear" w:color="auto" w:fill="FFFFFF"/>
        </w:rPr>
        <w:t>Pytanie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Proszę udostępnić przedmiar robót zgodny z KNR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 xml:space="preserve">Państwa wyliczenie jest nie spójne z kosztorysowym </w:t>
      </w:r>
      <w:proofErr w:type="spellStart"/>
      <w:r w:rsidRPr="004E54AD">
        <w:rPr>
          <w:rFonts w:cstheme="minorHAnsi"/>
          <w:sz w:val="20"/>
          <w:szCs w:val="20"/>
          <w:shd w:val="clear" w:color="auto" w:fill="FFFFFF"/>
        </w:rPr>
        <w:t>np.z</w:t>
      </w:r>
      <w:proofErr w:type="spellEnd"/>
      <w:r w:rsidRPr="004E54AD">
        <w:rPr>
          <w:rFonts w:cstheme="minorHAnsi"/>
          <w:sz w:val="20"/>
          <w:szCs w:val="20"/>
          <w:shd w:val="clear" w:color="auto" w:fill="FFFFFF"/>
        </w:rPr>
        <w:t xml:space="preserve"> Normą PRO odnośnie materiałów które trzeba użyć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3. Szczegółowy opis przedmiotu zamówienia: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a/ robocizna: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-zabezpieczenie podłóg filcem ochronnym 620 m2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przenoszenie mebli i ich zabezpieczenie – 30 roboczogodzin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likwidacja spękań i ubytków – 2528 m2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dwukrotne malowanie sufitów i ścian – 2528 m2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-dwukrotne lakierowanie ścian w korytarzach i na klatce schodowej - 994 m2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b/ materiały: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filc ochronny z folią 10 metrów – 20 szt.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taśmy PCV 50 metrów – 35 szt.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taśmy papierowe 50 metrów – 150 szt.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folie malarskie 4 x 5 metrów – 50 szt.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akryl w tubie szybkoschnący – 32 szt.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gładź szpachlowa worek 25 kg- 3 szt.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grunt głęboko penetrujący – 50 litrów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farba lateksowa plamoodporna – 680 litrów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- lakier zabezpieczający ściany – 100 litrów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eastAsia="Calibri" w:cstheme="minorHAnsi"/>
          <w:b/>
          <w:bCs/>
          <w:sz w:val="20"/>
          <w:szCs w:val="20"/>
          <w:u w:val="single"/>
          <w:lang w:eastAsia="pl-PL"/>
        </w:rPr>
        <w:t>Odpowiedź 1:</w:t>
      </w:r>
      <w:r w:rsidRPr="004E54AD">
        <w:rPr>
          <w:rFonts w:eastAsia="Calibri" w:cstheme="minorHAnsi"/>
          <w:sz w:val="20"/>
          <w:szCs w:val="20"/>
          <w:u w:val="single"/>
          <w:lang w:eastAsia="pl-PL"/>
        </w:rPr>
        <w:t xml:space="preserve"> </w:t>
      </w:r>
    </w:p>
    <w:p w14:paraId="192EE680" w14:textId="0172BD0A" w:rsidR="004E54AD" w:rsidRPr="004E54AD" w:rsidRDefault="004E54AD" w:rsidP="004E54A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 w:rsidRPr="004E54AD">
        <w:rPr>
          <w:rFonts w:eastAsia="Calibri" w:cstheme="minorHAnsi"/>
          <w:sz w:val="20"/>
          <w:szCs w:val="20"/>
          <w:lang w:eastAsia="pl-PL"/>
        </w:rPr>
        <w:t>Przedmiar robót jest opisany w SWZ. Zostały wprowadzone do niego zmiany. Zmiana SWZ stanowi załącznik do niniejszych pytań i odpowiedzi.</w:t>
      </w:r>
    </w:p>
    <w:p w14:paraId="776413E8" w14:textId="69F75C66" w:rsidR="004E54AD" w:rsidRPr="004E54AD" w:rsidRDefault="004E54AD" w:rsidP="004E54AD">
      <w:pPr>
        <w:spacing w:after="0" w:line="240" w:lineRule="auto"/>
        <w:rPr>
          <w:rFonts w:cstheme="minorHAnsi"/>
          <w:sz w:val="20"/>
          <w:szCs w:val="20"/>
        </w:rPr>
      </w:pPr>
    </w:p>
    <w:p w14:paraId="0B03F05A" w14:textId="77777777" w:rsidR="004E54AD" w:rsidRDefault="004E54AD" w:rsidP="004E54AD">
      <w:pPr>
        <w:spacing w:after="0" w:line="240" w:lineRule="auto"/>
        <w:rPr>
          <w:rFonts w:cstheme="minorHAnsi"/>
          <w:sz w:val="20"/>
          <w:szCs w:val="20"/>
        </w:rPr>
      </w:pPr>
      <w:r w:rsidRPr="004E54AD">
        <w:rPr>
          <w:rFonts w:cstheme="minorHAnsi"/>
          <w:b/>
          <w:bCs/>
          <w:sz w:val="20"/>
          <w:szCs w:val="20"/>
          <w:u w:val="single"/>
        </w:rPr>
        <w:t>Pytanie 2:</w:t>
      </w:r>
      <w:r w:rsidRPr="004E54AD">
        <w:rPr>
          <w:rFonts w:cstheme="minorHAnsi"/>
          <w:b/>
          <w:bCs/>
          <w:sz w:val="20"/>
          <w:szCs w:val="20"/>
          <w:u w:val="single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 xml:space="preserve">2. Czy jest możliwość pracy 24 h na obiekcie ? Ponieważ termin 14 dni od 8:00 do 16:00 na wykonanie zadania jest nie realny również wiąże się to z przerwami technologicznymi dla materiałów </w:t>
      </w:r>
      <w:proofErr w:type="spellStart"/>
      <w:r w:rsidRPr="004E54AD">
        <w:rPr>
          <w:rFonts w:cstheme="minorHAnsi"/>
          <w:sz w:val="20"/>
          <w:szCs w:val="20"/>
          <w:shd w:val="clear" w:color="auto" w:fill="FFFFFF"/>
        </w:rPr>
        <w:t>np</w:t>
      </w:r>
      <w:proofErr w:type="spellEnd"/>
      <w:r w:rsidRPr="004E54AD">
        <w:rPr>
          <w:rFonts w:cstheme="minorHAnsi"/>
          <w:sz w:val="20"/>
          <w:szCs w:val="20"/>
          <w:shd w:val="clear" w:color="auto" w:fill="FFFFFF"/>
        </w:rPr>
        <w:t>: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1.Schniecie gruntu pod ubytki i spękania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2.Schnięcie gładzi / tynku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3.Schnięcie ponownie gruntu pod farby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4.Schnięcie 1 warstwy farby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5.Schnięcie 2 Warstwy farby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Przykład schnięcia farby i pogody :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Czas schnięcia: w temperaturze +23°C, przy wilgotności względnej powietrza 50%, farba schnie ok. 2 godziny. Między nakładaniem kolejnych warstw należy zachować co najmniej 4-godzinny odstęp czasu. Niska temperatura, podwyższona wilgotność oraz słaba wentylacja wydłużają czas schnięcia.</w:t>
      </w:r>
      <w:r w:rsidRPr="004E54AD">
        <w:rPr>
          <w:rFonts w:cstheme="minorHAnsi"/>
          <w:sz w:val="20"/>
          <w:szCs w:val="20"/>
        </w:rPr>
        <w:br/>
      </w:r>
      <w:r w:rsidRPr="004E54AD">
        <w:rPr>
          <w:rFonts w:cstheme="minorHAnsi"/>
          <w:sz w:val="20"/>
          <w:szCs w:val="20"/>
          <w:shd w:val="clear" w:color="auto" w:fill="FFFFFF"/>
        </w:rPr>
        <w:t>Realny termin wykonania tego zadania wynosi 21-30 dni kalendarzowych.</w:t>
      </w:r>
      <w:r w:rsidRPr="004E54AD">
        <w:rPr>
          <w:rFonts w:cstheme="minorHAnsi"/>
          <w:sz w:val="20"/>
          <w:szCs w:val="20"/>
        </w:rPr>
        <w:br/>
      </w:r>
    </w:p>
    <w:p w14:paraId="49ADA7DC" w14:textId="7BD73B1E" w:rsidR="004E54AD" w:rsidRPr="004E54AD" w:rsidRDefault="004E54AD" w:rsidP="004E54A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E54AD">
        <w:rPr>
          <w:rFonts w:cstheme="minorHAnsi"/>
          <w:b/>
          <w:bCs/>
          <w:sz w:val="20"/>
          <w:szCs w:val="20"/>
          <w:u w:val="single"/>
        </w:rPr>
        <w:t>Odpowiedź 2:</w:t>
      </w:r>
    </w:p>
    <w:p w14:paraId="06C7C990" w14:textId="14823063" w:rsidR="004E54AD" w:rsidRPr="004E54AD" w:rsidRDefault="004E54AD" w:rsidP="004E54AD">
      <w:pPr>
        <w:spacing w:after="0" w:line="240" w:lineRule="auto"/>
        <w:rPr>
          <w:rFonts w:cstheme="minorHAnsi"/>
          <w:sz w:val="20"/>
          <w:szCs w:val="20"/>
        </w:rPr>
      </w:pPr>
      <w:r w:rsidRPr="004E54AD">
        <w:rPr>
          <w:rFonts w:cstheme="minorHAnsi"/>
          <w:sz w:val="20"/>
          <w:szCs w:val="20"/>
        </w:rPr>
        <w:t>Zamawiający nie zmienia terminu wykonania prac malarskich ani godzi</w:t>
      </w:r>
      <w:r>
        <w:rPr>
          <w:rFonts w:cstheme="minorHAnsi"/>
          <w:sz w:val="20"/>
          <w:szCs w:val="20"/>
        </w:rPr>
        <w:t>n</w:t>
      </w:r>
      <w:r w:rsidRPr="004E54AD">
        <w:rPr>
          <w:rFonts w:cstheme="minorHAnsi"/>
          <w:sz w:val="20"/>
          <w:szCs w:val="20"/>
        </w:rPr>
        <w:t xml:space="preserve"> ich wykonywania. Zgodnie z SWZ prace należy wykonać w terminie do 14 dni od dnia podpisania umowy</w:t>
      </w:r>
      <w:r>
        <w:rPr>
          <w:rFonts w:cstheme="minorHAnsi"/>
          <w:sz w:val="20"/>
          <w:szCs w:val="20"/>
        </w:rPr>
        <w:t xml:space="preserve"> w godzinach 8:00-16:00 od poniedziałku do piątku.</w:t>
      </w:r>
    </w:p>
    <w:p w14:paraId="6F35CDF9" w14:textId="77777777" w:rsidR="004E54AD" w:rsidRPr="004E54AD" w:rsidRDefault="004E54AD" w:rsidP="004E54AD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B665328" w14:textId="260D81B5" w:rsidR="004E54AD" w:rsidRPr="004E54AD" w:rsidRDefault="004E54AD" w:rsidP="004E54AD">
      <w:pPr>
        <w:spacing w:after="0" w:line="240" w:lineRule="auto"/>
        <w:ind w:left="360"/>
        <w:rPr>
          <w:rFonts w:cstheme="minorHAnsi"/>
          <w:b/>
          <w:bCs/>
          <w:sz w:val="20"/>
          <w:szCs w:val="20"/>
          <w:u w:val="single"/>
        </w:rPr>
      </w:pPr>
      <w:r w:rsidRPr="004E54AD">
        <w:rPr>
          <w:rFonts w:cstheme="minorHAnsi"/>
          <w:b/>
          <w:bCs/>
          <w:sz w:val="20"/>
          <w:szCs w:val="20"/>
          <w:u w:val="single"/>
        </w:rPr>
        <w:lastRenderedPageBreak/>
        <w:t>Pytanie 3:</w:t>
      </w:r>
    </w:p>
    <w:p w14:paraId="0E05D11A" w14:textId="6186F22C" w:rsidR="004E54AD" w:rsidRPr="004E54AD" w:rsidRDefault="004E54AD" w:rsidP="004E54AD">
      <w:pPr>
        <w:spacing w:after="0" w:line="240" w:lineRule="auto"/>
        <w:ind w:left="360"/>
        <w:rPr>
          <w:rFonts w:cstheme="minorHAnsi"/>
          <w:sz w:val="20"/>
          <w:szCs w:val="20"/>
          <w:shd w:val="clear" w:color="auto" w:fill="FFFFFF"/>
        </w:rPr>
      </w:pPr>
      <w:r w:rsidRPr="004E54AD">
        <w:rPr>
          <w:rFonts w:cstheme="minorHAnsi"/>
          <w:sz w:val="20"/>
          <w:szCs w:val="20"/>
          <w:shd w:val="clear" w:color="auto" w:fill="FFFFFF"/>
        </w:rPr>
        <w:t>3.Proszę o odpowiedz czy termin 14 dni to termin kalendarzowy czy roboczy.</w:t>
      </w:r>
    </w:p>
    <w:p w14:paraId="4D04FB72" w14:textId="06C31ED5" w:rsidR="004E54AD" w:rsidRPr="004E54AD" w:rsidRDefault="004E54AD" w:rsidP="004E54AD">
      <w:pPr>
        <w:spacing w:after="0" w:line="240" w:lineRule="auto"/>
        <w:ind w:left="360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4E54AD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 3:</w:t>
      </w:r>
    </w:p>
    <w:p w14:paraId="58B6B127" w14:textId="11056245" w:rsidR="004E54AD" w:rsidRPr="004E54AD" w:rsidRDefault="004E54AD" w:rsidP="004E54AD">
      <w:pPr>
        <w:spacing w:after="0" w:line="240" w:lineRule="auto"/>
        <w:ind w:left="360"/>
        <w:rPr>
          <w:rFonts w:eastAsia="Calibri" w:cstheme="minorHAnsi"/>
          <w:b/>
          <w:bCs/>
          <w:sz w:val="20"/>
          <w:szCs w:val="20"/>
          <w:lang w:eastAsia="pl-PL"/>
        </w:rPr>
      </w:pPr>
      <w:r w:rsidRPr="004E54AD">
        <w:rPr>
          <w:rFonts w:cstheme="minorHAnsi"/>
          <w:sz w:val="20"/>
          <w:szCs w:val="20"/>
          <w:shd w:val="clear" w:color="auto" w:fill="FFFFFF"/>
        </w:rPr>
        <w:t>14 dni to termin liczony w dniach kalendarzowych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583679A0" w14:textId="77777777" w:rsidR="004E54AD" w:rsidRPr="004E54AD" w:rsidRDefault="004E54AD" w:rsidP="004E54A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3CE4D733" w14:textId="77777777" w:rsidR="004E54AD" w:rsidRPr="004E54AD" w:rsidRDefault="004E54AD" w:rsidP="004E54A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3220A4D5" w14:textId="77777777" w:rsidR="004E54AD" w:rsidRPr="004E54AD" w:rsidRDefault="004E54AD" w:rsidP="004E54AD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4E54AD">
        <w:rPr>
          <w:rFonts w:eastAsia="Times New Roman" w:cstheme="minorHAnsi"/>
          <w:b/>
          <w:bCs/>
          <w:sz w:val="20"/>
          <w:szCs w:val="20"/>
        </w:rPr>
        <w:tab/>
      </w:r>
      <w:r w:rsidRPr="004E54AD">
        <w:rPr>
          <w:rFonts w:eastAsia="Times New Roman" w:cstheme="minorHAnsi"/>
          <w:b/>
          <w:bCs/>
          <w:sz w:val="20"/>
          <w:szCs w:val="20"/>
        </w:rPr>
        <w:tab/>
      </w:r>
      <w:r w:rsidRPr="004E54AD">
        <w:rPr>
          <w:rFonts w:eastAsia="Times New Roman" w:cstheme="minorHAnsi"/>
          <w:b/>
          <w:bCs/>
          <w:sz w:val="20"/>
          <w:szCs w:val="20"/>
        </w:rPr>
        <w:tab/>
      </w:r>
      <w:r w:rsidRPr="004E54AD">
        <w:rPr>
          <w:rFonts w:eastAsia="Times New Roman" w:cstheme="minorHAnsi"/>
          <w:b/>
          <w:bCs/>
          <w:sz w:val="20"/>
          <w:szCs w:val="20"/>
        </w:rPr>
        <w:tab/>
      </w:r>
      <w:r w:rsidRPr="004E54AD">
        <w:rPr>
          <w:rFonts w:eastAsia="Times New Roman" w:cstheme="minorHAnsi"/>
          <w:b/>
          <w:bCs/>
          <w:sz w:val="20"/>
          <w:szCs w:val="20"/>
        </w:rPr>
        <w:tab/>
      </w:r>
      <w:r w:rsidRPr="004E54AD">
        <w:rPr>
          <w:rFonts w:eastAsia="Times New Roman" w:cstheme="minorHAnsi"/>
          <w:b/>
          <w:bCs/>
          <w:sz w:val="20"/>
          <w:szCs w:val="20"/>
        </w:rPr>
        <w:tab/>
      </w:r>
      <w:r w:rsidRPr="004E54AD">
        <w:rPr>
          <w:rFonts w:eastAsia="Times New Roman" w:cstheme="minorHAnsi"/>
          <w:b/>
          <w:bCs/>
          <w:sz w:val="20"/>
          <w:szCs w:val="20"/>
        </w:rPr>
        <w:tab/>
      </w:r>
    </w:p>
    <w:p w14:paraId="29604909" w14:textId="77777777" w:rsidR="004E54AD" w:rsidRPr="004E54AD" w:rsidRDefault="004E54AD" w:rsidP="004E54AD">
      <w:pPr>
        <w:spacing w:after="120" w:line="240" w:lineRule="auto"/>
        <w:ind w:firstLine="709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6DDEA6F3" w14:textId="77777777" w:rsidR="004E54AD" w:rsidRPr="004E54AD" w:rsidRDefault="004E54AD" w:rsidP="004E54AD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4E54AD">
        <w:rPr>
          <w:rFonts w:eastAsia="Times New Roman" w:cstheme="minorHAnsi"/>
          <w:b/>
          <w:bCs/>
          <w:sz w:val="20"/>
          <w:szCs w:val="20"/>
        </w:rPr>
        <w:t>p.o. Dyrektor</w:t>
      </w:r>
    </w:p>
    <w:p w14:paraId="11B79976" w14:textId="77777777" w:rsidR="004E54AD" w:rsidRPr="004E54AD" w:rsidRDefault="004E54AD" w:rsidP="004E54AD">
      <w:pPr>
        <w:spacing w:after="120" w:line="240" w:lineRule="auto"/>
        <w:ind w:left="4955" w:firstLine="709"/>
        <w:jc w:val="both"/>
        <w:rPr>
          <w:rFonts w:eastAsia="Times New Roman" w:cstheme="minorHAnsi"/>
          <w:b/>
          <w:bCs/>
          <w:sz w:val="20"/>
          <w:szCs w:val="20"/>
        </w:rPr>
      </w:pPr>
      <w:r w:rsidRPr="004E54AD">
        <w:rPr>
          <w:rFonts w:eastAsia="Times New Roman" w:cstheme="minorHAnsi"/>
          <w:b/>
          <w:bCs/>
          <w:sz w:val="20"/>
          <w:szCs w:val="20"/>
        </w:rPr>
        <w:t>mgr Bartłomiej Piechaczek</w:t>
      </w:r>
    </w:p>
    <w:p w14:paraId="4B870DF9" w14:textId="77777777" w:rsidR="004E54AD" w:rsidRPr="004E54AD" w:rsidRDefault="004E54AD" w:rsidP="004E54AD">
      <w:pPr>
        <w:rPr>
          <w:rFonts w:cstheme="minorHAnsi"/>
          <w:sz w:val="20"/>
          <w:szCs w:val="20"/>
        </w:rPr>
      </w:pPr>
    </w:p>
    <w:p w14:paraId="172FD596" w14:textId="77777777" w:rsidR="004E54AD" w:rsidRPr="004E54AD" w:rsidRDefault="004E54AD" w:rsidP="004E54AD">
      <w:pPr>
        <w:rPr>
          <w:rFonts w:cstheme="minorHAnsi"/>
        </w:rPr>
      </w:pPr>
    </w:p>
    <w:p w14:paraId="120884EF" w14:textId="22796322" w:rsidR="004E54AD" w:rsidRDefault="004E54AD">
      <w:pPr>
        <w:rPr>
          <w:rFonts w:cstheme="minorHAnsi"/>
        </w:rPr>
      </w:pPr>
      <w:r>
        <w:rPr>
          <w:rFonts w:cstheme="minorHAnsi"/>
        </w:rPr>
        <w:t>Załączniki:</w:t>
      </w:r>
    </w:p>
    <w:p w14:paraId="25865E83" w14:textId="4D6ADC67" w:rsidR="004E54AD" w:rsidRPr="004E54AD" w:rsidRDefault="004E54AD">
      <w:pPr>
        <w:rPr>
          <w:rFonts w:cstheme="minorHAnsi"/>
        </w:rPr>
      </w:pPr>
      <w:r>
        <w:rPr>
          <w:rFonts w:cstheme="minorHAnsi"/>
        </w:rPr>
        <w:t>Zmiana SWZ</w:t>
      </w:r>
    </w:p>
    <w:sectPr w:rsidR="004E54AD" w:rsidRPr="004E54A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A9B7" w14:textId="77777777" w:rsidR="004E54AD" w:rsidRPr="009C5091" w:rsidRDefault="004E54AD" w:rsidP="009C5091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9C5091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9C5091" w:rsidRPr="009C5091" w14:paraId="6D4F6426" w14:textId="77777777" w:rsidTr="000179A1">
      <w:trPr>
        <w:trHeight w:val="567"/>
      </w:trPr>
      <w:tc>
        <w:tcPr>
          <w:tcW w:w="13892" w:type="dxa"/>
        </w:tcPr>
        <w:p w14:paraId="39F49239" w14:textId="77777777" w:rsidR="004E54AD" w:rsidRPr="009C5091" w:rsidRDefault="004E54AD" w:rsidP="009C5091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9C5091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9C5091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69A5CC9" w14:textId="77777777" w:rsidR="004E54AD" w:rsidRPr="009C5091" w:rsidRDefault="004E54AD" w:rsidP="009C509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 xml:space="preserve">45-062 Opole, ul. Kościuszki 14, tel.: +48774536692, </w:t>
          </w:r>
          <w:r w:rsidRPr="009C5091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www.pedagogiczna.pl</w:t>
          </w:r>
        </w:p>
        <w:p w14:paraId="1AE6812F" w14:textId="77777777" w:rsidR="004E54AD" w:rsidRPr="009C5091" w:rsidRDefault="004E54AD" w:rsidP="009C5091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9C5091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9C5091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17F6ACC9" w14:textId="77777777" w:rsidR="004E54AD" w:rsidRPr="009C5091" w:rsidRDefault="004E54AD" w:rsidP="009C5091">
          <w:pPr>
            <w:jc w:val="right"/>
            <w:rPr>
              <w:rFonts w:ascii="Calibri" w:hAnsi="Calibri" w:cs="Calibri"/>
              <w:b/>
              <w:lang w:val="cs-CZ"/>
            </w:rPr>
          </w:pPr>
          <w:r w:rsidRPr="009C5091">
            <w:rPr>
              <w:rFonts w:ascii="Calibri" w:hAnsi="Calibri" w:cs="Calibri"/>
              <w:b/>
              <w:lang w:val="cs-CZ"/>
            </w:rPr>
            <w:fldChar w:fldCharType="begin"/>
          </w:r>
          <w:r w:rsidRPr="009C5091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9C5091">
            <w:rPr>
              <w:rFonts w:ascii="Calibri" w:hAnsi="Calibri" w:cs="Calibri"/>
              <w:b/>
              <w:lang w:val="cs-CZ"/>
            </w:rPr>
            <w:fldChar w:fldCharType="separate"/>
          </w:r>
          <w:r w:rsidRPr="009C5091">
            <w:rPr>
              <w:rFonts w:ascii="Calibri" w:hAnsi="Calibri" w:cs="Calibri"/>
              <w:b/>
              <w:lang w:val="cs-CZ"/>
            </w:rPr>
            <w:t>1</w:t>
          </w:r>
          <w:r w:rsidRPr="009C5091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19C1EA70" w14:textId="77777777" w:rsidR="004E54AD" w:rsidRDefault="004E54A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A3F3" w14:textId="77777777" w:rsidR="004E54AD" w:rsidRPr="00832E2E" w:rsidRDefault="004E54AD" w:rsidP="00832E2E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832E2E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32E2E" w:rsidRPr="00832E2E" w14:paraId="45667F38" w14:textId="77777777" w:rsidTr="000179A1">
      <w:tc>
        <w:tcPr>
          <w:tcW w:w="4140" w:type="dxa"/>
        </w:tcPr>
        <w:p w14:paraId="229B6D8E" w14:textId="77777777" w:rsidR="004E54AD" w:rsidRPr="00832E2E" w:rsidRDefault="004E54AD" w:rsidP="00832E2E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832E2E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4DE3668D" wp14:editId="27E208EA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FC6B6FB" w14:textId="77777777" w:rsidR="004E54AD" w:rsidRPr="00832E2E" w:rsidRDefault="004E54AD" w:rsidP="00832E2E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 xml:space="preserve">Opolskie Centrum </w:t>
          </w:r>
          <w:r w:rsidRPr="00832E2E">
            <w:rPr>
              <w:rFonts w:ascii="Aptos" w:hAnsi="Aptos" w:cs="Calibri"/>
              <w:b/>
              <w:sz w:val="24"/>
              <w:szCs w:val="24"/>
              <w:lang w:val="cs-CZ"/>
            </w:rPr>
            <w:t>Edukacji</w:t>
          </w:r>
        </w:p>
      </w:tc>
    </w:tr>
  </w:tbl>
  <w:p w14:paraId="082B5E7D" w14:textId="77777777" w:rsidR="004E54AD" w:rsidRDefault="004E5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4138"/>
    <w:multiLevelType w:val="hybridMultilevel"/>
    <w:tmpl w:val="CB8A2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09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D"/>
    <w:rsid w:val="004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7AEC"/>
  <w15:chartTrackingRefBased/>
  <w15:docId w15:val="{D11E1F3B-3D4C-4B8C-99A2-3AFA597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4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4AD"/>
    <w:rPr>
      <w:kern w:val="0"/>
      <w14:ligatures w14:val="none"/>
    </w:rPr>
  </w:style>
  <w:style w:type="paragraph" w:customStyle="1" w:styleId="Bezodstpw1">
    <w:name w:val="Bez odstępów1"/>
    <w:qFormat/>
    <w:rsid w:val="004E54A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4E54AD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E54AD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dcterms:created xsi:type="dcterms:W3CDTF">2023-12-01T12:57:00Z</dcterms:created>
  <dcterms:modified xsi:type="dcterms:W3CDTF">2023-12-01T13:14:00Z</dcterms:modified>
</cp:coreProperties>
</file>