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059" w:rsidRDefault="001439A7">
      <w:pPr>
        <w:pStyle w:val="TitleStyle"/>
      </w:pPr>
      <w:r>
        <w:t>Zasady postępowania w kontaktach z wykonawcami.</w:t>
      </w:r>
    </w:p>
    <w:p w:rsidR="00EB4059" w:rsidRDefault="001439A7">
      <w:pPr>
        <w:pStyle w:val="NormalStyle"/>
      </w:pPr>
      <w:r>
        <w:t>Dz.Urz.MON.2017.157 z dnia 2017.07.14</w:t>
      </w:r>
    </w:p>
    <w:p w:rsidR="00EB4059" w:rsidRDefault="001439A7">
      <w:pPr>
        <w:pStyle w:val="NormalStyle"/>
      </w:pPr>
      <w:r>
        <w:t xml:space="preserve">Status: Akt obowiązujący </w:t>
      </w:r>
    </w:p>
    <w:p w:rsidR="00EB4059" w:rsidRDefault="001439A7">
      <w:pPr>
        <w:pStyle w:val="NormalStyle"/>
      </w:pPr>
      <w:r>
        <w:t xml:space="preserve">Wersja od: 19 lipca 2018r. </w:t>
      </w:r>
    </w:p>
    <w:p w:rsidR="00EB4059" w:rsidRDefault="001439A7">
      <w:pPr>
        <w:spacing w:after="0"/>
      </w:pPr>
      <w:r>
        <w:br/>
      </w:r>
    </w:p>
    <w:p w:rsidR="00EB4059" w:rsidRDefault="001439A7">
      <w:pPr>
        <w:spacing w:after="0"/>
      </w:pPr>
      <w:r>
        <w:rPr>
          <w:b/>
          <w:color w:val="000000"/>
        </w:rPr>
        <w:t>Wejście w życie:</w:t>
      </w:r>
    </w:p>
    <w:p w:rsidR="00EB4059" w:rsidRDefault="001439A7">
      <w:pPr>
        <w:spacing w:after="0"/>
      </w:pPr>
      <w:r>
        <w:rPr>
          <w:color w:val="000000"/>
        </w:rPr>
        <w:t>29 lipca 2017 r.</w:t>
      </w:r>
    </w:p>
    <w:p w:rsidR="00EB4059" w:rsidRDefault="001439A7">
      <w:pPr>
        <w:spacing w:after="0"/>
      </w:pPr>
      <w:r>
        <w:br/>
      </w: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t>DECYZJA Nr 145/MON</w:t>
      </w:r>
    </w:p>
    <w:p w:rsidR="00EB4059" w:rsidRDefault="001439A7">
      <w:pPr>
        <w:spacing w:after="0"/>
        <w:jc w:val="center"/>
      </w:pPr>
      <w:r>
        <w:rPr>
          <w:b/>
          <w:color w:val="000000"/>
        </w:rPr>
        <w:t>MINISTRA OBRONY NARODOWEJ</w:t>
      </w:r>
    </w:p>
    <w:p w:rsidR="00EB4059" w:rsidRDefault="001439A7">
      <w:pPr>
        <w:spacing w:before="80" w:after="0"/>
        <w:jc w:val="center"/>
      </w:pPr>
      <w:r>
        <w:rPr>
          <w:color w:val="000000"/>
        </w:rPr>
        <w:t>z dnia 13 lipca 2017 r.</w:t>
      </w:r>
    </w:p>
    <w:p w:rsidR="00EB4059" w:rsidRDefault="001439A7">
      <w:pPr>
        <w:spacing w:before="80" w:after="0"/>
        <w:jc w:val="center"/>
      </w:pPr>
      <w:r>
        <w:rPr>
          <w:b/>
          <w:color w:val="000000"/>
        </w:rPr>
        <w:t>w sprawie zasad postępowania w kontaktach z wykonawcami</w:t>
      </w:r>
    </w:p>
    <w:p w:rsidR="00EB4059" w:rsidRDefault="001439A7">
      <w:pPr>
        <w:spacing w:before="80" w:after="0"/>
        <w:jc w:val="center"/>
      </w:pPr>
      <w:r>
        <w:rPr>
          <w:color w:val="000000"/>
        </w:rPr>
        <w:t>Biuro do Spraw Procedur Antykorupcyjnych</w:t>
      </w:r>
    </w:p>
    <w:p w:rsidR="00EB4059" w:rsidRDefault="001439A7">
      <w:pPr>
        <w:spacing w:before="25" w:after="0"/>
        <w:jc w:val="center"/>
      </w:pPr>
      <w:r>
        <w:rPr>
          <w:color w:val="000000"/>
        </w:rPr>
        <w:t xml:space="preserve">Na podstawie </w:t>
      </w:r>
      <w:r>
        <w:rPr>
          <w:color w:val="1B1B1B"/>
        </w:rPr>
        <w:t>art. 2 pkt 1</w:t>
      </w:r>
      <w:r>
        <w:rPr>
          <w:color w:val="000000"/>
        </w:rPr>
        <w:t xml:space="preserve"> i </w:t>
      </w:r>
      <w:r>
        <w:rPr>
          <w:color w:val="1B1B1B"/>
        </w:rPr>
        <w:t>11</w:t>
      </w:r>
      <w:r>
        <w:rPr>
          <w:color w:val="000000"/>
        </w:rPr>
        <w:t xml:space="preserve"> ustawy z dnia 14 grudnia 1995 r. o urzędzie Ministra Obrony Narodowej (Dz. U. z 2013 r. poz. 189 i 852, z 2014 r. poz. 932 oraz z 2016 r. poz. 2138), w związku z </w:t>
      </w:r>
      <w:r>
        <w:rPr>
          <w:color w:val="1B1B1B"/>
        </w:rPr>
        <w:t>§ 2 pkt 14</w:t>
      </w:r>
      <w:r>
        <w:rPr>
          <w:color w:val="000000"/>
        </w:rPr>
        <w:t xml:space="preserve"> rozporządzenia Rady Ministrów z dnia 9 lipca 1996 r. w sprawie szczegółowego zakresu działania Ministra Obrony Narodowej (Dz. U. poz. 426 oraz z 2014 r. poz. 933), w celu wdrożenia rozwiązań w zakresie zapobiegania i zwalczania zjawisk korupcyjnych oraz realizacji polityki przejrzystości działań służbowych, ustala się, co następuje: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1.  </w:t>
      </w:r>
      <w:r>
        <w:rPr>
          <w:color w:val="000000"/>
        </w:rPr>
        <w:t>Decyzja określa zasady postępowania w kontaktach z wykonawcami, zwane dalej "Zasadami postępowania w kontaktach z wykonawcami", które stanowią załącznik do decyzji.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2.  </w:t>
      </w:r>
      <w:r>
        <w:rPr>
          <w:color w:val="000000"/>
        </w:rPr>
        <w:t>Zasady postępowania w kontaktach z wykonawcami stosuje się wobec pracowników i żołnierzy komórek organizacyjnych Ministerstwa Obrony Narodowej, zwanych dalej "komórkami", oraz jednostek organizacyjnych podległych Ministrowi Obrony Narodowej lub przez niego nadzorowanych, z wyłączeniem spółek dla których Minister Obrony Narodowej wykonuje uprawnienia majątkowe przysługujące Skarbowi Państwa z tytułu należących do Skarbu Państwa akcji lub udziałów w tych spółkach, zwanych dalej "jednostkami organizacyjnymi", oraz wobec osób fizycznych świadczących pracę na podstawie umów cywilnoprawnych w komórkach lub jednostkach organizacyjnych.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3.  </w:t>
      </w:r>
      <w:r>
        <w:rPr>
          <w:color w:val="000000"/>
        </w:rPr>
        <w:t>Dyrektorzy (szefowie, komendanci, kierownicy, dowódcy, prezesi) komórek i jednostek organizacyjnych odpowiadają za zapoznanie podległych im osób z treścią Zasad postępowania w kontaktach z wykonawcami oraz za egzekwowanie zawartych tam ustaleń.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4.  </w:t>
      </w:r>
      <w:r>
        <w:rPr>
          <w:color w:val="000000"/>
        </w:rPr>
        <w:t>Za działania zawinione określone w decyzji jako niedopuszczalne, pracownicy i żołnierze komórek i jednostek organizacyjnych, ponoszą odpowiedzialność służbową lub dyscyplinarną na zasadach określonych w odrębnych przepisach.</w:t>
      </w:r>
    </w:p>
    <w:p w:rsidR="00EB4059" w:rsidRDefault="001439A7">
      <w:pPr>
        <w:spacing w:before="26" w:after="240"/>
      </w:pPr>
      <w:r>
        <w:rPr>
          <w:b/>
          <w:color w:val="000000"/>
        </w:rPr>
        <w:lastRenderedPageBreak/>
        <w:t xml:space="preserve">§  5.  </w:t>
      </w:r>
      <w:r>
        <w:rPr>
          <w:color w:val="000000"/>
        </w:rPr>
        <w:t>W przypadku niewykonania obowiązku zapoznania podwładnych z treścią Zasad postępowania w kontaktach z wykonawcami, dyrektorzy (szefowie, komendanci, kierownicy, dowódcy, prezesi) komórek i jednostek organizacyjnych ponoszą odpowiedzialność służbową lub dyscyplinarną, na zasadach określonych w odrębnych przepisach.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6.  </w:t>
      </w:r>
      <w:r>
        <w:rPr>
          <w:color w:val="000000"/>
        </w:rPr>
        <w:t>Załącznik do niniejszej decyzji stanowi integralną część każdej umowy cywilnoprawnej, zawartej po dniu wejścia w życie decyzji, na podstawie której osoby fizyczne będą świadczyły pracę w komórkach lub jednostkach organizacyjnych.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7.  </w:t>
      </w:r>
      <w:r>
        <w:rPr>
          <w:color w:val="000000"/>
        </w:rPr>
        <w:t>W umowach cywilnoprawnych, o których mowa w § 6, wprowadza się klauzulę, uprawniającą zamawiającego do ich rozwiązania z powodu zawinionego podjęcia przez osobę fizyczna świadczącą pracę działań, określonych w decyzji jako niedopuszczalne. Klauzula obejmuje również działania osób, z pomocą których osoba fizyczna świadcząca pracę na podstawie umowy cywilnoprawnej będzie wykonywała swoje zobowiązanie, jak również osoby, którym wykonanie zobowiązania powierzyła.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8.  </w:t>
      </w:r>
      <w:r>
        <w:rPr>
          <w:color w:val="000000"/>
        </w:rPr>
        <w:t>W przypadku umów zawartych przed dniem wejścia w życie decyzji, dyrektorzy (szefowie, komendanci, kierownicy, dowódcy, prezesi) komórek i jednostek organizacyjnych odpowiedzialnych za ich zawarcie, spowodują dokonanie zmian w obowiązujących umowach zgodnie z postanowieniami § 6 i 7, a gdyby to okazało się niemożliwe doprowadzą do ich jak najszybszego rozwiązania, dbając jednocześnie o to, aby działania te nie doprowadziły do powstania dodatkowych kosztów po stronie Skarbu Państwa lub państwowych osób prawnych.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9.   </w:t>
      </w:r>
      <w:r>
        <w:rPr>
          <w:color w:val="000000"/>
        </w:rPr>
        <w:t> Dyrektor komórki organizacyjnej Ministerstwa właściwej dla spraw procedur antykorupcyjnych uprawniony jest do monitorowania realizacji obowiązków, o których mowa w § 3, 7 i 8 oraz bezpośredniego informowania Ministra Obrony Narodowej o stwierdzonych przypadkach niewywiązywania się z ich realizacji.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10.  </w:t>
      </w:r>
      <w:r>
        <w:rPr>
          <w:color w:val="000000"/>
        </w:rPr>
        <w:t>Szef Inspektoratu Systemów Informacyjnych zapewni funkcjonowanie w wewnętrznej sieci elektronicznej (intranet) zakładki elektronicznej pod nazwą "kontakty z wykonawcami".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11.  </w:t>
      </w:r>
      <w:r>
        <w:rPr>
          <w:color w:val="000000"/>
        </w:rPr>
        <w:t xml:space="preserve">Traci moc </w:t>
      </w:r>
      <w:r>
        <w:rPr>
          <w:color w:val="1B1B1B"/>
        </w:rPr>
        <w:t>decyzja</w:t>
      </w:r>
      <w:r>
        <w:rPr>
          <w:color w:val="000000"/>
        </w:rPr>
        <w:t xml:space="preserve"> Nr 125/MON Ministra Obrony Narodowej z dnia 14 kwietnia 2011 r. w sprawie wprowadzenia Kodeksu etycznego postępowania pracowników i żołnierzy (Dz. Urz. Min. Obr. Nar. poz. 100).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12.  </w:t>
      </w:r>
      <w:r>
        <w:rPr>
          <w:color w:val="000000"/>
        </w:rPr>
        <w:t>Decyzja wchodzi w życie po upływie 14 dni od dnia ogłoszenia.</w:t>
      </w:r>
    </w:p>
    <w:p w:rsidR="00EB4059" w:rsidRDefault="00EB4059">
      <w:pPr>
        <w:spacing w:after="0"/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1439A7" w:rsidRDefault="001439A7" w:rsidP="003533F7">
      <w:pPr>
        <w:spacing w:before="80" w:after="0"/>
        <w:rPr>
          <w:b/>
          <w:color w:val="000000"/>
        </w:rPr>
      </w:pPr>
    </w:p>
    <w:p w:rsidR="00EB4059" w:rsidRDefault="001439A7">
      <w:pPr>
        <w:spacing w:before="80" w:after="0"/>
        <w:jc w:val="center"/>
      </w:pPr>
      <w:r>
        <w:rPr>
          <w:b/>
          <w:color w:val="000000"/>
        </w:rPr>
        <w:lastRenderedPageBreak/>
        <w:t xml:space="preserve">ZAŁĄCZNIK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ZASADY POSTĘPOWANIA W KONTAKTACH Z WYKONAWCAMI</w:t>
      </w:r>
    </w:p>
    <w:p w:rsidR="00EB4059" w:rsidRDefault="00EB4059">
      <w:pPr>
        <w:spacing w:after="0"/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t xml:space="preserve">Rozdział  1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Postanowienia ogólne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1.  </w:t>
      </w:r>
      <w:r>
        <w:rPr>
          <w:color w:val="000000"/>
        </w:rPr>
        <w:t>Zasady postępowania w kontaktach z wykonawcami regulują postępowanie pracowników i żołnierzy komórek organizacyjnych Ministerstwa Obrony Narodowej, zwanych dalej "komórkami", oraz jednostek organizacyjnych podległych Ministrowi Obrony Narodowej lub przez niego nadzorowanych, z wyłączeniem spółek dla których Minister Obrony Narodowej wykonuje uprawnienia majątkowe przysługujące Skarbowi Państwa z tytułu należących do Skarbu Państwa akcji lub udziałów w tych spółkach, zwanych dalej "jednostkami organizacyjnymi", oraz osób fizycznych świadczących pracę na podstawie umów cywilnoprawnych w Ministerstwie Obrony Narodowej lub w jednostkach organizacyjnych - w stosunku do osób prawnych, osób fizycznych oraz jednostek organizacyjnych niebędących osobami prawnymi, którym ustawa przyznaje zdolność prawną: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1) wykonujących na rzecz Skarbu Państwa lub państwowej osoby prawnej odpłatne umowy, w szczególności na dostawy, świadczenie usług lub roboty budowlane;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2) które z racji zakresu prowadzonej działalności mogą starać się o zawarcie umów, o których mowa w pkt 1;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3) które działają w imieniu lub na rzecz podmiotów wskazanych w pkt 1 lub 2, zwanych dalej "wykonawcami".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2.  </w:t>
      </w:r>
      <w:r>
        <w:rPr>
          <w:color w:val="000000"/>
        </w:rPr>
        <w:t>W kontaktach z wykonawcami należy zachować świadomość, że mogą oni stosować działania mające na celu zapewnienie im przychylności, skutkujące naruszeniem zasady bezstronności, równego traktowania lub uczciwej konkurencji (reguła wzajemności).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3.  </w:t>
      </w:r>
      <w:r>
        <w:rPr>
          <w:color w:val="000000"/>
        </w:rPr>
        <w:t>W kontaktach z wykonawcami należy kierować się zasadami: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1) godności i honoru;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2) zdrowego rozsądku i umiaru;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3) ochrony dobrego imienia Ministerstwa Obrony Narodowej i Sił Zbrojnych Rzeczypospolitej Polskiej;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4) pierwszeństwa interesów Ministerstwa Obrony Narodowej i Sił Zbrojnych Rzeczypospolitej Polskiej;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5) unikania sytuacji, które mogłyby wywoływać powstanie długu materialnego lub honorowego albo poczucia wdzięczności;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6) bezstronności oraz unikania zachowań faworyzujących konkretnego wykonawcę w stosunku do jego konkurencji.</w:t>
      </w:r>
    </w:p>
    <w:p w:rsidR="00EB4059" w:rsidRDefault="00EB4059">
      <w:pPr>
        <w:spacing w:after="0"/>
      </w:pPr>
    </w:p>
    <w:p w:rsidR="001439A7" w:rsidRDefault="001439A7">
      <w:pPr>
        <w:spacing w:before="146" w:after="0"/>
        <w:jc w:val="center"/>
        <w:rPr>
          <w:b/>
          <w:color w:val="000000"/>
        </w:rPr>
      </w:pPr>
    </w:p>
    <w:p w:rsidR="001439A7" w:rsidRDefault="001439A7" w:rsidP="00E3433B">
      <w:pPr>
        <w:spacing w:before="146" w:after="0"/>
        <w:rPr>
          <w:b/>
          <w:color w:val="000000"/>
        </w:rPr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lastRenderedPageBreak/>
        <w:t xml:space="preserve">Rozdział  2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Rozliczanie kosztów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4.  </w:t>
      </w:r>
    </w:p>
    <w:p w:rsidR="00EB4059" w:rsidRDefault="001439A7">
      <w:pPr>
        <w:spacing w:before="26" w:after="0"/>
      </w:pPr>
      <w:r>
        <w:rPr>
          <w:color w:val="000000"/>
        </w:rPr>
        <w:t>1.  Przy rozliczaniu kosztów poniesionych w związku z bezpośrednimi kontaktami z wykonawcami należy przyjąć zasadę "każdy płaci za siebie", w szczególności: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1) koszty podróży służbowych, w tym koszty dojazdów, wyżywienia i noclegów pokrywa się wyłącznie z budżetu, którego dysponentem jest Minister Obrony Narodowej;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2) w restauracjach i innych miejscach wspólnego przebywania rachunki należy opłacać z własnych środków w ramach późniejszego rozliczenia służbowego, lub ze środków pochodzących z budżetu, którego dysponentem jest Minister Obrony Narodowej (karty płatnicze).</w:t>
      </w:r>
    </w:p>
    <w:p w:rsidR="00EB4059" w:rsidRDefault="001439A7">
      <w:pPr>
        <w:spacing w:before="26" w:after="0"/>
      </w:pPr>
      <w:r>
        <w:rPr>
          <w:color w:val="000000"/>
        </w:rPr>
        <w:t>2.  Niedopuszczalne jest korzystanie z fundowanego przez wykonawców wyżywienia, transportu, ani z pokrywania przez nich innych kosztów i zobowiązań z wyjątkiem: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1) drobnych poczęstunków serwowanych w trakcie podróży służbowych;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2) transportu związanego z wykonywaniem zadań w ramach podróży służbowych.</w:t>
      </w:r>
    </w:p>
    <w:p w:rsidR="00EB4059" w:rsidRDefault="00EB4059">
      <w:pPr>
        <w:spacing w:after="0"/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t xml:space="preserve">Rozdział  3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Przedsięwzięcia i spotkania z udziałem wykonawców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5.  </w:t>
      </w:r>
    </w:p>
    <w:p w:rsidR="00EB4059" w:rsidRDefault="001439A7">
      <w:pPr>
        <w:spacing w:before="26" w:after="0"/>
      </w:pPr>
      <w:r>
        <w:rPr>
          <w:color w:val="000000"/>
        </w:rPr>
        <w:t>1.  Dopuszczalne są przedsięwzięcia związane z zawarciem lub realizacją umowy, organizowane wspólnie przez komórki lub jednostki organizacyjne oraz wykonawców.</w:t>
      </w:r>
    </w:p>
    <w:p w:rsidR="00EB4059" w:rsidRDefault="001439A7">
      <w:pPr>
        <w:spacing w:before="26" w:after="0"/>
      </w:pPr>
      <w:r>
        <w:rPr>
          <w:color w:val="000000"/>
        </w:rPr>
        <w:t>2.  Dopuszczalne jest udzielanie pomocy krajowym przedsiębiorstwom sektora obronnego w przedsięwzięciach promocyjnych skierowanych na rynki zagraniczne, w tym w ramach międzynarodowych targów, pokazów, wystaw i konferencji o tematyce obronnej, w szczególności w postaci wystawiania referencji dla sprzętu będącego na wyposażeniu Sił Zbrojnych Rzeczypospolitej Polskiej oraz udostępniania informacji i materiałów będących w posiadaniu resortu obrony narodowej, a stanowiących informację publiczną lub informację przetworzoną w rozumieniu przepisów o dostępie do informacji publicznej.</w:t>
      </w:r>
    </w:p>
    <w:p w:rsidR="00EB4059" w:rsidRDefault="001439A7">
      <w:pPr>
        <w:spacing w:before="26" w:after="0"/>
      </w:pPr>
      <w:r>
        <w:rPr>
          <w:color w:val="000000"/>
        </w:rPr>
        <w:t>3.  Dopuszczalny jest udział w posiedzeniach i konferencjach organizowanych lub współorganizowanych przez organizacje międzynarodowe, których członkiem jest Rzeczpospolita Polska, a w szczególności przez Organizację Traktatu Północnoatlantyckiego lub Unię Europejską, odbywających się z udziałem wykonawców, a także w przedsięwzięciach realizowanych przez komórki lub jednostki organizacyjne, które wynikają z zaakceptowanego rocznego planu współpracy międzynarodowej resortu obrony narodowej.</w:t>
      </w:r>
    </w:p>
    <w:p w:rsidR="00EB4059" w:rsidRDefault="001439A7">
      <w:pPr>
        <w:spacing w:before="26" w:after="0"/>
      </w:pPr>
      <w:r>
        <w:rPr>
          <w:color w:val="000000"/>
        </w:rPr>
        <w:t xml:space="preserve">4.  Zaangażowanie w inne niż wymienione w ust. 1-3 przedsięwzięcia z udziałem wykonawców, w tym w szczególności konferencje, seminaria, sympozja - dopuszczalne jest wyłącznie po uzyskaniu od organizatora informacji zgodnej z wzorem zapytania, zawartym w załączniku Nr 1 do Zasad postępowania w kontaktach z wykonawcami oraz udzieleniu pisemnej zgody dyrektora (szefa, komendanta, kierownika, dowódcy, prezesa) komórki lub jednostki organizacyjnej na uczestnictwo w takim przedsięwzięciu. W przypadku chęci uczestnictwa dyrektora (szefa, komendanta, kierownika, dowódcy, prezesa) w </w:t>
      </w:r>
      <w:r>
        <w:rPr>
          <w:color w:val="000000"/>
        </w:rPr>
        <w:lastRenderedPageBreak/>
        <w:t>przedsięwzięciu z udziałem wykonawców, pisemną zgodę wydaje jego bezpośredni przełożony.</w:t>
      </w:r>
    </w:p>
    <w:p w:rsidR="00EB4059" w:rsidRDefault="001439A7">
      <w:pPr>
        <w:spacing w:before="26" w:after="0"/>
      </w:pPr>
      <w:r>
        <w:rPr>
          <w:color w:val="000000"/>
        </w:rPr>
        <w:t>5.  Obowiązki, o których mowa w ust. 4, nie dotyczą przypadku, gdy organizatorem, lub współorganizatorem przedsięwzięcia jest Ministerstwo Obrony Narodowej lub inne instytucje krajowej administracji rządowej.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6.  </w:t>
      </w:r>
    </w:p>
    <w:p w:rsidR="00EB4059" w:rsidRDefault="001439A7">
      <w:pPr>
        <w:spacing w:before="26" w:after="0"/>
      </w:pPr>
      <w:r>
        <w:rPr>
          <w:color w:val="000000"/>
        </w:rPr>
        <w:t>1.  Wszelkie spotkania z wykonawcami, jeżeli nie mają charakteru: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1) przedsięwzięć wymienionych w § 5 ust. 1-3, lub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2) konferencji, seminariów lub sympozjów wymienionych w § 5 ust. 4 i 5, lub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3) spotkań towarzyskich, odbywających się poza godzinami pracy, podczas których nie poruszano żadnych kwestii służbowych, lub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4) spotkań o charakterze jedynie organizacyjno-porządkowym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- powinny odbywać się przy udziale co najmniej dwóch osób będących przedstawicielami komórek lub jednostek organizacyjnych (zasada "wielu par oczu"), w przeciwnym wypadku całość spotkania powinna zostać utrwalona za pomocą urządzeń i środków technicznych służących do utrwalania dźwięku albo obrazu i dźwięku.</w:t>
      </w:r>
    </w:p>
    <w:p w:rsidR="00EB4059" w:rsidRDefault="001439A7">
      <w:pPr>
        <w:spacing w:before="26" w:after="0"/>
      </w:pPr>
      <w:r>
        <w:rPr>
          <w:color w:val="000000"/>
        </w:rPr>
        <w:t>2.  Utrwalenie przebiegu spotkania z wykonawcami za pomocą urządzeń i środków technicznych służących do utrwalania dźwięku albo obrazu i dźwięku, zwane dalej "zapisem", następuje po uprzednim uzyskaniu zgody wykonawcy na taki sposób utrwalenia przebiegu spotkania.</w:t>
      </w:r>
    </w:p>
    <w:p w:rsidR="00EB4059" w:rsidRDefault="001439A7">
      <w:pPr>
        <w:spacing w:before="26" w:after="0"/>
      </w:pPr>
      <w:r>
        <w:rPr>
          <w:color w:val="000000"/>
        </w:rPr>
        <w:t>3.  Niedopuszczalne jest kontynuowanie spotkania z wykonawcą, który nie wyraził zgody na utrwalenie jego przebiegu, przy jednoczesnym braku możliwości zapewnienia udziału dwóch osób w spotkaniu, o którym mowa w ust. 1.</w:t>
      </w:r>
    </w:p>
    <w:p w:rsidR="00EB4059" w:rsidRDefault="001439A7">
      <w:pPr>
        <w:spacing w:before="26" w:after="0"/>
      </w:pPr>
      <w:r>
        <w:rPr>
          <w:color w:val="000000"/>
        </w:rPr>
        <w:t>4.  Zapis następuje za pomocą urządzeń i środków technicznych wykorzystujących technikę cyfrową, zapewniającą: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1) integralność zapisu;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2) kopiowanie zapisu pomiędzy urządzeniami, środkami technicznymi i informatycznymi nośnikami danych;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3) zabezpieczenie zapisu, w szczególności przed utratą lub nieuzasadnioną zmianą;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4) odtworzenie zapisu także przy użyciu urządzeń i środków technicznych korygujących lub wzmacniających utrwalony dźwięk lub obraz;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5) udostępnienie zapisu na informatycznym nośniku danych;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6) możliwość bieżącej kontroli dokonywanego zapisu.</w:t>
      </w:r>
    </w:p>
    <w:p w:rsidR="00EB4059" w:rsidRDefault="001439A7">
      <w:pPr>
        <w:spacing w:before="26" w:after="0"/>
      </w:pPr>
      <w:r>
        <w:rPr>
          <w:color w:val="000000"/>
        </w:rPr>
        <w:t>5.  Informatyczne nośniki danych na których dokonano zapisu podlegają zdeponowaniu w kancelarii komórki lub jednostki organizacyjnej, której pracownik lub żołnierz brał udział w spotkaniu z wykonawcą, gdzie następnie są archiwizowane przez okres 3 lat.</w:t>
      </w:r>
    </w:p>
    <w:p w:rsidR="00EB4059" w:rsidRDefault="00EB4059">
      <w:pPr>
        <w:spacing w:after="0"/>
      </w:pPr>
    </w:p>
    <w:p w:rsidR="003533F7" w:rsidRDefault="003533F7">
      <w:pPr>
        <w:spacing w:after="0"/>
      </w:pPr>
    </w:p>
    <w:p w:rsidR="003533F7" w:rsidRDefault="003533F7">
      <w:pPr>
        <w:spacing w:after="0"/>
      </w:pPr>
    </w:p>
    <w:p w:rsidR="00E3433B" w:rsidRDefault="00E3433B">
      <w:pPr>
        <w:spacing w:after="0"/>
      </w:pPr>
    </w:p>
    <w:p w:rsidR="003533F7" w:rsidRDefault="003533F7">
      <w:pPr>
        <w:spacing w:after="0"/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lastRenderedPageBreak/>
        <w:t xml:space="preserve">Rozdział  4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Sponsorowanie przedsięwzięć</w:t>
      </w:r>
    </w:p>
    <w:p w:rsidR="00EB4059" w:rsidRDefault="001439A7">
      <w:pPr>
        <w:spacing w:before="26" w:after="240"/>
      </w:pPr>
      <w:r>
        <w:rPr>
          <w:b/>
          <w:color w:val="000000"/>
        </w:rPr>
        <w:t xml:space="preserve">§  7.  </w:t>
      </w:r>
      <w:r>
        <w:rPr>
          <w:color w:val="000000"/>
        </w:rPr>
        <w:t>Z zastrzeżeniem § 5 ust. 1-3, niedopuszczalne jest, aby przedsięwzięcia organizowane lub współorganizowane przez komórki lub jednostki organizacyjne były finansowane, współfinansowane lub w inny sposób materialnie wspierane przez wykonawców, chyba że jest to związane bezpośrednio z koniecznością pokrycia kosztów wynikających z uczestnictwa wykonawcy w danym przedsięwzięciu.</w:t>
      </w:r>
    </w:p>
    <w:p w:rsidR="00EB4059" w:rsidRDefault="00EB4059">
      <w:pPr>
        <w:spacing w:after="0"/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t xml:space="preserve">Rozdział  5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Prezenty, materiały promocyjne i informacyjne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8.  </w:t>
      </w:r>
    </w:p>
    <w:p w:rsidR="00EB4059" w:rsidRDefault="001439A7">
      <w:pPr>
        <w:spacing w:before="26" w:after="0"/>
      </w:pPr>
      <w:r>
        <w:rPr>
          <w:color w:val="000000"/>
        </w:rPr>
        <w:t>1.  Niedopuszczalne jest przyjmowanie od wykonawców prezentów w postaci jakichkolwiek korzyści majątkowych lub osobistych.</w:t>
      </w:r>
    </w:p>
    <w:p w:rsidR="00EB4059" w:rsidRDefault="001439A7">
      <w:pPr>
        <w:spacing w:before="26" w:after="0"/>
      </w:pPr>
      <w:r>
        <w:rPr>
          <w:color w:val="000000"/>
        </w:rPr>
        <w:t>2.  Dopuszczalne jest przyjmowanie materiałów promocyjnych o znikomej wartości handlowej.</w:t>
      </w:r>
    </w:p>
    <w:p w:rsidR="00EB4059" w:rsidRDefault="001439A7">
      <w:pPr>
        <w:spacing w:before="26" w:after="0"/>
      </w:pPr>
      <w:r>
        <w:rPr>
          <w:color w:val="000000"/>
        </w:rPr>
        <w:t>3.  Dopuszczalne i zalecane jest przyjmowanie materiałów informacyjnych.</w:t>
      </w:r>
    </w:p>
    <w:p w:rsidR="00EB4059" w:rsidRDefault="001439A7">
      <w:pPr>
        <w:spacing w:before="26" w:after="0"/>
      </w:pPr>
      <w:r>
        <w:rPr>
          <w:color w:val="000000"/>
        </w:rPr>
        <w:t>4.  Dopuszcza się eksponowanie w salach konferencyjnych oraz w innych miejscach powszechnie dostępnych na terenie komórek i jednostek organizacyjnych otrzymanych od wykonawców materiałów promujących Siły Zbrojne Rzeczypospolitej Polskiej.</w:t>
      </w:r>
    </w:p>
    <w:p w:rsidR="00EB4059" w:rsidRDefault="001439A7">
      <w:pPr>
        <w:spacing w:before="26" w:after="0"/>
      </w:pPr>
      <w:r>
        <w:rPr>
          <w:color w:val="000000"/>
        </w:rPr>
        <w:t>5.  Niewskazane jest używanie na terenie komórek i jednostek organizacyjnych materiałów i oznaczeń promujących wykonawców, w tym także materiałów biurowych.</w:t>
      </w:r>
    </w:p>
    <w:p w:rsidR="00EB4059" w:rsidRDefault="00EB4059">
      <w:pPr>
        <w:spacing w:after="0"/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t xml:space="preserve">Rozdział  6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Kontakty towarzyskie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9.  </w:t>
      </w:r>
    </w:p>
    <w:p w:rsidR="00EB4059" w:rsidRDefault="001439A7">
      <w:pPr>
        <w:spacing w:before="26" w:after="0"/>
      </w:pPr>
      <w:r>
        <w:rPr>
          <w:color w:val="000000"/>
        </w:rPr>
        <w:t>1.  Kontakty towarzyskie z wykonawcami, nawiązane zanim powstały relacje wynikające z wykonywanych obowiązków mogą być kontynuowane, przy zachowaniu zasad określonych w § 3 niniejszego załącznika.</w:t>
      </w:r>
    </w:p>
    <w:p w:rsidR="00EB4059" w:rsidRDefault="001439A7">
      <w:pPr>
        <w:spacing w:before="26" w:after="0"/>
      </w:pPr>
      <w:r>
        <w:rPr>
          <w:color w:val="000000"/>
        </w:rPr>
        <w:t>2.  W przypadkach innych niż określone w ust. 1, nie zaleca się nawiązywania kontaktów towarzyskich z wykonawcami.</w:t>
      </w:r>
    </w:p>
    <w:p w:rsidR="00EB4059" w:rsidRDefault="00EB4059">
      <w:pPr>
        <w:spacing w:after="0"/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t xml:space="preserve">Rozdział  7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Najem i użyczanie lokali oraz terenów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10.  </w:t>
      </w:r>
      <w:r>
        <w:rPr>
          <w:color w:val="000000"/>
        </w:rPr>
        <w:t>Dopuszczalne jest wynajmowanie lub użyczanie wykonawcom lokali i terenów resortu obrony narodowej w celu: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1) przeprowadzenia prezentacji lub pokazów na rzecz komórek lub jednostek organizacyjnych;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2) przeprowadzenia prezentacji lub pokazów organizowanych przez krajowe przedsiębiorstwa sektora obronnego dla odbiorców zagranicznych;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lastRenderedPageBreak/>
        <w:t>3) realizowania zadań przez Agencję Mienia Wojskowego, wynikających z odrębnych przepisów.</w:t>
      </w:r>
    </w:p>
    <w:p w:rsidR="001439A7" w:rsidRDefault="001439A7">
      <w:pPr>
        <w:spacing w:before="146" w:after="0"/>
        <w:jc w:val="center"/>
        <w:rPr>
          <w:b/>
          <w:color w:val="000000"/>
        </w:rPr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t xml:space="preserve">Rozdział  8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Prezentacje, pokazy i referencje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11.  </w:t>
      </w:r>
    </w:p>
    <w:p w:rsidR="00EB4059" w:rsidRDefault="001439A7">
      <w:pPr>
        <w:spacing w:before="26" w:after="0"/>
      </w:pPr>
      <w:r>
        <w:rPr>
          <w:color w:val="000000"/>
        </w:rPr>
        <w:t>1.  Działania informacyjne, z wyłączeniem oficjalnej korespondencji dokonywanej w formie pisemnej lub realizowanej przy pomocy faksu albo służbowej poczty elektronicznej, powinny być przeprowadzane przez wykonawców w formie oficjalnych prezentacji lub pokazów.</w:t>
      </w:r>
    </w:p>
    <w:p w:rsidR="00EB4059" w:rsidRDefault="001439A7">
      <w:pPr>
        <w:spacing w:before="26" w:after="0"/>
      </w:pPr>
      <w:r>
        <w:rPr>
          <w:color w:val="000000"/>
        </w:rPr>
        <w:t>2.  Wskazane jest, aby prezentacje lub pokazy odbywały się na terenie komórek i jednostek organizacyjnych lub podczas targów.</w:t>
      </w:r>
    </w:p>
    <w:p w:rsidR="00EB4059" w:rsidRDefault="001439A7">
      <w:pPr>
        <w:spacing w:before="26" w:after="0"/>
      </w:pPr>
      <w:r>
        <w:rPr>
          <w:color w:val="000000"/>
        </w:rPr>
        <w:t>3.  W przypadku, gdyby koszty prezentacji lub pokazu były zbyt wysokie dla wykonawcy, bądź też gdyby prezentacja lub pokaz były ze względów technicznych lub organizacyjnych znacznym utrudnieniem, dopuszczalne jest ich przeprowadzenie u wykonawcy na rzecz oficjalnej delegacji komórek lub jednostek organizacyjnych.</w:t>
      </w:r>
    </w:p>
    <w:p w:rsidR="00EB4059" w:rsidRDefault="001439A7">
      <w:pPr>
        <w:spacing w:before="26" w:after="0"/>
      </w:pPr>
      <w:r>
        <w:rPr>
          <w:color w:val="000000"/>
        </w:rPr>
        <w:t>4.  Niedopuszczalne jest obciążanie Skarbu Państwa - Ministra Obrony Narodowej, lub państwowej osoby prawnej kosztami organizowanych prezentacji lub pokazów, z wyłączeniem opłat z tytułu zużytych mediów i wstawek konferencyjnych.</w:t>
      </w:r>
    </w:p>
    <w:p w:rsidR="00EB4059" w:rsidRDefault="001439A7">
      <w:pPr>
        <w:spacing w:before="26" w:after="0"/>
      </w:pPr>
      <w:r>
        <w:rPr>
          <w:color w:val="000000"/>
        </w:rPr>
        <w:t>5.  W celu zbierania niezbędnych doświadczeń i informacji dyrektorzy (szefowie, komendanci, kierownicy, dowódcy, prezesi) komórek i jednostek organizacyjnych mogą za pisemną zgodą bezpośredniego przełożonego organizować prezentacje i pokazy z udziałem wykonawców.</w:t>
      </w:r>
    </w:p>
    <w:p w:rsidR="00EB4059" w:rsidRDefault="001439A7">
      <w:pPr>
        <w:spacing w:before="26" w:after="0"/>
      </w:pPr>
      <w:r>
        <w:rPr>
          <w:color w:val="000000"/>
        </w:rPr>
        <w:t>6.  Dyrektor (szef, komendant, kierownik, dowódca, prezes) komórki lub jednostki organizacyjnej odpowiedzialnej za organizację przedsięwzięcia, o którym mowa w ust. 5, dotyczącego sprzętu wojskowego, w terminie 14 dni od dnia jego zakończenia, przekazuje Dyrektorowi Departamentu Polityki Zbrojeniowej notatkę o tym wydarzeniu, zgodnie ze wzorem stanowiącym załącznik Nr 2 do Zasad postępowania w kontaktach z wykonawcami.</w:t>
      </w:r>
    </w:p>
    <w:p w:rsidR="00EB4059" w:rsidRDefault="001439A7">
      <w:pPr>
        <w:spacing w:before="26" w:after="0"/>
      </w:pPr>
      <w:r>
        <w:rPr>
          <w:color w:val="000000"/>
        </w:rPr>
        <w:t>7.  Wskazane jest zamieszczanie przez komórki i jednostki organizacyjne z odpowiednim wyprzedzeniem na własnych stronach internetowych informacji o zamiarze organizacji lub możliwości przeprowadzenia prezentacji lub pokazu, dotyczącego konkretnych grup asortymentowych sprzętu lub usług, w celu umożliwienia jak największej grupie wykonawców zgłoszenia swojego udziału w tego typu wydarzeniach.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12.  </w:t>
      </w:r>
    </w:p>
    <w:p w:rsidR="00EB4059" w:rsidRDefault="001439A7">
      <w:pPr>
        <w:spacing w:before="26" w:after="0"/>
      </w:pPr>
      <w:r>
        <w:rPr>
          <w:color w:val="000000"/>
        </w:rPr>
        <w:t>1.  Dopuszczalne jest udzielenie wykonawcy pozytywnych referencji (poświadczenia) w związku z należytym wykonaniem przez niego umowy.</w:t>
      </w:r>
    </w:p>
    <w:p w:rsidR="00EB4059" w:rsidRDefault="001439A7">
      <w:pPr>
        <w:spacing w:before="26" w:after="0"/>
      </w:pPr>
      <w:r>
        <w:rPr>
          <w:color w:val="000000"/>
        </w:rPr>
        <w:t>2.  Referencji, o których mowa w ust. 1, udziela w formie pisemnej zamawiający po uprzednim ustaleniu należytego wykonania umowy.</w:t>
      </w:r>
    </w:p>
    <w:p w:rsidR="00EB4059" w:rsidRDefault="001439A7">
      <w:pPr>
        <w:spacing w:before="26" w:after="0"/>
      </w:pPr>
      <w:r>
        <w:rPr>
          <w:color w:val="000000"/>
        </w:rPr>
        <w:t>3.  Niedopuszczalne jest udzielanie referencji, o których mowa w ust. 1, wykonawcom, w stosunku do których zamawiający uprawniony jest do zgłoszenia roszczeń z tytułu niewykonania lub nienależytego wykonania umowy, której mają dotyczyć referencje.</w:t>
      </w:r>
    </w:p>
    <w:p w:rsidR="00EB4059" w:rsidRDefault="00EB4059">
      <w:pPr>
        <w:spacing w:after="0"/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lastRenderedPageBreak/>
        <w:t xml:space="preserve">Rozdział  9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Faworyzowanie i konflikt interesów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13.  </w:t>
      </w:r>
    </w:p>
    <w:p w:rsidR="00EB4059" w:rsidRDefault="001439A7">
      <w:pPr>
        <w:spacing w:before="26" w:after="0"/>
      </w:pPr>
      <w:r>
        <w:rPr>
          <w:color w:val="000000"/>
        </w:rPr>
        <w:t>1.  Niedopuszczalne jest faworyzowanie wykonawcy, polegające w szczególności na: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1) wcześniejszym udzielaniu mu informacji,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2) nieuzasadnionym ograniczeniu innym wykonawcom dostępu do informacji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- które może stawiać go w uprzywilejowanej pozycji w stosunku do innych wykonawców.</w:t>
      </w:r>
    </w:p>
    <w:p w:rsidR="00EB4059" w:rsidRDefault="001439A7">
      <w:pPr>
        <w:spacing w:before="26" w:after="0"/>
      </w:pPr>
      <w:r>
        <w:rPr>
          <w:color w:val="000000"/>
        </w:rPr>
        <w:t>2.  Wskazane jest, aby pracownicy i żołnierze komórek i jednostek organizacyjnych oraz osoby fizyczne świadczące pracę na podstawie umów cywilnoprawnych w Ministerstwie Obrony Narodowej lub w jednostkach organizacyjnych, informowali odpowiednio bezpośrednich przełożonych lub zamawiających o relacjach prawnych lub faktycznych, w których ich interes prywatny (osobisty lub majątkowy), wynikający z powiązań z konkretnym wykonawcą, wpływa, bądź może wpływać na obiektywne i bezstronne wykonywanie powierzonych obowiązków (realny bądź potencjalny konflikt interesów) lub też może być on postrzegany przez opinię publiczną jako znajdujący się w konflikcie z obiektywnym i bezstronnym wykonywaniem realizowanych przez nich obowiązków (postrzegalny konflikt interesów).</w:t>
      </w:r>
    </w:p>
    <w:p w:rsidR="00EB4059" w:rsidRDefault="001439A7">
      <w:pPr>
        <w:spacing w:before="26" w:after="0"/>
      </w:pPr>
      <w:r>
        <w:rPr>
          <w:color w:val="000000"/>
        </w:rPr>
        <w:t>3.  Przez konflikt interesów należy rozumieć, w szczególności posiadanie powiązań o charakterze finansowym, rodzinnym lub towarzyskim z wykonawcą.</w:t>
      </w:r>
    </w:p>
    <w:p w:rsidR="00EB4059" w:rsidRDefault="001439A7">
      <w:pPr>
        <w:spacing w:before="26" w:after="0"/>
      </w:pPr>
      <w:r>
        <w:rPr>
          <w:color w:val="000000"/>
        </w:rPr>
        <w:t>4.  Dyrektor (szef, komendant, kierownik, dowódca, prezes) komórki lub jednostki organizacyjnej dysponujący wiarygodną informacją o realnym, potencjalnym lub postrzegalnym konflikcie interesów podległego mu pracownika lub żołnierza komórki lub jednostki organizacyjnej, bądź osoby fizycznej świadczącej pracę na podstawie umów cywilnoprawnych w Ministerstwie Obrony Narodowej lub w jednostkach organizacyjnych, rozstrzyga niezwłocznie o potrzebie podjęcia czynności zaradczych w celu wyeliminowania lub ograniczenia możliwości zaistnienia konfliktu interesów.</w:t>
      </w:r>
    </w:p>
    <w:p w:rsidR="00EB4059" w:rsidRDefault="001439A7">
      <w:pPr>
        <w:spacing w:before="26" w:after="0"/>
      </w:pPr>
      <w:r>
        <w:rPr>
          <w:color w:val="000000"/>
        </w:rPr>
        <w:t>5.  Czynnością zaradczą, o której mowa w ust. 4, może być w szczególności: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1) wydanie dyspozycji o konieczności udziału minimum dwóch osób w realizacji określonych czynności (zasada "wielu par oczu"), lub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2) włączenie dodatkowych mechanizmów nadzorczych, w tym kontrolnych, lub sprawozdawczych w realizacji określonych czynności, lub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3) wyłączenie osoby pozostającej w konflikcie interesów z udziału w określonej czynności, lub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4) doprowadzenie do rozwiązania umowy cywilnoprawnej zawartej z osobą fizyczną, o której mowa w ust. 2.</w:t>
      </w:r>
    </w:p>
    <w:p w:rsidR="00EB4059" w:rsidRDefault="001439A7">
      <w:pPr>
        <w:spacing w:before="26" w:after="0"/>
      </w:pPr>
      <w:r>
        <w:rPr>
          <w:color w:val="000000"/>
        </w:rPr>
        <w:t xml:space="preserve">6.  W przypadku postrzegalnego lub potencjalnego konfliktu interesów dyrektor (szef, komendant, kierownik, dowódca, prezes) komórki lub jednostki organizacyjnej może nie podejmować żadnej czynności zaradczej, jeżeli w pisemnej notatce, zarejestrowanej w kancelarii potwierdzi, że konflikt ten jest w jego ocenie nieistotny z punktu widzenia prawidłowego działania danej komórki lub jednostki organizacyjnej, a samo ujawnienie go </w:t>
      </w:r>
      <w:r>
        <w:rPr>
          <w:color w:val="000000"/>
        </w:rPr>
        <w:lastRenderedPageBreak/>
        <w:t>przez osobę, pozostającą w konflikcie interesów jest wystarczające do jego skutecznej kontroli.</w:t>
      </w:r>
    </w:p>
    <w:p w:rsidR="00EB4059" w:rsidRDefault="001439A7">
      <w:pPr>
        <w:spacing w:before="26" w:after="0"/>
      </w:pPr>
      <w:r>
        <w:rPr>
          <w:color w:val="000000"/>
        </w:rPr>
        <w:t>7.  W przypadku, gdy konflikt interesów dotyczy dyrektora (szefa, komendanta, kierownika, dowódcy, prezesa) komórki lub jednostki organizacyjnej, o potrzebie podjęcia czynności zaradczych w celu wyeliminowania lub ograniczenia możliwości jego zaistnienia, decyduje bezpośredni przełożony tej osoby. Przepisy ust. 2-6 stosuje się odpowiednio.</w:t>
      </w:r>
    </w:p>
    <w:p w:rsidR="00EB4059" w:rsidRDefault="00EB4059">
      <w:pPr>
        <w:spacing w:after="0"/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t xml:space="preserve">Rozdział  10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Sprawozdawczość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14.  </w:t>
      </w:r>
    </w:p>
    <w:p w:rsidR="00EB4059" w:rsidRDefault="001439A7">
      <w:pPr>
        <w:spacing w:before="26" w:after="0"/>
      </w:pPr>
      <w:r>
        <w:rPr>
          <w:color w:val="000000"/>
        </w:rPr>
        <w:t>1.  Z wszelkich kontaktów z wykonawcami, osoby biorące w nich udział, sporządzają notatkę zawierającą informacje odnośnie: stron, celu, inicjatora, formy kontaktu lub miejsca spotkania oraz faktu udokumentowania jego przebiegu za pomocą urządzeń i środków technicznych służących do utrwalania dźwięku albo obrazu i dźwięku, a w przypadku gdy przebieg spotkania nie został w ten sposób udokumentowany - również szczegółowych danych uzyskanych od wykonawcy i przekazanych wykonawcy. Istnieje możliwość sporządzenia wspólnej notatki przez osoby uczestniczące w kontaktach z wykonawcami.</w:t>
      </w:r>
    </w:p>
    <w:p w:rsidR="00EB4059" w:rsidRDefault="001439A7">
      <w:pPr>
        <w:spacing w:before="26" w:after="0"/>
      </w:pPr>
      <w:r>
        <w:rPr>
          <w:color w:val="000000"/>
        </w:rPr>
        <w:t>2.  Notatkę, o której mowa w ust. 1, sporządza się również w przypadku kontaktów z podmiotami zainteresowanymi nabyciem nieruchomości Skarbu Państwa lub mienia ruchomego o wartości księgowej przekraczającej 10.000 złotych.</w:t>
      </w:r>
    </w:p>
    <w:p w:rsidR="00EB4059" w:rsidRDefault="001439A7">
      <w:pPr>
        <w:spacing w:before="26" w:after="0"/>
      </w:pPr>
      <w:r>
        <w:rPr>
          <w:color w:val="000000"/>
        </w:rPr>
        <w:t>3.  Treść notatki zamieszcza się w terminie 14 dni od dnia przeprowadzenia kontaktu w wewnętrznej sieci elektronicznej w zakładce pod nazwą "kontakty z wykonawcami".</w:t>
      </w:r>
    </w:p>
    <w:p w:rsidR="00EB4059" w:rsidRDefault="001439A7">
      <w:pPr>
        <w:spacing w:before="26" w:after="0"/>
      </w:pPr>
      <w:r>
        <w:rPr>
          <w:color w:val="000000"/>
        </w:rPr>
        <w:t>4.  Obowiązek, o którym mowa w ust. 1 i 3, nie dotyczy: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1) czynności zamawiającego, w związku z postępowaniem o udzielenie zamówienia od chwili zamieszczenia ogłoszenia o postępowaniu lub skierowania zaproszenia do udziału w postępowaniu w trybie negocjacji, do chwili wyboru wykonawcy, o ile czynności te podejmowane są w ramach prac komisji;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2) czynności zamawiającego podejmowanych od chwili wyboru wykonawcy do chwili podpisania umowy oraz czynności związanych z wykonywaniem zawartych umów, o ile czynności te podejmowane są przez uprzednio pisemnie wyznaczone osoby;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3) kontaktów mających charakter oficjalnej korespondencji dokonywanej w formie pisemnej lub realizowanej przy pomocy faksu albo służbowej poczty elektronicznej;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4) kontaktów mających miejsce w związku z realizacją fazy analityczno-koncepcyjnej, o której mowa w przepisach decyzji w spawie pozyskiwania sprzętu wojskowego i usług dla Sił Zbrojnych Rzeczypospolitej Polskiej, o ile kontakty te zostaną opisane w dokumentacji, która powstanie w ramach tej fazy, pisemnej notatce lub protokole spotkania, bądź też ich przebieg zostanie utrwalony za pomocą urządzeń i środków technicznych służących do utrwalania dźwięku albo obrazu i dźwięku;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5) kontaktów dotyczących jedynie zagadnień o charakterze organizacyjno- porządkowym;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lastRenderedPageBreak/>
        <w:t>6) kontaktów o charakterze wyłącznie towarzyskim, odbywających się poza godzinami pracy, w trakcie których nie poruszano żadnych kwestii służbowych;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7) prezentacji i pokazów organizowanych na podstawie § 11 ust. 5;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8) kontaktów realizowanych w celu wykonywania obowiązków przewidzianych w ustawie o niektórych umowach zawieranych w związku z realizacją zamówień o podstawowym znaczeniu dla bezpieczeństwa państwa, o ile kontakty te zostaną opisane w pisemnej notatce lub protokole spotkania, bądź też ich przebieg zostanie utrwalony za pomocą urządzeń i środków technicznych służących do utrwalania dźwięku albo obrazu i dźwięku;</w:t>
      </w:r>
    </w:p>
    <w:p w:rsidR="00EB4059" w:rsidRDefault="001439A7">
      <w:pPr>
        <w:spacing w:before="26" w:after="0"/>
        <w:ind w:left="373"/>
      </w:pPr>
      <w:r>
        <w:rPr>
          <w:color w:val="000000"/>
        </w:rPr>
        <w:t>9) kontaktów realizowanych w celu wykonania obowiązków przewidzianych w przepisach decyzji w spawie zasad funkcjonowania systemu zapewnienia jakości wyrobów obronnych, o ile kontakty te zostaną opisane w pisemnej notatce lub protokole spotkania, bądź też ich przebieg zostanie utrwalony za pomocą urządzeń i środków technicznych służących do utrwalania dźwięku albo obrazu i dźwięku.</w:t>
      </w:r>
    </w:p>
    <w:p w:rsidR="00EB4059" w:rsidRDefault="001439A7">
      <w:pPr>
        <w:spacing w:before="26" w:after="0"/>
      </w:pPr>
      <w:r>
        <w:rPr>
          <w:color w:val="000000"/>
        </w:rPr>
        <w:t>5.  W wewnętrznej sieci elektronicznej nie powinny być zamieszczane notatki sporządzane ze spotkań z wykonawcami, w przypadku gdyby podlegały one szczególnej ochronie przewidzianej w ustawie o ochronie informacji niejawnych.</w:t>
      </w:r>
    </w:p>
    <w:p w:rsidR="00EB4059" w:rsidRDefault="00EB4059">
      <w:pPr>
        <w:spacing w:after="0"/>
      </w:pPr>
    </w:p>
    <w:p w:rsidR="00EB4059" w:rsidRDefault="001439A7">
      <w:pPr>
        <w:spacing w:before="146" w:after="0"/>
        <w:jc w:val="center"/>
      </w:pPr>
      <w:r>
        <w:rPr>
          <w:b/>
          <w:color w:val="000000"/>
        </w:rPr>
        <w:t xml:space="preserve">Rozdział  11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Wykładnia postanowień decyzji</w:t>
      </w:r>
    </w:p>
    <w:p w:rsidR="00EB4059" w:rsidRDefault="001439A7">
      <w:pPr>
        <w:spacing w:before="26" w:after="0"/>
      </w:pPr>
      <w:r>
        <w:rPr>
          <w:b/>
          <w:color w:val="000000"/>
        </w:rPr>
        <w:t xml:space="preserve">§  15.  </w:t>
      </w:r>
    </w:p>
    <w:p w:rsidR="00EB4059" w:rsidRDefault="001439A7">
      <w:pPr>
        <w:spacing w:before="26" w:after="0"/>
      </w:pPr>
      <w:r>
        <w:rPr>
          <w:color w:val="000000"/>
        </w:rPr>
        <w:t>1.    Podmioty zainteresowane mogą zwrócić się z pisemnym wnioskiem do dyrektora komórki organizacyjnej Ministerstwa właściwej dla spraw procedur antykorupcyjnych o wydanie pisemnej opinii w sprawie interpretacji postanowień zawartych w decyzji, zwanej dalej "opinią,</w:t>
      </w:r>
    </w:p>
    <w:p w:rsidR="00EB4059" w:rsidRDefault="001439A7">
      <w:pPr>
        <w:spacing w:before="26" w:after="0"/>
      </w:pPr>
      <w:r>
        <w:rPr>
          <w:color w:val="000000"/>
        </w:rPr>
        <w:t>2.  Podmiot wnioskujący może zastrzec we wniosku, o którym mowa w ust. 1, anonimizację danych osobowych.</w:t>
      </w:r>
    </w:p>
    <w:p w:rsidR="00EB4059" w:rsidRDefault="001439A7">
      <w:pPr>
        <w:spacing w:before="26" w:after="0"/>
      </w:pPr>
      <w:r>
        <w:rPr>
          <w:color w:val="000000"/>
        </w:rPr>
        <w:t>3.  Opinia ma charakter wiążący dla wszystkich komórek i jednostek organizacyjnych.</w:t>
      </w:r>
    </w:p>
    <w:p w:rsidR="00EB4059" w:rsidRDefault="001439A7">
      <w:pPr>
        <w:spacing w:before="26" w:after="0"/>
      </w:pPr>
      <w:r>
        <w:rPr>
          <w:color w:val="000000"/>
        </w:rPr>
        <w:t>4.    Dyrektor komórki organizacyjnej Ministerstwa właściwej dla spraw procedur antykorupcyjnych zamieszcza opinię w wewnętrznej sieci elektronicznej (intranet), w zakładce "kontakty z wykonawcami.</w:t>
      </w:r>
    </w:p>
    <w:p w:rsidR="00EB4059" w:rsidRDefault="001439A7">
      <w:pPr>
        <w:spacing w:before="26" w:after="0"/>
      </w:pPr>
      <w:r>
        <w:rPr>
          <w:color w:val="000000"/>
        </w:rPr>
        <w:t>5.    Dyrektor, o którym mowa w ust. 4, może odmówić wydania opinii w sprawach, które były już przedmiotem rozstrzygnięcia lub, w których stan faktyczny ma charakter analogiczny do uprzednio opiniowanej sprawy.</w:t>
      </w:r>
    </w:p>
    <w:p w:rsidR="00EB4059" w:rsidRDefault="00EB4059">
      <w:pPr>
        <w:spacing w:before="80" w:after="0"/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3533F7" w:rsidRDefault="003533F7">
      <w:pPr>
        <w:spacing w:before="80" w:after="0"/>
        <w:jc w:val="center"/>
        <w:rPr>
          <w:b/>
          <w:color w:val="000000"/>
        </w:rPr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EB4059" w:rsidRDefault="001439A7">
      <w:pPr>
        <w:spacing w:before="80" w:after="0"/>
        <w:jc w:val="center"/>
      </w:pPr>
      <w:r>
        <w:rPr>
          <w:b/>
          <w:color w:val="000000"/>
        </w:rPr>
        <w:lastRenderedPageBreak/>
        <w:t xml:space="preserve">Załącznik Nr  1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WZÓR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ZAPYTANIE</w:t>
      </w:r>
    </w:p>
    <w:p w:rsidR="00EB4059" w:rsidRDefault="001439A7">
      <w:pPr>
        <w:spacing w:after="0"/>
        <w:jc w:val="center"/>
      </w:pPr>
      <w:r>
        <w:rPr>
          <w:b/>
          <w:color w:val="000000"/>
        </w:rPr>
        <w:t>zapytania kierowanego do wykonawcy - organizatora przedsięwzięcia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(miejscowość, data)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(imię i nazwisko lub nazwa komórki/jednostki organizacyjnej kierującej zapytanie)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(niezbędne dane kontaktowe)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(dane wykonawcy)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W związku ze skierowanym zaproszeniem do udziału Ministerstwa Obrony Narodowej/Sił Zbrojnych Rzeczypospolitej Polskiej w przedsięwzięciu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(nazwa, tytuł przedsięwzięcia)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uprzejmie proszę o przekazanie szczegółowych informacji, które umożliwią podjęcie decyzji, co do udziału w tym przedsięwzięciu.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W związku z tym proszę o: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1) wskazanie organizatora oraz osób zarządzających przedsięwzięciem;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2) szczegółowe określenie celu przedsięwzięcia;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3) szczegółowe określenie proponowanej formy zaangażowania się jednostek lub przedstawicieli Ministerstwa Obrony Narodowej lub Sił Zbrojnych Rzeczypospolitej Polskiej;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4) szczegółowe przedstawienie programu;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5) przedstawienie listy współorganizatorów, partnerów, patronów, sponsorów, członków komitetów honorowych lub organizacyjnych oraz listy innych osób prawnych i fizycznych, których nazwy (nazwiska), logo, znaki towarowe będą publikowane lub promowane w związku z przedsięwzięciem.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(data, czytelny podpis kierującego zapytanie)</w:t>
      </w:r>
    </w:p>
    <w:p w:rsidR="00EB4059" w:rsidRDefault="00EB4059">
      <w:pPr>
        <w:spacing w:before="80" w:after="0"/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3533F7" w:rsidRDefault="003533F7">
      <w:pPr>
        <w:spacing w:before="80" w:after="0"/>
        <w:jc w:val="center"/>
        <w:rPr>
          <w:b/>
          <w:color w:val="000000"/>
        </w:rPr>
      </w:pPr>
    </w:p>
    <w:p w:rsidR="001439A7" w:rsidRDefault="001439A7">
      <w:pPr>
        <w:spacing w:before="80" w:after="0"/>
        <w:jc w:val="center"/>
        <w:rPr>
          <w:b/>
          <w:color w:val="000000"/>
        </w:rPr>
      </w:pPr>
    </w:p>
    <w:p w:rsidR="00EB4059" w:rsidRDefault="001439A7">
      <w:pPr>
        <w:spacing w:before="80" w:after="0"/>
        <w:jc w:val="center"/>
      </w:pPr>
      <w:r>
        <w:rPr>
          <w:b/>
          <w:color w:val="000000"/>
        </w:rPr>
        <w:lastRenderedPageBreak/>
        <w:t xml:space="preserve">Załącznik Nr  2 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WZÓR</w:t>
      </w:r>
    </w:p>
    <w:p w:rsidR="00EB4059" w:rsidRDefault="001439A7">
      <w:pPr>
        <w:spacing w:before="25" w:after="0"/>
        <w:jc w:val="center"/>
      </w:pPr>
      <w:r>
        <w:rPr>
          <w:b/>
          <w:color w:val="000000"/>
        </w:rPr>
        <w:t>Notatka z organizacji przedsięwzięcia dotyczącego sprzętu wojskowego</w:t>
      </w:r>
    </w:p>
    <w:p w:rsidR="00EB4059" w:rsidRDefault="001439A7">
      <w:pPr>
        <w:spacing w:after="0"/>
        <w:jc w:val="center"/>
      </w:pPr>
      <w:r>
        <w:rPr>
          <w:b/>
          <w:color w:val="000000"/>
        </w:rPr>
        <w:t>Notatki na temat organizacji przedsięwzięcia dotyczącego sprzętu wojskowego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NAZWA KOMÓRKI.............................................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(miejscowość, data)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LUB JEDNOSTKI ORGANIZACYJNEJ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</w:t>
      </w:r>
      <w:r>
        <w:rPr>
          <w:b/>
          <w:color w:val="000000"/>
        </w:rPr>
        <w:t>DYREKTOR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</w:t>
      </w:r>
      <w:r>
        <w:rPr>
          <w:b/>
          <w:color w:val="000000"/>
        </w:rPr>
        <w:t>DEPARTAMENTU POLITYKI ZBROJENIOWEJ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</w:t>
      </w:r>
      <w:r>
        <w:rPr>
          <w:b/>
          <w:color w:val="000000"/>
        </w:rPr>
        <w:t>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1. Organizator przedsięwzięcia: .................................................................................................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B4059" w:rsidRDefault="001439A7" w:rsidP="001439A7">
      <w:pPr>
        <w:spacing w:before="25" w:after="0"/>
      </w:pPr>
      <w:r>
        <w:rPr>
          <w:color w:val="000000"/>
        </w:rPr>
        <w:t>2. Rodzaj przedsięwzięcia: ................................................................................................................................................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Miejsce: 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Data: 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3. Program przedsięwzięcia: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4. Biorący udział</w:t>
      </w:r>
      <w:r>
        <w:rPr>
          <w:color w:val="000000"/>
          <w:vertAlign w:val="superscript"/>
        </w:rPr>
        <w:t xml:space="preserve"> (</w:t>
      </w:r>
      <w:r>
        <w:rPr>
          <w:color w:val="000000"/>
        </w:rPr>
        <w:t xml:space="preserve">  :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5. Sprzęt wojskowy wykorzystany podczas przedsięwzięcia: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6. Wnioski</w:t>
      </w:r>
      <w:r>
        <w:rPr>
          <w:color w:val="000000"/>
          <w:vertAlign w:val="superscript"/>
        </w:rPr>
        <w:t xml:space="preserve"> (</w:t>
      </w:r>
      <w:r>
        <w:rPr>
          <w:color w:val="000000"/>
        </w:rPr>
        <w:t xml:space="preserve">  :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EB4059" w:rsidRDefault="001439A7">
      <w:pPr>
        <w:spacing w:before="25" w:after="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1439A7" w:rsidRDefault="001439A7">
      <w:pPr>
        <w:spacing w:before="25" w:after="0"/>
        <w:jc w:val="both"/>
      </w:pPr>
    </w:p>
    <w:p w:rsidR="00EB4059" w:rsidRDefault="001439A7">
      <w:pPr>
        <w:spacing w:before="25" w:after="0"/>
        <w:jc w:val="both"/>
      </w:pPr>
      <w:r>
        <w:rPr>
          <w:color w:val="000000"/>
        </w:rPr>
        <w:t> ..................................................</w:t>
      </w:r>
    </w:p>
    <w:p w:rsidR="00EB4059" w:rsidRDefault="001439A7">
      <w:pPr>
        <w:spacing w:before="25" w:after="0"/>
        <w:jc w:val="both"/>
      </w:pPr>
      <w:r>
        <w:rPr>
          <w:color w:val="000000"/>
        </w:rPr>
        <w:t> (podpis dyrektora</w:t>
      </w:r>
      <w:r>
        <w:rPr>
          <w:color w:val="000000"/>
          <w:vertAlign w:val="superscript"/>
        </w:rPr>
        <w:t xml:space="preserve"> (</w:t>
      </w:r>
      <w:r>
        <w:rPr>
          <w:color w:val="000000"/>
        </w:rPr>
        <w:t xml:space="preserve">  )</w:t>
      </w:r>
    </w:p>
    <w:sectPr w:rsidR="00EB4059" w:rsidSect="006177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66B" w:rsidRDefault="00C4466B" w:rsidP="006177F2">
      <w:pPr>
        <w:spacing w:after="0" w:line="240" w:lineRule="auto"/>
      </w:pPr>
      <w:r>
        <w:separator/>
      </w:r>
    </w:p>
  </w:endnote>
  <w:endnote w:type="continuationSeparator" w:id="0">
    <w:p w:rsidR="00C4466B" w:rsidRDefault="00C4466B" w:rsidP="00617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043" w:rsidRDefault="00E170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509341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3533F7" w:rsidRDefault="003533F7" w:rsidP="003533F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61F1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61F1D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3533F7" w:rsidRDefault="003533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043" w:rsidRDefault="00E170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66B" w:rsidRDefault="00C4466B" w:rsidP="006177F2">
      <w:pPr>
        <w:spacing w:after="0" w:line="240" w:lineRule="auto"/>
      </w:pPr>
      <w:r>
        <w:separator/>
      </w:r>
    </w:p>
  </w:footnote>
  <w:footnote w:type="continuationSeparator" w:id="0">
    <w:p w:rsidR="00C4466B" w:rsidRDefault="00C4466B" w:rsidP="00617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043" w:rsidRDefault="00E170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_GoBack"/>
  <w:bookmarkEnd w:id="0"/>
  <w:p w:rsidR="006177F2" w:rsidRDefault="006177F2" w:rsidP="006177F2">
    <w:pPr>
      <w:spacing w:line="264" w:lineRule="aut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1425"/>
              <wp:effectExtent l="0" t="0" r="0" b="0"/>
              <wp:wrapNone/>
              <wp:docPr id="1" name="Prostokąt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142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4D0CCF7" id="Prostokąt 222" o:spid="_x0000_s1026" style="position:absolute;margin-left:0;margin-top:0;width:563.65pt;height:797.7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" filled="f" strokecolor="#747070 [1614]" strokeweight="1.25pt">
              <v:path arrowok="t"/>
              <w10:wrap anchorx="page" anchory="page"/>
            </v:rect>
          </w:pict>
        </mc:Fallback>
      </mc:AlternateContent>
    </w:r>
    <w:r>
      <w:rPr>
        <w:color w:val="4472C4" w:themeColor="accent1"/>
        <w:sz w:val="20"/>
        <w:szCs w:val="20"/>
      </w:rPr>
      <w:t xml:space="preserve"> </w:t>
    </w:r>
    <w:sdt>
      <w:sdtPr>
        <w:rPr>
          <w:rFonts w:ascii="Arial" w:hAnsi="Arial" w:cs="Arial"/>
          <w:szCs w:val="24"/>
        </w:rPr>
        <w:alias w:val="Tytuł"/>
        <w:id w:val="15524250"/>
        <w:placeholder>
          <w:docPart w:val="AADF4A4379744202967348188689DF8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037C5">
          <w:rPr>
            <w:rFonts w:ascii="Arial" w:hAnsi="Arial" w:cs="Arial"/>
            <w:szCs w:val="24"/>
          </w:rPr>
          <w:t xml:space="preserve">Załącznik nr </w:t>
        </w:r>
        <w:r w:rsidR="00E17043">
          <w:rPr>
            <w:rFonts w:ascii="Arial" w:hAnsi="Arial" w:cs="Arial"/>
            <w:szCs w:val="24"/>
          </w:rPr>
          <w:t>6.</w:t>
        </w:r>
        <w:r w:rsidR="001037C5">
          <w:rPr>
            <w:rFonts w:ascii="Arial" w:hAnsi="Arial" w:cs="Arial"/>
            <w:szCs w:val="24"/>
          </w:rPr>
          <w:t>4</w:t>
        </w:r>
        <w:r w:rsidR="00E17043">
          <w:rPr>
            <w:rFonts w:ascii="Arial" w:hAnsi="Arial" w:cs="Arial"/>
            <w:szCs w:val="24"/>
          </w:rPr>
          <w:t xml:space="preserve"> do SWZ</w:t>
        </w:r>
      </w:sdtContent>
    </w:sdt>
  </w:p>
  <w:p w:rsidR="006177F2" w:rsidRDefault="006177F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043" w:rsidRDefault="00E170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E52A74"/>
    <w:multiLevelType w:val="multilevel"/>
    <w:tmpl w:val="A6106712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059"/>
    <w:rsid w:val="001037C5"/>
    <w:rsid w:val="00136F5B"/>
    <w:rsid w:val="001439A7"/>
    <w:rsid w:val="002D48EF"/>
    <w:rsid w:val="003478AF"/>
    <w:rsid w:val="003533F7"/>
    <w:rsid w:val="004C4C66"/>
    <w:rsid w:val="00507108"/>
    <w:rsid w:val="006177F2"/>
    <w:rsid w:val="00695C47"/>
    <w:rsid w:val="007B7377"/>
    <w:rsid w:val="009A392D"/>
    <w:rsid w:val="00A1742C"/>
    <w:rsid w:val="00C4466B"/>
    <w:rsid w:val="00E17043"/>
    <w:rsid w:val="00E3433B"/>
    <w:rsid w:val="00E61F1D"/>
    <w:rsid w:val="00EB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E081A"/>
  <w15:docId w15:val="{9BF30731-5DB2-4377-828D-756B923F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Stopka">
    <w:name w:val="footer"/>
    <w:basedOn w:val="Normalny"/>
    <w:link w:val="StopkaZnak"/>
    <w:uiPriority w:val="99"/>
    <w:unhideWhenUsed/>
    <w:rsid w:val="00617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77F2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7F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ADF4A4379744202967348188689DF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C2BD9F-E55E-48D2-8B2E-655F6389113E}"/>
      </w:docPartPr>
      <w:docPartBody>
        <w:p w:rsidR="00163B25" w:rsidRDefault="00EC55B0" w:rsidP="00EC55B0">
          <w:pPr>
            <w:pStyle w:val="AADF4A4379744202967348188689DF85"/>
          </w:pPr>
          <w:r>
            <w:rPr>
              <w:color w:val="4472C4" w:themeColor="accent1"/>
              <w:sz w:val="20"/>
              <w:szCs w:val="2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5B0"/>
    <w:rsid w:val="00163B25"/>
    <w:rsid w:val="003F5294"/>
    <w:rsid w:val="004B108F"/>
    <w:rsid w:val="00EC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ADF4A4379744202967348188689DF85">
    <w:name w:val="AADF4A4379744202967348188689DF85"/>
    <w:rsid w:val="00EC55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AE31359-AD27-4F71-BEA6-334BDC31016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4041</Words>
  <Characters>24248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Umowy</vt:lpstr>
    </vt:vector>
  </TitlesOfParts>
  <Company>MON</Company>
  <LinksUpToDate>false</LinksUpToDate>
  <CharactersWithSpaces>28233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6.4 do SWZ</dc:title>
  <dc:creator>Karmel Aleksandra</dc:creator>
  <cp:lastModifiedBy>Stypułkowska Malwina</cp:lastModifiedBy>
  <cp:revision>2</cp:revision>
  <cp:lastPrinted>2023-10-05T10:32:00Z</cp:lastPrinted>
  <dcterms:created xsi:type="dcterms:W3CDTF">2024-09-11T06:23:00Z</dcterms:created>
  <dcterms:modified xsi:type="dcterms:W3CDTF">2024-09-11T06:23:00Z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71411684-f98e-4f12-b21d-279f4c8cb5b2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ClsUserRVM">
    <vt:lpwstr>[]</vt:lpwstr>
  </property>
  <property fmtid="{D5CDD505-2E9C-101B-9397-08002B2CF9AE}" pid="5" name="bjSaver">
    <vt:lpwstr>nOEBhgO/B+U2x3wEyZ7ETKJYdgGICPXN</vt:lpwstr>
  </property>
  <property fmtid="{D5CDD505-2E9C-101B-9397-08002B2CF9AE}" pid="6" name="s5636:Creator type=author">
    <vt:lpwstr>Karmel Aleksandra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10.11.187.35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