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08</w:t>
      </w:r>
      <w:r>
        <w:t>.0</w:t>
      </w:r>
      <w:r>
        <w:rPr>
          <w:rFonts w:hint="default"/>
          <w:lang w:val="pl-PL"/>
        </w:rPr>
        <w:t>2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WTI.271.2.</w:t>
      </w:r>
      <w:r>
        <w:rPr>
          <w:rFonts w:hint="default" w:cs="Times New Roman"/>
          <w:b/>
          <w:color w:val="000000"/>
          <w:sz w:val="24"/>
          <w:szCs w:val="24"/>
          <w:lang w:val="pl-PL"/>
        </w:rPr>
        <w:t>1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hint="default" w:cs="Times New Roman"/>
          <w:b/>
          <w:color w:val="000000"/>
          <w:sz w:val="24"/>
          <w:szCs w:val="24"/>
          <w:lang w:val="pl-PL"/>
        </w:rPr>
        <w:t>4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.ZP</w:t>
      </w: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w postępowaniu pod nazwą: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</w:p>
    <w:p>
      <w:pPr>
        <w:pStyle w:val="5"/>
        <w:spacing w:line="200" w:lineRule="atLeast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tabs>
          <w:tab w:val="left" w:pos="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„Budowa świetlicy wiejskiej dla sołectwa Brzozówka”.</w:t>
      </w: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INTER-NOVA Sp. z o.o.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Al. Roździeńskiego 170 </w:t>
            </w:r>
          </w:p>
          <w:p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40-203 Katowice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1.881.934,45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SKMP Sp. z o.o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Graniczna 258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yellow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30-091 Michałowice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 w:val="0"/>
                <w:color w:val="000000" w:themeColor="text1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yellow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1.180.800,00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FRANCBUD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ul. Przecznica 17 D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32-566 Poręba Żegoty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1.364.654,31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Konsorcjum: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ETNA Spółka z ograniczoną odpowiedzialnością (LIDER),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ETNA Spółka z ograniczoną</w:t>
            </w:r>
          </w:p>
          <w:p>
            <w:pPr>
              <w:pStyle w:val="5"/>
              <w:numPr>
                <w:numId w:val="0"/>
              </w:numPr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odpowiedzialnością Spółka</w:t>
            </w:r>
          </w:p>
          <w:p>
            <w:pPr>
              <w:pStyle w:val="5"/>
              <w:numPr>
                <w:numId w:val="0"/>
              </w:numPr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Komandytowa</w:t>
            </w:r>
          </w:p>
          <w:p>
            <w:pPr>
              <w:pStyle w:val="5"/>
              <w:numPr>
                <w:numId w:val="0"/>
              </w:numPr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Stanisława Wyspiańskiego 48A</w:t>
            </w:r>
          </w:p>
          <w:p>
            <w:pPr>
              <w:pStyle w:val="5"/>
              <w:numPr>
                <w:numId w:val="0"/>
              </w:numPr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32-050 Skawina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1.338.022,05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MONOMER 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ul. Poprzeczna 5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42-300 Myszków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2.032.867,85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Firma Usługowo-Handlowa „NOWIX” Mariusz Nowak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H. Sienkiewicza 7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32-566 Alwernia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1.967.985,23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Konsorcjum firm: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Lider: Stambud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Św. Wojciecha 89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32-085 Modlnica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Partner: 2K-Budownictwo spółka z ograniczoną odpowiedzialnością sp.k.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Św. Wojciecha 89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32-085 Modlnica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1.539.345,79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EMPERBUD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Łęki 70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33-314 Łęki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1.250.000,00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Mirosław Basoń Zakład Usługowo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-Sprzętowy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Kra</w:t>
            </w:r>
            <w:bookmarkStart w:id="0" w:name="_GoBack"/>
            <w:bookmarkEnd w:id="0"/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kowska 59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32-043 Skała 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1.186.957,94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PHU GAWLIK Paweł Gawlik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Oświęcimska 25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32-625 Skidziń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1.864.263,48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MEG DOMY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Bohaterów Warszawy 6/59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 xml:space="preserve">25-394 Kielce 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1.590.837,84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Renart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ul. Króla Kazimierza Wielkiego 88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32-300 Olkusz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  <w:t>1.347.546,20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 xml:space="preserve">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897E0"/>
    <w:multiLevelType w:val="singleLevel"/>
    <w:tmpl w:val="110897E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F2F3F41"/>
    <w:rsid w:val="103F1337"/>
    <w:rsid w:val="151350A2"/>
    <w:rsid w:val="19213E35"/>
    <w:rsid w:val="1CC46B18"/>
    <w:rsid w:val="1EB8717C"/>
    <w:rsid w:val="2B082DDD"/>
    <w:rsid w:val="2B597734"/>
    <w:rsid w:val="2D3657B4"/>
    <w:rsid w:val="379309E2"/>
    <w:rsid w:val="42236F5F"/>
    <w:rsid w:val="4B4A637E"/>
    <w:rsid w:val="59EC3BD8"/>
    <w:rsid w:val="5A75430E"/>
    <w:rsid w:val="712E1836"/>
    <w:rsid w:val="798E267C"/>
    <w:rsid w:val="7E4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63</TotalTime>
  <ScaleCrop>false</ScaleCrop>
  <LinksUpToDate>false</LinksUpToDate>
  <CharactersWithSpaces>1040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2024-02-08T09:45:39Z</cp:lastPrinted>
  <dcterms:modified xsi:type="dcterms:W3CDTF">2024-02-08T10:29:53Z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1045-12.2.0.13431</vt:lpwstr>
  </property>
  <property fmtid="{D5CDD505-2E9C-101B-9397-08002B2CF9AE}" pid="9" name="ICV">
    <vt:lpwstr>DEF2A5A5764E4E108A0EE62ABE6F1790</vt:lpwstr>
  </property>
</Properties>
</file>