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64979414" w:rsidR="00885FCC" w:rsidRPr="00741635" w:rsidRDefault="00885FCC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 w:rsidRPr="00741635">
        <w:rPr>
          <w:rFonts w:ascii="Arial" w:hAnsi="Arial" w:cs="Arial"/>
        </w:rPr>
        <w:tab/>
      </w:r>
      <w:r w:rsidR="00715A17">
        <w:rPr>
          <w:rFonts w:ascii="Arial" w:hAnsi="Arial" w:cs="Arial"/>
          <w:noProof/>
        </w:rPr>
        <w:drawing>
          <wp:inline distT="0" distB="0" distL="0" distR="0" wp14:anchorId="542B3F5D" wp14:editId="314CA661">
            <wp:extent cx="576199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4553299F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B45B2F">
        <w:rPr>
          <w:rFonts w:ascii="Arial" w:hAnsi="Arial" w:cs="Arial"/>
          <w:b/>
          <w:bCs/>
        </w:rPr>
        <w:t>26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624CA6E5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BF1092">
        <w:rPr>
          <w:rFonts w:ascii="Arial" w:hAnsi="Arial" w:cs="Arial"/>
          <w:b/>
        </w:rPr>
        <w:t>Modernizacja części wspólnych Centrum Edukacji Zawodowej i Turystyki przy ul. Gdyń</w:t>
      </w:r>
      <w:r w:rsidR="00EE4BB8">
        <w:rPr>
          <w:rFonts w:ascii="Arial" w:hAnsi="Arial" w:cs="Arial"/>
          <w:b/>
        </w:rPr>
        <w:t xml:space="preserve">skiej </w:t>
      </w:r>
      <w:r w:rsidR="00BF1092">
        <w:rPr>
          <w:rFonts w:ascii="Arial" w:hAnsi="Arial" w:cs="Arial"/>
          <w:b/>
        </w:rPr>
        <w:t>26 w Świnoujściu”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7A33E706" w:rsidR="00F22E30" w:rsidRPr="00F55600" w:rsidRDefault="00BF1092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Świnoujście, czerwiec</w:t>
      </w:r>
      <w:r w:rsidR="00F14FAD" w:rsidRPr="00F55600">
        <w:rPr>
          <w:rFonts w:ascii="Arial" w:hAnsi="Arial" w:cs="Arial"/>
        </w:rPr>
        <w:t xml:space="preserve">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2A6AB4" w:rsidRPr="00F55600">
        <w:rPr>
          <w:rFonts w:ascii="Arial" w:hAnsi="Arial" w:cs="Arial"/>
          <w:bCs/>
          <w:iCs/>
        </w:rPr>
        <w:t>2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Pr="00F55600">
        <w:rPr>
          <w:rFonts w:ascii="Arial" w:hAnsi="Arial" w:cs="Arial"/>
          <w:bCs/>
          <w:iCs/>
        </w:rPr>
        <w:t>r. poz.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2A6AB4" w:rsidRPr="00F55600">
        <w:rPr>
          <w:rFonts w:ascii="Arial" w:hAnsi="Arial" w:cs="Arial"/>
          <w:bCs/>
          <w:iCs/>
        </w:rPr>
        <w:t>1710</w:t>
      </w:r>
      <w:r w:rsidR="0026553E" w:rsidRPr="00F55600">
        <w:rPr>
          <w:rFonts w:ascii="Arial" w:hAnsi="Arial" w:cs="Arial"/>
          <w:bCs/>
          <w:iCs/>
        </w:rPr>
        <w:t xml:space="preserve"> ze zm.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r w:rsidRPr="00F55600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6FD4CB9F" w14:textId="77777777" w:rsidR="00BF1092" w:rsidRPr="00BF1092" w:rsidRDefault="00BF1092" w:rsidP="00583B24">
      <w:pPr>
        <w:pStyle w:val="Akapitzlist"/>
        <w:numPr>
          <w:ilvl w:val="0"/>
          <w:numId w:val="86"/>
        </w:numPr>
        <w:spacing w:line="360" w:lineRule="auto"/>
        <w:ind w:left="307" w:hanging="283"/>
        <w:rPr>
          <w:rFonts w:ascii="Arial" w:hAnsi="Arial" w:cs="Arial"/>
          <w:szCs w:val="24"/>
        </w:rPr>
      </w:pPr>
      <w:r w:rsidRPr="00BF1092">
        <w:rPr>
          <w:rFonts w:ascii="Arial" w:hAnsi="Arial" w:cs="Arial"/>
          <w:szCs w:val="24"/>
        </w:rPr>
        <w:t>Przedmiotem zamówienia jest realizacja robót budowlanych dotyczących modernizacji części wspólnych Centrum Edukacji Zawodowej i Turystyki przy ul. Gdyńskiej 26 w Świnoujściu obejmujących:</w:t>
      </w:r>
    </w:p>
    <w:p w14:paraId="51947D89" w14:textId="77777777" w:rsidR="00BF1092" w:rsidRPr="00BF1092" w:rsidRDefault="00BF1092" w:rsidP="00583B24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szCs w:val="24"/>
        </w:rPr>
      </w:pPr>
      <w:r w:rsidRPr="00BF1092">
        <w:rPr>
          <w:rFonts w:ascii="Arial" w:hAnsi="Arial" w:cs="Arial"/>
          <w:szCs w:val="24"/>
        </w:rPr>
        <w:t>modernizację dwóch  klatek schodowych;</w:t>
      </w:r>
    </w:p>
    <w:p w14:paraId="48A0C477" w14:textId="77777777" w:rsidR="00BF1092" w:rsidRPr="00BF1092" w:rsidRDefault="00BF1092" w:rsidP="00583B24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szCs w:val="24"/>
        </w:rPr>
      </w:pPr>
      <w:r w:rsidRPr="00BF1092">
        <w:rPr>
          <w:rFonts w:ascii="Arial" w:hAnsi="Arial" w:cs="Arial"/>
          <w:szCs w:val="24"/>
        </w:rPr>
        <w:t>montaż sufitów podwieszanych w  korytarzach i innych wybranych pomieszczeniach ;</w:t>
      </w:r>
    </w:p>
    <w:p w14:paraId="5A9DDEF2" w14:textId="77777777" w:rsidR="00BF1092" w:rsidRPr="00BF1092" w:rsidRDefault="00BF1092" w:rsidP="00583B24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szCs w:val="24"/>
        </w:rPr>
      </w:pPr>
      <w:r w:rsidRPr="00BF1092">
        <w:rPr>
          <w:rFonts w:ascii="Arial" w:hAnsi="Arial" w:cs="Arial"/>
          <w:szCs w:val="24"/>
        </w:rPr>
        <w:t>wymianę oświetlenia w korytarzach i na klatkach schodowych;</w:t>
      </w:r>
    </w:p>
    <w:p w14:paraId="28E7C409" w14:textId="2BEFE7BA" w:rsidR="00F14FAD" w:rsidRPr="00BF1092" w:rsidRDefault="00BF1092" w:rsidP="00583B24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szCs w:val="24"/>
        </w:rPr>
      </w:pPr>
      <w:r w:rsidRPr="00BF1092">
        <w:rPr>
          <w:rFonts w:ascii="Arial" w:hAnsi="Arial" w:cs="Arial"/>
          <w:szCs w:val="24"/>
        </w:rPr>
        <w:t xml:space="preserve">towarzyszące roboty malarsko – </w:t>
      </w:r>
      <w:proofErr w:type="spellStart"/>
      <w:r w:rsidRPr="00BF1092">
        <w:rPr>
          <w:rFonts w:ascii="Arial" w:hAnsi="Arial" w:cs="Arial"/>
          <w:szCs w:val="24"/>
        </w:rPr>
        <w:t>szpachlarskie</w:t>
      </w:r>
      <w:proofErr w:type="spellEnd"/>
      <w:r w:rsidRPr="00BF1092">
        <w:rPr>
          <w:rFonts w:ascii="Arial" w:hAnsi="Arial" w:cs="Arial"/>
          <w:szCs w:val="24"/>
        </w:rPr>
        <w:t xml:space="preserve">. </w:t>
      </w:r>
    </w:p>
    <w:p w14:paraId="34565E02" w14:textId="08C41F12" w:rsidR="00F14FAD" w:rsidRPr="00F55600" w:rsidRDefault="00F14FAD" w:rsidP="00254D5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Szczegółowy opis </w:t>
      </w:r>
      <w:r w:rsidR="005D13F3" w:rsidRPr="00F55600">
        <w:rPr>
          <w:rFonts w:ascii="Arial" w:hAnsi="Arial" w:cs="Arial"/>
        </w:rPr>
        <w:t xml:space="preserve">przedmiotu </w:t>
      </w:r>
      <w:r w:rsidRPr="00F55600">
        <w:rPr>
          <w:rFonts w:ascii="Arial" w:hAnsi="Arial" w:cs="Arial"/>
        </w:rPr>
        <w:t xml:space="preserve">zamówienia zawiera </w:t>
      </w:r>
      <w:r w:rsidR="00246338" w:rsidRPr="00F55600">
        <w:rPr>
          <w:rFonts w:ascii="Arial" w:hAnsi="Arial" w:cs="Arial"/>
          <w:b/>
        </w:rPr>
        <w:t>z</w:t>
      </w:r>
      <w:r w:rsidRPr="00F55600">
        <w:rPr>
          <w:rFonts w:ascii="Arial" w:hAnsi="Arial" w:cs="Arial"/>
          <w:b/>
        </w:rPr>
        <w:t>ałącznik nr 6.1</w:t>
      </w:r>
      <w:r w:rsidRPr="00F55600">
        <w:rPr>
          <w:rFonts w:ascii="Arial" w:hAnsi="Arial" w:cs="Arial"/>
        </w:rPr>
        <w:t xml:space="preserve"> </w:t>
      </w:r>
      <w:r w:rsidR="00246338" w:rsidRPr="00F55600">
        <w:rPr>
          <w:rFonts w:ascii="Arial" w:hAnsi="Arial" w:cs="Arial"/>
        </w:rPr>
        <w:t>–</w:t>
      </w:r>
      <w:r w:rsidR="00150CCF">
        <w:rPr>
          <w:rFonts w:ascii="Arial" w:hAnsi="Arial" w:cs="Arial"/>
        </w:rPr>
        <w:t xml:space="preserve"> „Opis Przedmiotu Zamówienia”</w:t>
      </w:r>
    </w:p>
    <w:p w14:paraId="506FD46E" w14:textId="47DEC65D" w:rsidR="003D08E7" w:rsidRPr="00F55600" w:rsidRDefault="003D08E7" w:rsidP="00254D58">
      <w:pPr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Przedmiot zamówienia odpowiada następującym kodom:</w:t>
      </w:r>
    </w:p>
    <w:p w14:paraId="17146F30" w14:textId="77777777" w:rsidR="00B2563F" w:rsidRDefault="00E3407D" w:rsidP="00254D58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F41320" w:rsidRPr="00F41320">
        <w:rPr>
          <w:rFonts w:ascii="Arial" w:hAnsi="Arial" w:cs="Arial"/>
        </w:rPr>
        <w:t>454500006 – roboty budowlane wykończeniowe</w:t>
      </w:r>
      <w:r w:rsidR="00F41320">
        <w:rPr>
          <w:rFonts w:ascii="Arial" w:hAnsi="Arial" w:cs="Arial"/>
        </w:rPr>
        <w:t xml:space="preserve">, </w:t>
      </w:r>
      <w:r w:rsidRPr="00F55600">
        <w:rPr>
          <w:rFonts w:ascii="Arial" w:hAnsi="Arial" w:cs="Arial"/>
        </w:rPr>
        <w:tab/>
      </w:r>
    </w:p>
    <w:p w14:paraId="5FD41602" w14:textId="07E5D476" w:rsidR="00D01910" w:rsidRPr="00F55600" w:rsidRDefault="00F41320" w:rsidP="00B2563F">
      <w:pPr>
        <w:spacing w:after="0" w:line="360" w:lineRule="auto"/>
        <w:ind w:left="2553" w:firstLine="283"/>
        <w:rPr>
          <w:rFonts w:ascii="Arial" w:hAnsi="Arial" w:cs="Arial"/>
        </w:rPr>
      </w:pPr>
      <w:r w:rsidRPr="00F41320">
        <w:rPr>
          <w:rFonts w:ascii="Arial" w:hAnsi="Arial" w:cs="Arial"/>
        </w:rPr>
        <w:t>31524000-5 – roboty elektryczne.</w:t>
      </w:r>
      <w:r w:rsidR="00246338" w:rsidRPr="00F55600">
        <w:rPr>
          <w:rFonts w:ascii="Arial" w:hAnsi="Arial" w:cs="Arial"/>
        </w:rPr>
        <w:t xml:space="preserve"> </w:t>
      </w:r>
      <w:r w:rsidR="00D33C75" w:rsidRPr="00F55600">
        <w:rPr>
          <w:rFonts w:ascii="Arial" w:hAnsi="Arial" w:cs="Arial"/>
        </w:rPr>
        <w:t xml:space="preserve"> </w:t>
      </w:r>
    </w:p>
    <w:p w14:paraId="10A60BFC" w14:textId="7CB4AA63" w:rsidR="004578BB" w:rsidRPr="00F55600" w:rsidRDefault="00391B8F" w:rsidP="00254D58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 xml:space="preserve">Stosownie do treści art. </w:t>
      </w:r>
      <w:r w:rsidR="00CE12A0" w:rsidRPr="00F55600">
        <w:rPr>
          <w:rFonts w:ascii="Arial" w:eastAsia="Calibri" w:hAnsi="Arial" w:cs="Arial"/>
        </w:rPr>
        <w:t>95</w:t>
      </w:r>
      <w:r w:rsidRPr="00F55600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</w:t>
      </w:r>
      <w:r w:rsidRPr="00F55600">
        <w:rPr>
          <w:rFonts w:ascii="Arial" w:eastAsia="Calibri" w:hAnsi="Arial" w:cs="Arial"/>
        </w:rPr>
        <w:lastRenderedPageBreak/>
        <w:t xml:space="preserve">na wykonywaniu pracy w rozumieniu art. 22 §1 ustawy z dnia 26 czerwca 1974 r. - Kodeks pracy </w:t>
      </w:r>
      <w:r w:rsidRPr="00F55600">
        <w:rPr>
          <w:rFonts w:ascii="Arial" w:eastAsia="Calibri" w:hAnsi="Arial" w:cs="Arial"/>
          <w:lang w:eastAsia="en-US"/>
        </w:rPr>
        <w:t xml:space="preserve">(Dz. U. z </w:t>
      </w:r>
      <w:r w:rsidR="004578BB" w:rsidRPr="00F55600">
        <w:rPr>
          <w:rFonts w:ascii="Arial" w:eastAsia="Calibri" w:hAnsi="Arial" w:cs="Arial"/>
          <w:lang w:eastAsia="en-US"/>
        </w:rPr>
        <w:t>202</w:t>
      </w:r>
      <w:r w:rsidR="00F619D6" w:rsidRPr="00F55600">
        <w:rPr>
          <w:rFonts w:ascii="Arial" w:eastAsia="Calibri" w:hAnsi="Arial" w:cs="Arial"/>
          <w:lang w:eastAsia="en-US"/>
        </w:rPr>
        <w:t>2</w:t>
      </w:r>
      <w:r w:rsidR="004578BB" w:rsidRPr="00F55600">
        <w:rPr>
          <w:rFonts w:ascii="Arial" w:eastAsia="Calibri" w:hAnsi="Arial" w:cs="Arial"/>
          <w:lang w:eastAsia="en-US"/>
        </w:rPr>
        <w:t xml:space="preserve"> </w:t>
      </w:r>
      <w:r w:rsidRPr="00F55600">
        <w:rPr>
          <w:rFonts w:ascii="Arial" w:eastAsia="Calibri" w:hAnsi="Arial" w:cs="Arial"/>
          <w:lang w:eastAsia="en-US"/>
        </w:rPr>
        <w:t xml:space="preserve">r. poz. </w:t>
      </w:r>
      <w:r w:rsidR="0005453F" w:rsidRPr="00F55600">
        <w:rPr>
          <w:rFonts w:ascii="Arial" w:eastAsia="Calibri" w:hAnsi="Arial" w:cs="Arial"/>
          <w:lang w:eastAsia="en-US"/>
        </w:rPr>
        <w:t>1510</w:t>
      </w:r>
      <w:r w:rsidRPr="00F55600">
        <w:rPr>
          <w:rFonts w:ascii="Arial" w:eastAsia="Calibri" w:hAnsi="Arial" w:cs="Arial"/>
          <w:lang w:eastAsia="en-US"/>
        </w:rPr>
        <w:t>), tj.:</w:t>
      </w:r>
      <w:r w:rsidR="003D08E7" w:rsidRPr="00F55600">
        <w:rPr>
          <w:rFonts w:ascii="Arial" w:hAnsi="Arial" w:cs="Arial"/>
        </w:rPr>
        <w:t xml:space="preserve"> </w:t>
      </w:r>
      <w:r w:rsidR="00E60AAC" w:rsidRPr="00F55600">
        <w:rPr>
          <w:rFonts w:ascii="Arial" w:hAnsi="Arial" w:cs="Arial"/>
        </w:rPr>
        <w:t xml:space="preserve">osoby, które wykonują czynności </w:t>
      </w:r>
      <w:r w:rsidR="001B4079" w:rsidRPr="00F55600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>
        <w:rPr>
          <w:rFonts w:ascii="Arial" w:hAnsi="Arial" w:cs="Arial"/>
        </w:rPr>
        <w:t xml:space="preserve"> (dokumentów</w:t>
      </w:r>
      <w:r w:rsidR="00123399">
        <w:rPr>
          <w:rFonts w:ascii="Arial" w:hAnsi="Arial" w:cs="Arial"/>
        </w:rPr>
        <w:t xml:space="preserve"> zamówienia)</w:t>
      </w:r>
      <w:r w:rsidR="001B4079" w:rsidRPr="00F55600">
        <w:rPr>
          <w:rFonts w:ascii="Arial" w:hAnsi="Arial" w:cs="Arial"/>
        </w:rPr>
        <w:t xml:space="preserve"> i Specyfikacji Technicznych i Odbioru Robót Budowlanych.  </w:t>
      </w:r>
    </w:p>
    <w:p w14:paraId="7816B734" w14:textId="58E6D1D4" w:rsidR="00391B8F" w:rsidRPr="00F55600" w:rsidRDefault="00254D58" w:rsidP="00254D58">
      <w:pPr>
        <w:pStyle w:val="Akapitzlist"/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527D7AB9" w14:textId="04A8AEA5" w:rsidR="00A95923" w:rsidRDefault="0087278B" w:rsidP="00254D5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używ</w:t>
      </w:r>
      <w:r w:rsidR="00063010">
        <w:rPr>
          <w:rFonts w:ascii="Arial" w:hAnsi="Arial" w:cs="Arial"/>
        </w:rPr>
        <w:t xml:space="preserve">ając w dokumentacji projektowej (dokumentach zamówienia) </w:t>
      </w:r>
      <w:r w:rsidRPr="00F55600">
        <w:rPr>
          <w:rFonts w:ascii="Arial" w:hAnsi="Arial" w:cs="Arial"/>
        </w:rPr>
        <w:t>odniesień do 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z dnia 26 lutego 2014 r. w sprawie zamówień publicznych, uchylającą dyrektywę 2004/18/WE ma na myśli normy te lub równoważne.</w:t>
      </w:r>
    </w:p>
    <w:p w14:paraId="56409242" w14:textId="78F35240" w:rsidR="005C607D" w:rsidRPr="00254D58" w:rsidRDefault="005C607D" w:rsidP="005C607D">
      <w:pPr>
        <w:pStyle w:val="Akapitzlist"/>
        <w:numPr>
          <w:ilvl w:val="0"/>
          <w:numId w:val="7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Zamówienie dofinansowane z p</w:t>
      </w:r>
      <w:r w:rsidRPr="005C607D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bookmarkStart w:id="3" w:name="_GoBack"/>
      <w:bookmarkEnd w:id="3"/>
      <w:r w:rsidRPr="005C607D">
        <w:rPr>
          <w:rFonts w:ascii="Arial" w:hAnsi="Arial" w:cs="Arial"/>
        </w:rPr>
        <w:t xml:space="preserve"> pn.  "Modernizacja energetyczna obiektu użyteczności publicznej – Centrum Edukacji Zawodowej i Turystyki 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4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4"/>
    </w:p>
    <w:p w14:paraId="4BB611A8" w14:textId="34E7A607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8C7EB5" w:rsidRPr="00F55600">
        <w:rPr>
          <w:rFonts w:ascii="Arial" w:hAnsi="Arial" w:cs="Arial"/>
        </w:rPr>
        <w:t xml:space="preserve">składanie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31266DE2" w14:textId="64C63331" w:rsidR="004C79BE" w:rsidRPr="004C79BE" w:rsidRDefault="004C79BE" w:rsidP="004C79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C79BE">
        <w:rPr>
          <w:rFonts w:ascii="Arial" w:hAnsi="Arial" w:cs="Arial"/>
          <w:sz w:val="20"/>
          <w:szCs w:val="20"/>
        </w:rPr>
        <w:t>Niniejsze zamówienia dotyczy przede wszystkim montażu sufitów podwieszanych wraz z wymianą oświetlenia, które w większości przypadków stanowią oprawy oświetleniowe przeznaczone do wbudowania w planowane sufity. Zatem obie roboty: montaż sufitów i wymianę oświetlenia należy wykonywać jednocześnie i niemożliwy jest podział zamówienia w tym zakres</w:t>
      </w:r>
      <w:r w:rsidR="00A54A34">
        <w:rPr>
          <w:rFonts w:ascii="Arial" w:hAnsi="Arial" w:cs="Arial"/>
          <w:sz w:val="20"/>
          <w:szCs w:val="20"/>
        </w:rPr>
        <w:t>ie na dwie części. Jednocześnie</w:t>
      </w:r>
      <w:r w:rsidRPr="004C79BE">
        <w:rPr>
          <w:rFonts w:ascii="Arial" w:hAnsi="Arial" w:cs="Arial"/>
          <w:sz w:val="20"/>
          <w:szCs w:val="20"/>
        </w:rPr>
        <w:t xml:space="preserve">, modernizacja klatek schodowych także obejmuje montaż sufitów podwieszanych i wymianę oświetlenia, klatki są połączone z korytarzami, co wymaga jednoczesnego wykonania sufitów podwieszanych wraz z </w:t>
      </w:r>
      <w:r w:rsidR="00A54A34">
        <w:rPr>
          <w:rFonts w:ascii="Arial" w:hAnsi="Arial" w:cs="Arial"/>
          <w:sz w:val="20"/>
          <w:szCs w:val="20"/>
        </w:rPr>
        <w:t> </w:t>
      </w:r>
      <w:r w:rsidRPr="004C79BE">
        <w:rPr>
          <w:rFonts w:ascii="Arial" w:hAnsi="Arial" w:cs="Arial"/>
          <w:sz w:val="20"/>
          <w:szCs w:val="20"/>
        </w:rPr>
        <w:t>wymianą oświetlenia w korytarzach i na klatkach schodowych. Ponadto, podział zamówienia uniemożliwiłby realizację całego przedsięwzięcia w zakładanym terminie ze względu na brak możliwości koordynacji dwóch robót prowadzonych przez dwóch niezależnych wykonawców na bardzo ograniczonej przestrzeni. Dodatkowo wpłynęłoby to niekorzystnie na wartość składanych ofert.</w:t>
      </w:r>
    </w:p>
    <w:p w14:paraId="7D677752" w14:textId="7FB1311D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Pzp.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Pzp</w:t>
      </w:r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4028CEDB" w14:textId="21A86E10" w:rsidR="00A36858" w:rsidRPr="00A36858" w:rsidRDefault="00C94776" w:rsidP="00583B24">
      <w:pPr>
        <w:pStyle w:val="Akapitzlist"/>
        <w:numPr>
          <w:ilvl w:val="0"/>
          <w:numId w:val="80"/>
        </w:numPr>
        <w:spacing w:after="0" w:line="360" w:lineRule="auto"/>
        <w:ind w:left="426" w:hanging="426"/>
        <w:jc w:val="left"/>
        <w:rPr>
          <w:rFonts w:ascii="Arial" w:hAnsi="Arial" w:cs="Arial"/>
          <w:i/>
        </w:rPr>
      </w:pPr>
      <w:r w:rsidRPr="00F55600">
        <w:rPr>
          <w:rFonts w:ascii="Arial" w:hAnsi="Arial" w:cs="Arial"/>
          <w:b/>
        </w:rPr>
        <w:t>Zamawiający wymaga wykonania zamówienia w następujących terminach:</w:t>
      </w:r>
    </w:p>
    <w:p w14:paraId="2379586C" w14:textId="77777777" w:rsidR="00A12CC2" w:rsidRDefault="00A12CC2" w:rsidP="00A12CC2">
      <w:pPr>
        <w:spacing w:after="0" w:line="360" w:lineRule="auto"/>
        <w:ind w:left="284" w:firstLine="142"/>
        <w:jc w:val="left"/>
        <w:rPr>
          <w:rFonts w:ascii="Arial" w:hAnsi="Arial" w:cs="Arial"/>
        </w:rPr>
      </w:pPr>
      <w:r w:rsidRPr="00A12CC2">
        <w:rPr>
          <w:rFonts w:ascii="Arial" w:hAnsi="Arial" w:cs="Arial"/>
        </w:rPr>
        <w:t>Termin rozpoczęcia robót – w</w:t>
      </w:r>
      <w:r>
        <w:rPr>
          <w:rFonts w:ascii="Arial" w:hAnsi="Arial" w:cs="Arial"/>
        </w:rPr>
        <w:t xml:space="preserve"> dniu przekazania terenu budowy;</w:t>
      </w:r>
    </w:p>
    <w:p w14:paraId="548CFE39" w14:textId="40A47C51" w:rsidR="00A12CC2" w:rsidRPr="00435677" w:rsidRDefault="00A12CC2" w:rsidP="00A12CC2">
      <w:pPr>
        <w:spacing w:after="0" w:line="360" w:lineRule="auto"/>
        <w:ind w:left="284" w:firstLine="142"/>
        <w:jc w:val="left"/>
        <w:rPr>
          <w:rFonts w:ascii="Arial" w:hAnsi="Arial" w:cs="Arial"/>
        </w:rPr>
      </w:pPr>
      <w:r w:rsidRPr="00A12CC2">
        <w:rPr>
          <w:rFonts w:ascii="Arial" w:hAnsi="Arial" w:cs="Arial"/>
        </w:rPr>
        <w:t>Termin zakończenia robót – 2 miesiące  od daty przekazania terenu budowy</w:t>
      </w:r>
      <w:r>
        <w:rPr>
          <w:rFonts w:ascii="Arial" w:hAnsi="Arial" w:cs="Arial"/>
        </w:rPr>
        <w:t>.</w:t>
      </w:r>
    </w:p>
    <w:p w14:paraId="768675C8" w14:textId="0DD69511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lastRenderedPageBreak/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F55600" w:rsidRDefault="005022FC" w:rsidP="00254D58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u w:val="single"/>
        </w:rPr>
      </w:pPr>
      <w:r w:rsidRPr="00F55600">
        <w:rPr>
          <w:rFonts w:ascii="Arial" w:hAnsi="Arial" w:cs="Arial"/>
          <w:u w:val="single"/>
        </w:rPr>
        <w:t xml:space="preserve">Minimalny poziom zdolności: </w:t>
      </w:r>
    </w:p>
    <w:p w14:paraId="5E8A0C56" w14:textId="0C673462" w:rsidR="00F65FCE" w:rsidRPr="00F65FCE" w:rsidRDefault="00F65FCE" w:rsidP="00583B24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65FCE">
        <w:rPr>
          <w:rFonts w:ascii="Arial" w:hAnsi="Arial" w:cs="Arial"/>
          <w:bCs/>
        </w:rPr>
        <w:t>Jest ubezpieczony od odpowiedzialności cywilnej w zakresie prowadzonej działalności związanej z przedmiotem zamówienia na sumę gwarancyjną nie niższą niż 500 000,00 (słownie złotych: pięćset tysięcy, 00/100)</w:t>
      </w:r>
      <w:r>
        <w:rPr>
          <w:rFonts w:ascii="Arial" w:hAnsi="Arial" w:cs="Arial"/>
          <w:bCs/>
        </w:rPr>
        <w:t>;</w:t>
      </w:r>
    </w:p>
    <w:p w14:paraId="17B3E3E3" w14:textId="12293CC1" w:rsidR="000624D4" w:rsidRPr="00F65FCE" w:rsidRDefault="00F65FCE" w:rsidP="00583B24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65FCE">
        <w:rPr>
          <w:rFonts w:ascii="Arial" w:hAnsi="Arial" w:cs="Arial"/>
          <w:bCs/>
        </w:rPr>
        <w:t xml:space="preserve">Posiada zdolność kredytową </w:t>
      </w:r>
      <w:r w:rsidR="001E6E82">
        <w:rPr>
          <w:rFonts w:ascii="Arial" w:hAnsi="Arial" w:cs="Arial"/>
          <w:bCs/>
        </w:rPr>
        <w:t>lub</w:t>
      </w:r>
      <w:r w:rsidRPr="00F65FCE">
        <w:rPr>
          <w:rFonts w:ascii="Arial" w:hAnsi="Arial" w:cs="Arial"/>
          <w:bCs/>
        </w:rPr>
        <w:t xml:space="preserve"> środki na rachunku w kwocie 300 000,00 zł </w:t>
      </w:r>
      <w:r>
        <w:rPr>
          <w:rFonts w:ascii="Arial" w:hAnsi="Arial" w:cs="Arial"/>
          <w:bCs/>
        </w:rPr>
        <w:t>.</w:t>
      </w:r>
    </w:p>
    <w:p w14:paraId="08FD0157" w14:textId="28CEF89F" w:rsidR="0061364A" w:rsidRDefault="0061364A" w:rsidP="00BE0349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u w:val="single"/>
        </w:rPr>
      </w:pPr>
      <w:r w:rsidRPr="00F55600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01F3E80F" w14:textId="6845790D" w:rsidR="00583B24" w:rsidRPr="0005326C" w:rsidRDefault="00D86048" w:rsidP="00D86048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hanging="57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83B24" w:rsidRPr="0005326C">
        <w:rPr>
          <w:rFonts w:ascii="Arial" w:hAnsi="Arial" w:cs="Arial"/>
          <w:b/>
          <w:bCs/>
        </w:rPr>
        <w:t>zdolności technicznej lub zawodowej:</w:t>
      </w:r>
    </w:p>
    <w:p w14:paraId="051A2FB1" w14:textId="72C3FD5E" w:rsidR="00583B24" w:rsidRPr="00725527" w:rsidRDefault="00725527" w:rsidP="00725527">
      <w:pPr>
        <w:autoSpaceDE w:val="0"/>
        <w:autoSpaceDN w:val="0"/>
        <w:adjustRightInd w:val="0"/>
        <w:spacing w:after="0" w:line="360" w:lineRule="auto"/>
        <w:ind w:left="426" w:firstLine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</w:t>
      </w:r>
      <w:r w:rsidR="00583B24" w:rsidRPr="00725527">
        <w:rPr>
          <w:rFonts w:ascii="Arial" w:hAnsi="Arial" w:cs="Arial"/>
          <w:bCs/>
          <w:u w:val="single"/>
        </w:rPr>
        <w:t>Minimalny poziom zdolności:</w:t>
      </w:r>
    </w:p>
    <w:p w14:paraId="58A43B2B" w14:textId="77777777" w:rsidR="00583B24" w:rsidRPr="00583B24" w:rsidRDefault="00583B24" w:rsidP="004D7BFC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bCs/>
        </w:rPr>
      </w:pPr>
      <w:r w:rsidRPr="00583B24">
        <w:rPr>
          <w:rFonts w:ascii="Arial" w:hAnsi="Arial" w:cs="Arial"/>
          <w:b/>
          <w:bCs/>
        </w:rPr>
        <w:t>w okresie ostatnich pięciu lat</w:t>
      </w:r>
      <w:r w:rsidRPr="00583B24">
        <w:rPr>
          <w:rFonts w:ascii="Arial" w:hAnsi="Arial" w:cs="Arial"/>
          <w:bCs/>
        </w:rPr>
        <w:t xml:space="preserve"> przed upływem terminu składania ofert a jeżeli okres prowadzenia działalności jest krótszy – w tym okresie, wykonał należycie minimum </w:t>
      </w:r>
      <w:r w:rsidRPr="00583B24">
        <w:rPr>
          <w:rFonts w:ascii="Arial" w:hAnsi="Arial" w:cs="Arial"/>
          <w:b/>
          <w:bCs/>
        </w:rPr>
        <w:t>jedną</w:t>
      </w:r>
      <w:r w:rsidRPr="00583B24">
        <w:rPr>
          <w:rFonts w:ascii="Arial" w:hAnsi="Arial" w:cs="Arial"/>
          <w:bCs/>
        </w:rPr>
        <w:t xml:space="preserve"> robotę odpowiadającą swoim rodzajem i wartością robotom budowlanym stanowiącym przedmiot zamówienia. </w:t>
      </w:r>
    </w:p>
    <w:p w14:paraId="2F7ED55A" w14:textId="7E0FBAA4" w:rsidR="00583B24" w:rsidRPr="00583B24" w:rsidRDefault="00583B24" w:rsidP="00B25DBA">
      <w:p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bCs/>
        </w:rPr>
      </w:pPr>
      <w:r w:rsidRPr="00583B24">
        <w:rPr>
          <w:rFonts w:ascii="Arial" w:hAnsi="Arial" w:cs="Arial"/>
          <w:bCs/>
        </w:rPr>
        <w:t>Przez robotę budowlaną odpowiadającą swoim rodzajem i wartością robotom budowlanym stanowiącym przedmiot zamówienia Zamawiający rozumie robotę polegającą na wykonaniu wewnętrznych robót wykończeniowych w jednym obiekcie w</w:t>
      </w:r>
      <w:r w:rsidR="00EC70E1">
        <w:rPr>
          <w:rFonts w:ascii="Arial" w:hAnsi="Arial" w:cs="Arial"/>
          <w:bCs/>
        </w:rPr>
        <w:t> </w:t>
      </w:r>
      <w:r w:rsidRPr="00583B24">
        <w:rPr>
          <w:rFonts w:ascii="Arial" w:hAnsi="Arial" w:cs="Arial"/>
          <w:bCs/>
        </w:rPr>
        <w:t xml:space="preserve"> ramach jednego zamówienia wraz z wymianą oświetlenia o wartości </w:t>
      </w:r>
      <w:r w:rsidR="001E6E82">
        <w:rPr>
          <w:rFonts w:ascii="Arial" w:hAnsi="Arial" w:cs="Arial"/>
          <w:bCs/>
        </w:rPr>
        <w:t xml:space="preserve">robót </w:t>
      </w:r>
      <w:r w:rsidRPr="00583B24">
        <w:rPr>
          <w:rFonts w:ascii="Arial" w:hAnsi="Arial" w:cs="Arial"/>
          <w:bCs/>
        </w:rPr>
        <w:t>nie mniejszej niż 360 000,</w:t>
      </w:r>
      <w:r w:rsidR="004F472D">
        <w:rPr>
          <w:rFonts w:ascii="Arial" w:hAnsi="Arial" w:cs="Arial"/>
          <w:bCs/>
        </w:rPr>
        <w:t>00</w:t>
      </w:r>
      <w:r w:rsidRPr="00583B24">
        <w:rPr>
          <w:rFonts w:ascii="Arial" w:hAnsi="Arial" w:cs="Arial"/>
          <w:bCs/>
        </w:rPr>
        <w:t xml:space="preserve"> zł brutto</w:t>
      </w:r>
      <w:r w:rsidR="00F40F40">
        <w:rPr>
          <w:rFonts w:ascii="Arial" w:hAnsi="Arial" w:cs="Arial"/>
          <w:bCs/>
        </w:rPr>
        <w:t>;</w:t>
      </w:r>
    </w:p>
    <w:p w14:paraId="2FCBA81A" w14:textId="77777777" w:rsidR="00583B24" w:rsidRPr="00583B24" w:rsidRDefault="00583B24" w:rsidP="00153D3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1560" w:hanging="213"/>
        <w:rPr>
          <w:rFonts w:ascii="Arial" w:hAnsi="Arial" w:cs="Arial"/>
          <w:bCs/>
        </w:rPr>
      </w:pPr>
      <w:r w:rsidRPr="00583B24">
        <w:rPr>
          <w:rFonts w:ascii="Arial" w:hAnsi="Arial" w:cs="Arial"/>
          <w:b/>
          <w:bCs/>
        </w:rPr>
        <w:t xml:space="preserve">dysponuje osobami, które będą skierowane przez Wykonawcę do realizacji zamówienia, </w:t>
      </w:r>
      <w:proofErr w:type="spellStart"/>
      <w:r w:rsidRPr="00583B24">
        <w:rPr>
          <w:rFonts w:ascii="Arial" w:hAnsi="Arial" w:cs="Arial"/>
          <w:b/>
          <w:bCs/>
        </w:rPr>
        <w:t>tj</w:t>
      </w:r>
      <w:proofErr w:type="spellEnd"/>
      <w:r w:rsidRPr="00583B24">
        <w:rPr>
          <w:rFonts w:ascii="Arial" w:hAnsi="Arial" w:cs="Arial"/>
          <w:b/>
          <w:bCs/>
        </w:rPr>
        <w:t>:</w:t>
      </w:r>
    </w:p>
    <w:p w14:paraId="32FCAF15" w14:textId="77777777" w:rsidR="00583B24" w:rsidRPr="00583B24" w:rsidRDefault="00583B24" w:rsidP="00A3569D">
      <w:pPr>
        <w:autoSpaceDE w:val="0"/>
        <w:autoSpaceDN w:val="0"/>
        <w:adjustRightInd w:val="0"/>
        <w:spacing w:after="0" w:line="360" w:lineRule="auto"/>
        <w:ind w:left="426" w:firstLine="1134"/>
        <w:rPr>
          <w:rFonts w:ascii="Arial" w:hAnsi="Arial" w:cs="Arial"/>
          <w:bCs/>
        </w:rPr>
      </w:pPr>
      <w:r w:rsidRPr="00583B24">
        <w:rPr>
          <w:rFonts w:ascii="Arial" w:hAnsi="Arial" w:cs="Arial"/>
          <w:b/>
          <w:bCs/>
        </w:rPr>
        <w:t xml:space="preserve">I </w:t>
      </w:r>
      <w:r w:rsidRPr="00583B24">
        <w:rPr>
          <w:rFonts w:ascii="Arial" w:hAnsi="Arial" w:cs="Arial"/>
          <w:bCs/>
        </w:rPr>
        <w:t xml:space="preserve">- </w:t>
      </w:r>
      <w:r w:rsidRPr="00583B24">
        <w:rPr>
          <w:rFonts w:ascii="Arial" w:hAnsi="Arial" w:cs="Arial"/>
          <w:b/>
          <w:bCs/>
        </w:rPr>
        <w:t>kierownik robót</w:t>
      </w:r>
      <w:r w:rsidRPr="00583B24">
        <w:rPr>
          <w:rFonts w:ascii="Arial" w:hAnsi="Arial" w:cs="Arial"/>
          <w:bCs/>
        </w:rPr>
        <w:t xml:space="preserve"> w specjalności</w:t>
      </w:r>
      <w:r w:rsidRPr="00583B24">
        <w:rPr>
          <w:rFonts w:ascii="Arial" w:hAnsi="Arial" w:cs="Arial"/>
          <w:b/>
          <w:bCs/>
        </w:rPr>
        <w:t xml:space="preserve"> konstrukcyjno-budowlanej </w:t>
      </w:r>
      <w:r w:rsidRPr="00583B24">
        <w:rPr>
          <w:rFonts w:ascii="Arial" w:hAnsi="Arial" w:cs="Arial"/>
          <w:bCs/>
        </w:rPr>
        <w:t>posiadający:</w:t>
      </w:r>
    </w:p>
    <w:p w14:paraId="770D4F81" w14:textId="3887FADE" w:rsidR="00583B24" w:rsidRPr="00DC2014" w:rsidRDefault="00DC2014" w:rsidP="000100C9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843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83B24" w:rsidRPr="00583B24">
        <w:rPr>
          <w:rFonts w:ascii="Arial" w:hAnsi="Arial" w:cs="Arial"/>
          <w:bCs/>
        </w:rPr>
        <w:t xml:space="preserve">uprawnienia budowlane do kierowania robotami budowlanymi w </w:t>
      </w:r>
      <w:r w:rsidR="00A3569D">
        <w:rPr>
          <w:rFonts w:ascii="Arial" w:hAnsi="Arial" w:cs="Arial"/>
          <w:bCs/>
        </w:rPr>
        <w:t> </w:t>
      </w:r>
      <w:r w:rsidR="00583B24" w:rsidRPr="00583B24">
        <w:rPr>
          <w:rFonts w:ascii="Arial" w:hAnsi="Arial" w:cs="Arial"/>
          <w:bCs/>
        </w:rPr>
        <w:t xml:space="preserve">specjalności konstrukcyjno- budowlanej bez ograniczeń lub odpowiadające im uprawnienia wydane na podstawie wcześniej obowiązujących przepisów lub uprawnienia uznane na podstawie </w:t>
      </w:r>
      <w:r w:rsidR="00583B24" w:rsidRPr="00583B24">
        <w:rPr>
          <w:rFonts w:ascii="Arial" w:hAnsi="Arial" w:cs="Arial"/>
          <w:bCs/>
          <w:iCs/>
        </w:rPr>
        <w:t>ustawy z dnia 22 grudnia 2015 r. o zasadach uznawania kwalifikacji zawodowych nabytych w państwach członkowskich Unii Europejsk</w:t>
      </w:r>
      <w:r w:rsidR="004F7BF7">
        <w:rPr>
          <w:rFonts w:ascii="Arial" w:hAnsi="Arial" w:cs="Arial"/>
          <w:bCs/>
          <w:iCs/>
        </w:rPr>
        <w:t>iej (Dz. U. z 2020 r. poz. 220);</w:t>
      </w:r>
    </w:p>
    <w:p w14:paraId="54AFF688" w14:textId="77777777" w:rsidR="00583B24" w:rsidRPr="00583B24" w:rsidRDefault="00583B24" w:rsidP="00DC2014">
      <w:p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b/>
          <w:bCs/>
        </w:rPr>
      </w:pPr>
      <w:r w:rsidRPr="00583B24">
        <w:rPr>
          <w:rFonts w:ascii="Arial" w:hAnsi="Arial" w:cs="Arial"/>
          <w:b/>
          <w:bCs/>
        </w:rPr>
        <w:t>II –kierownik  robót elektrycznych posiadający</w:t>
      </w:r>
    </w:p>
    <w:p w14:paraId="2724C514" w14:textId="7D91A42E" w:rsidR="00583B24" w:rsidRPr="00DC2014" w:rsidRDefault="00583B24" w:rsidP="000100C9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1843" w:hanging="142"/>
        <w:rPr>
          <w:rFonts w:ascii="Arial" w:hAnsi="Arial" w:cs="Arial"/>
        </w:rPr>
      </w:pPr>
      <w:r w:rsidRPr="00DC2014">
        <w:rPr>
          <w:rFonts w:ascii="Arial" w:hAnsi="Arial" w:cs="Arial"/>
          <w:bCs/>
        </w:rPr>
        <w:t>u</w:t>
      </w:r>
      <w:r w:rsidRPr="00DC2014">
        <w:rPr>
          <w:rFonts w:ascii="Arial" w:hAnsi="Arial" w:cs="Arial"/>
        </w:rPr>
        <w:t xml:space="preserve">prawnienia budowlane do kierowania robotami budowlanymi w specjalności instalacyjnej w zakresie sieci, instalacji i urządzeń elektrycznych oraz elektroenergetycznych bez ograniczeń lub odpowiadające im uprawnienia wydane na podstawie wcześniej obowiązujących przepisów lub uprawnienia </w:t>
      </w:r>
      <w:r w:rsidRPr="00DC2014">
        <w:rPr>
          <w:rFonts w:ascii="Arial" w:hAnsi="Arial" w:cs="Arial"/>
        </w:rPr>
        <w:lastRenderedPageBreak/>
        <w:t xml:space="preserve">uznane na podstawie </w:t>
      </w:r>
      <w:r w:rsidRPr="00DC2014">
        <w:rPr>
          <w:rFonts w:ascii="Arial" w:hAnsi="Arial" w:cs="Arial"/>
          <w:iCs/>
        </w:rPr>
        <w:t>ustawy z dnia 22 grudnia 2015 r. o zasadach uznawania kwalifikacji zawodowych nabytych w państwach członkowskich Unii Europejskiej (Dz. U. z 2020 r. poz. 220);</w:t>
      </w:r>
    </w:p>
    <w:p w14:paraId="191C1D2A" w14:textId="3017B099" w:rsidR="00583B24" w:rsidRDefault="00583B24" w:rsidP="00B12589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4EC18C7D" w14:textId="153B258C" w:rsidR="005022FC" w:rsidRPr="001D0675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Pzp</w:t>
      </w:r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lastRenderedPageBreak/>
        <w:t>VII.</w:t>
      </w:r>
      <w:bookmarkStart w:id="7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5"/>
      <w:bookmarkEnd w:id="6"/>
      <w:bookmarkEnd w:id="7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F55600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05571BD2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</w:t>
      </w:r>
      <w:proofErr w:type="spellStart"/>
      <w:r w:rsidR="00CC56C9" w:rsidRPr="00F55600">
        <w:rPr>
          <w:rFonts w:ascii="Arial" w:hAnsi="Arial" w:cs="Arial"/>
        </w:rPr>
        <w:t>mowa</w:t>
      </w:r>
      <w:r w:rsidRPr="00F55600">
        <w:rPr>
          <w:rFonts w:ascii="Arial" w:hAnsi="Arial" w:cs="Arial"/>
        </w:rPr>
        <w:t>w</w:t>
      </w:r>
      <w:proofErr w:type="spellEnd"/>
      <w:r w:rsidRPr="00F55600">
        <w:rPr>
          <w:rFonts w:ascii="Arial" w:hAnsi="Arial" w:cs="Arial"/>
        </w:rPr>
        <w:t xml:space="preserve">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lastRenderedPageBreak/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</w:t>
      </w:r>
      <w:r w:rsidRPr="00E35465">
        <w:rPr>
          <w:rFonts w:ascii="Arial" w:hAnsi="Arial" w:cs="Arial"/>
          <w:bCs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6550C2EC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 ustawy Pzp, tj.:</w:t>
      </w:r>
    </w:p>
    <w:p w14:paraId="3EFBE70D" w14:textId="77777777" w:rsidR="00E87B3A" w:rsidRPr="00F55600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F55600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>kt 6 ustawy Pzp,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 xml:space="preserve">Informacje zawarte w oświadczeniu będą stanowić wstępne </w:t>
      </w:r>
      <w:r w:rsidR="006B29BE" w:rsidRPr="00D253AB">
        <w:rPr>
          <w:rFonts w:ascii="Arial" w:hAnsi="Arial" w:cs="Arial"/>
        </w:rPr>
        <w:lastRenderedPageBreak/>
        <w:t>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31702B6F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28745E">
        <w:rPr>
          <w:rFonts w:ascii="Arial" w:eastAsia="Arial" w:hAnsi="Arial" w:cs="Arial"/>
        </w:rPr>
        <w:t>zez zamawiającego (co najmniej 5</w:t>
      </w:r>
      <w:r w:rsidRPr="00BB2D09">
        <w:rPr>
          <w:rFonts w:ascii="Arial" w:eastAsia="Arial" w:hAnsi="Arial" w:cs="Arial"/>
        </w:rPr>
        <w:t>00 000,00 PLN);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7D547710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7758A1" w:rsidRPr="00F55600">
        <w:rPr>
          <w:rFonts w:ascii="Arial" w:hAnsi="Arial" w:cs="Arial"/>
          <w:shd w:val="clear" w:color="auto" w:fill="FFFFFF"/>
        </w:rPr>
        <w:br/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927F64" w:rsidRPr="00F55600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Wykonawca przystępując do </w:t>
      </w:r>
      <w:r w:rsidRPr="00F55600">
        <w:rPr>
          <w:rFonts w:ascii="Arial" w:eastAsiaTheme="minorHAnsi" w:hAnsi="Arial" w:cs="Arial"/>
          <w:color w:val="000000"/>
          <w:lang w:eastAsia="en-US"/>
        </w:rPr>
        <w:lastRenderedPageBreak/>
        <w:t>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Pzp,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(w sprawach formalno-prawnych)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(w sprawach merytorycznych)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48F82D40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 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9"/>
    <w:bookmarkEnd w:id="20"/>
    <w:bookmarkEnd w:id="21"/>
    <w:bookmarkEnd w:id="22"/>
    <w:p w14:paraId="6222901A" w14:textId="16170371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BC536F">
        <w:rPr>
          <w:rFonts w:ascii="Arial" w:hAnsi="Arial" w:cs="Arial"/>
        </w:rPr>
        <w:t xml:space="preserve"> 21.07.2023</w:t>
      </w:r>
      <w:r w:rsidR="008960E4" w:rsidRPr="008960E4">
        <w:rPr>
          <w:rFonts w:ascii="Arial" w:hAnsi="Arial" w:cs="Arial"/>
        </w:rPr>
        <w:t xml:space="preserve"> </w:t>
      </w:r>
      <w:r w:rsidR="00342699" w:rsidRPr="008960E4">
        <w:rPr>
          <w:rFonts w:ascii="Arial" w:hAnsi="Arial" w:cs="Arial"/>
        </w:rPr>
        <w:t>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Pzp.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79D4623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 trzecich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dokument potwierdzający wniesienie wadium,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E08B29F" w:rsidR="006B2ED9" w:rsidRPr="00F55600" w:rsidRDefault="00984DC3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wypełniona</w:t>
      </w:r>
      <w:r w:rsidR="006B2ED9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tabela elementów rozliczeniowych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Pzp)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</w:t>
      </w:r>
      <w:r w:rsidRPr="00F55600">
        <w:rPr>
          <w:rFonts w:ascii="Arial" w:hAnsi="Arial" w:cs="Arial"/>
          <w:bCs/>
          <w:snapToGrid w:val="0"/>
        </w:rPr>
        <w:lastRenderedPageBreak/>
        <w:t>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r w:rsidRPr="00F55600">
        <w:rPr>
          <w:rFonts w:ascii="Arial" w:hAnsi="Arial" w:cs="Arial"/>
          <w:bCs/>
          <w:snapToGrid w:val="0"/>
        </w:rPr>
        <w:t>Pzp.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281A9D80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 złożyć do</w:t>
      </w:r>
      <w:r w:rsidR="009307F4">
        <w:rPr>
          <w:rFonts w:ascii="Arial" w:hAnsi="Arial" w:cs="Arial"/>
        </w:rPr>
        <w:t xml:space="preserve"> </w:t>
      </w:r>
      <w:r w:rsidR="00BC536F">
        <w:rPr>
          <w:rFonts w:ascii="Arial" w:hAnsi="Arial" w:cs="Arial"/>
          <w:b/>
        </w:rPr>
        <w:t>22.06.2023</w:t>
      </w:r>
      <w:r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  <w:b/>
        </w:rPr>
        <w:t>roku</w:t>
      </w:r>
      <w:r w:rsidR="008B30A9" w:rsidRPr="00F55600">
        <w:rPr>
          <w:rFonts w:ascii="Arial" w:hAnsi="Arial" w:cs="Arial"/>
          <w:b/>
        </w:rPr>
        <w:t xml:space="preserve"> do godziny </w:t>
      </w:r>
      <w:r w:rsidR="00C654C1" w:rsidRPr="00F55600">
        <w:rPr>
          <w:rFonts w:ascii="Arial" w:hAnsi="Arial" w:cs="Arial"/>
          <w:b/>
        </w:rPr>
        <w:t>12:00</w:t>
      </w:r>
      <w:r w:rsidR="001D2BBD" w:rsidRPr="00F55600"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0C9EB668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9A10B4">
        <w:rPr>
          <w:rFonts w:ascii="Arial" w:hAnsi="Arial" w:cs="Arial"/>
        </w:rPr>
        <w:t>w</w:t>
      </w:r>
      <w:r w:rsidR="00BC536F">
        <w:rPr>
          <w:rFonts w:ascii="Arial" w:hAnsi="Arial" w:cs="Arial"/>
          <w:b/>
          <w:bCs/>
        </w:rPr>
        <w:t xml:space="preserve"> 22.06.2023 </w:t>
      </w:r>
      <w:r w:rsidR="005B09B9">
        <w:rPr>
          <w:rFonts w:ascii="Arial" w:hAnsi="Arial" w:cs="Arial"/>
          <w:b/>
          <w:bCs/>
        </w:rPr>
        <w:t>roku</w:t>
      </w:r>
      <w:r w:rsidR="00DB65DD" w:rsidRPr="00F55600">
        <w:rPr>
          <w:rFonts w:ascii="Arial" w:hAnsi="Arial" w:cs="Arial"/>
          <w:b/>
          <w:bCs/>
        </w:rPr>
        <w:t xml:space="preserve"> </w:t>
      </w:r>
      <w:r w:rsidR="00C654C1" w:rsidRPr="00F55600">
        <w:rPr>
          <w:rFonts w:ascii="Arial" w:hAnsi="Arial" w:cs="Arial"/>
          <w:b/>
          <w:bCs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Pzp.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40848084" w14:textId="5D0EBDF4" w:rsidR="00C85E9F" w:rsidRPr="00C85E9F" w:rsidRDefault="00C85E9F" w:rsidP="00C85E9F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85E9F">
        <w:rPr>
          <w:rFonts w:ascii="Arial" w:hAnsi="Arial" w:cs="Arial"/>
        </w:rPr>
        <w:t>Zamawiający wymaga określenia w ofercie wynagrodzenia ryczałtowego za realizację przedmiotu zamówienia w złotych polskich z dokładnością do pełnych groszy.</w:t>
      </w:r>
    </w:p>
    <w:p w14:paraId="36432FE1" w14:textId="6EB949D0" w:rsidR="00C85E9F" w:rsidRPr="00C85E9F" w:rsidRDefault="00C85E9F" w:rsidP="00C85E9F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5E9F">
        <w:rPr>
          <w:rFonts w:ascii="Arial" w:hAnsi="Arial" w:cs="Arial"/>
        </w:rPr>
        <w:t>Cenę oferty należy obliczyć wypełniając tab</w:t>
      </w:r>
      <w:r>
        <w:rPr>
          <w:rFonts w:ascii="Arial" w:hAnsi="Arial" w:cs="Arial"/>
        </w:rPr>
        <w:t xml:space="preserve">ele </w:t>
      </w:r>
      <w:r w:rsidRPr="00144B3E">
        <w:rPr>
          <w:rFonts w:ascii="Arial" w:hAnsi="Arial" w:cs="Arial"/>
        </w:rPr>
        <w:t>elementów rozliczeniowych (TER – roboty budowlane, TER – instalacje elektryczne</w:t>
      </w:r>
      <w:r w:rsidR="00033E08" w:rsidRPr="00144B3E">
        <w:rPr>
          <w:rFonts w:ascii="Arial" w:hAnsi="Arial" w:cs="Arial"/>
        </w:rPr>
        <w:t xml:space="preserve">) </w:t>
      </w:r>
      <w:r w:rsidR="00144B3E">
        <w:rPr>
          <w:rFonts w:ascii="Arial" w:hAnsi="Arial" w:cs="Arial"/>
        </w:rPr>
        <w:t>stanowiącą załącznik nr 6.2</w:t>
      </w:r>
      <w:r w:rsidRPr="00C85E9F">
        <w:rPr>
          <w:rFonts w:ascii="Arial" w:hAnsi="Arial" w:cs="Arial"/>
        </w:rPr>
        <w:t xml:space="preserve"> do SWZ. Sumę wartości b</w:t>
      </w:r>
      <w:r w:rsidR="0000602F">
        <w:rPr>
          <w:rFonts w:ascii="Arial" w:hAnsi="Arial" w:cs="Arial"/>
        </w:rPr>
        <w:t>rutto z obu tabel należy wpisać</w:t>
      </w:r>
      <w:r w:rsidRPr="00C85E9F">
        <w:rPr>
          <w:rFonts w:ascii="Arial" w:hAnsi="Arial" w:cs="Arial"/>
        </w:rPr>
        <w:t xml:space="preserve"> w formularzu ofertowym jako cenę oferty brutto.  Cenę oferty należy podać jako cenę ryczałtową  brutto, tj. z uwzględnieniem podatku VAT.</w:t>
      </w:r>
    </w:p>
    <w:p w14:paraId="4A90A21B" w14:textId="06F377EE" w:rsidR="00C85E9F" w:rsidRPr="00C85E9F" w:rsidRDefault="00C85E9F" w:rsidP="00C85E9F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85E9F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29A7B7B5" w14:textId="256D80C4" w:rsidR="00C85E9F" w:rsidRPr="00C85E9F" w:rsidRDefault="00C85E9F" w:rsidP="00C85E9F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85E9F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223F62B0" w14:textId="717B2334" w:rsidR="00C85E9F" w:rsidRPr="00C85E9F" w:rsidRDefault="00C85E9F" w:rsidP="00C85E9F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85E9F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74B9BBCC" w14:textId="2B3A3E11" w:rsidR="00C85E9F" w:rsidRPr="00C85E9F" w:rsidRDefault="00C85E9F" w:rsidP="00C85E9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85E9F">
        <w:rPr>
          <w:rFonts w:ascii="Arial" w:hAnsi="Arial" w:cs="Arial"/>
        </w:rPr>
        <w:t>Cenę ryczałtową należy określić przy zachowaniu następujących założeń:</w:t>
      </w:r>
    </w:p>
    <w:p w14:paraId="1466745A" w14:textId="266A6CF1" w:rsidR="00C85E9F" w:rsidRPr="00C85E9F" w:rsidRDefault="0043721D" w:rsidP="003B0C6B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5E9F" w:rsidRPr="00C85E9F">
        <w:rPr>
          <w:rFonts w:ascii="Arial" w:hAnsi="Arial" w:cs="Arial"/>
        </w:rPr>
        <w:t>zakres robót, który jest podstawą do określenia tej ceny</w:t>
      </w:r>
      <w:r w:rsidR="0000602F">
        <w:rPr>
          <w:rFonts w:ascii="Arial" w:hAnsi="Arial" w:cs="Arial"/>
        </w:rPr>
        <w:t>,</w:t>
      </w:r>
      <w:r w:rsidR="00C85E9F" w:rsidRPr="00C85E9F">
        <w:rPr>
          <w:rFonts w:ascii="Arial" w:hAnsi="Arial" w:cs="Arial"/>
        </w:rPr>
        <w:t xml:space="preserve"> musi</w:t>
      </w:r>
      <w:r w:rsidR="003B0C6B">
        <w:rPr>
          <w:rFonts w:ascii="Arial" w:hAnsi="Arial" w:cs="Arial"/>
        </w:rPr>
        <w:t xml:space="preserve"> być zgodny z opisem przedmiotu </w:t>
      </w:r>
      <w:r w:rsidR="00C85E9F" w:rsidRPr="00C85E9F">
        <w:rPr>
          <w:rFonts w:ascii="Arial" w:hAnsi="Arial" w:cs="Arial"/>
        </w:rPr>
        <w:t xml:space="preserve">zamówienia stanowiącym załącznik nr </w:t>
      </w:r>
      <w:r w:rsidR="0000602F">
        <w:rPr>
          <w:rFonts w:ascii="Arial" w:hAnsi="Arial" w:cs="Arial"/>
        </w:rPr>
        <w:t>6.1 do umowy oraz tabelą elementów rozliczeniowych stanowiącą</w:t>
      </w:r>
      <w:r w:rsidR="00C85E9F" w:rsidRPr="00C85E9F">
        <w:rPr>
          <w:rFonts w:ascii="Arial" w:hAnsi="Arial" w:cs="Arial"/>
        </w:rPr>
        <w:t xml:space="preserve"> załącznik nr </w:t>
      </w:r>
      <w:r w:rsidR="0000602F">
        <w:rPr>
          <w:rFonts w:ascii="Arial" w:hAnsi="Arial" w:cs="Arial"/>
        </w:rPr>
        <w:t>6.</w:t>
      </w:r>
      <w:r w:rsidR="00C85E9F" w:rsidRPr="00C85E9F">
        <w:rPr>
          <w:rFonts w:ascii="Arial" w:hAnsi="Arial" w:cs="Arial"/>
        </w:rPr>
        <w:t>2 do umowy.</w:t>
      </w:r>
    </w:p>
    <w:p w14:paraId="398A6242" w14:textId="653F3708" w:rsidR="00C85E9F" w:rsidRPr="00C85E9F" w:rsidRDefault="0043721D" w:rsidP="003B0C6B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5E9F" w:rsidRPr="00C85E9F">
        <w:rPr>
          <w:rFonts w:ascii="Arial" w:hAnsi="Arial" w:cs="Arial"/>
        </w:rPr>
        <w:t>cena musi zawierać wszystkie koszty związane z realizacją za</w:t>
      </w:r>
      <w:r w:rsidR="003B0C6B">
        <w:rPr>
          <w:rFonts w:ascii="Arial" w:hAnsi="Arial" w:cs="Arial"/>
        </w:rPr>
        <w:t xml:space="preserve">dania wynikające wprost z opisu </w:t>
      </w:r>
      <w:r w:rsidR="00C85E9F" w:rsidRPr="00C85E9F">
        <w:rPr>
          <w:rFonts w:ascii="Arial" w:hAnsi="Arial" w:cs="Arial"/>
        </w:rPr>
        <w:t>przedmiotu zamów</w:t>
      </w:r>
      <w:r w:rsidR="004820F9">
        <w:rPr>
          <w:rFonts w:ascii="Arial" w:hAnsi="Arial" w:cs="Arial"/>
        </w:rPr>
        <w:t>ienia i tabeli elementów rozliczeniowych określonej</w:t>
      </w:r>
      <w:r w:rsidR="00C85E9F" w:rsidRPr="00C85E9F">
        <w:rPr>
          <w:rFonts w:ascii="Arial" w:hAnsi="Arial" w:cs="Arial"/>
        </w:rPr>
        <w:t xml:space="preserve"> w punkcie powyżej, jak również następujące koszty:</w:t>
      </w:r>
    </w:p>
    <w:p w14:paraId="0CE85559" w14:textId="6BF1BA50" w:rsidR="00C85E9F" w:rsidRPr="00C85E9F" w:rsidRDefault="0043721D" w:rsidP="003B0C6B">
      <w:pPr>
        <w:spacing w:after="12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152BB">
        <w:rPr>
          <w:rFonts w:ascii="Arial" w:hAnsi="Arial" w:cs="Arial"/>
        </w:rPr>
        <w:t xml:space="preserve"> </w:t>
      </w:r>
      <w:r w:rsidR="00C85E9F" w:rsidRPr="00C85E9F">
        <w:rPr>
          <w:rFonts w:ascii="Arial" w:hAnsi="Arial" w:cs="Arial"/>
        </w:rPr>
        <w:t>wszelkich robót przygotowawczych związanych z realizacją zamówienia,</w:t>
      </w:r>
    </w:p>
    <w:p w14:paraId="481EE2DD" w14:textId="726ECA0D" w:rsidR="00C85E9F" w:rsidRPr="00C85E9F" w:rsidRDefault="00E152BB" w:rsidP="00E152BB">
      <w:pPr>
        <w:spacing w:after="120"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C85E9F" w:rsidRPr="00C85E9F">
        <w:rPr>
          <w:rFonts w:ascii="Arial" w:hAnsi="Arial" w:cs="Arial"/>
        </w:rPr>
        <w:t>wszystkie materiały do wykonania przedmiotu umowy dostarcza Wykonawca,</w:t>
      </w:r>
    </w:p>
    <w:p w14:paraId="63F22694" w14:textId="6CA12DF9" w:rsidR="00C85E9F" w:rsidRPr="00C85E9F" w:rsidRDefault="00E152BB" w:rsidP="00E152BB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r w:rsidR="00C85E9F" w:rsidRPr="00C85E9F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5BBEE3FD" w14:textId="70E75AFB" w:rsidR="00C85E9F" w:rsidRPr="00C85E9F" w:rsidRDefault="00E152BB" w:rsidP="00E152BB">
      <w:pPr>
        <w:spacing w:after="12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5E9F" w:rsidRPr="00C85E9F">
        <w:rPr>
          <w:rFonts w:ascii="Arial" w:hAnsi="Arial" w:cs="Arial"/>
        </w:rPr>
        <w:t>związane z zapleczem budowy, tj. zapewnieniem pomieszczenia biurowego na terenie budowy (lub w jego okolicy) do prowadzenia narad na ok. 10 osób oraz zapewnienie zaplecza budowy (tj.: stworzenie, utrzymanie, dostarczenie i zabezpieczenie niezbędnych mediów wraz z</w:t>
      </w:r>
      <w:r>
        <w:rPr>
          <w:rFonts w:ascii="Arial" w:hAnsi="Arial" w:cs="Arial"/>
        </w:rPr>
        <w:t> </w:t>
      </w:r>
      <w:r w:rsidR="00C85E9F" w:rsidRPr="00C85E9F">
        <w:rPr>
          <w:rFonts w:ascii="Arial" w:hAnsi="Arial" w:cs="Arial"/>
        </w:rPr>
        <w:t xml:space="preserve"> ponoszeniem kosztów tych mediów) oraz późniejszej jego likwidacji,</w:t>
      </w:r>
    </w:p>
    <w:p w14:paraId="4777BD4B" w14:textId="6A63DF51" w:rsidR="00C85E9F" w:rsidRPr="00353A97" w:rsidRDefault="00E152BB" w:rsidP="00101BF1">
      <w:pPr>
        <w:spacing w:after="12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5E9F" w:rsidRPr="00C85E9F">
        <w:rPr>
          <w:rFonts w:ascii="Arial" w:hAnsi="Arial" w:cs="Arial"/>
        </w:rPr>
        <w:t xml:space="preserve">wykonania </w:t>
      </w:r>
      <w:proofErr w:type="spellStart"/>
      <w:r w:rsidR="00C85E9F" w:rsidRPr="00C85E9F">
        <w:rPr>
          <w:rFonts w:ascii="Arial" w:hAnsi="Arial" w:cs="Arial"/>
        </w:rPr>
        <w:t>oznakowań</w:t>
      </w:r>
      <w:proofErr w:type="spellEnd"/>
      <w:r w:rsidR="00C85E9F" w:rsidRPr="00C85E9F">
        <w:rPr>
          <w:rFonts w:ascii="Arial" w:hAnsi="Arial" w:cs="Arial"/>
        </w:rPr>
        <w:t xml:space="preserve"> i zabezpieczeń, zapewniających bezpieczeństwo przed dostępem na </w:t>
      </w:r>
      <w:r>
        <w:rPr>
          <w:rFonts w:ascii="Arial" w:hAnsi="Arial" w:cs="Arial"/>
        </w:rPr>
        <w:t> </w:t>
      </w:r>
      <w:r w:rsidR="00C85E9F" w:rsidRPr="00C85E9F">
        <w:rPr>
          <w:rFonts w:ascii="Arial" w:hAnsi="Arial" w:cs="Arial"/>
        </w:rPr>
        <w:t>teren robót osób postronnych, ich zmiany i utrzymania w całym okresie budowy.</w:t>
      </w:r>
    </w:p>
    <w:bookmarkEnd w:id="33"/>
    <w:p w14:paraId="3246F404" w14:textId="46979DF4" w:rsidR="006D63C7" w:rsidRPr="00F55600" w:rsidRDefault="006B29BE" w:rsidP="006C0FA2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135071A3" w14:textId="77777777" w:rsidR="00101BF1" w:rsidRPr="00101BF1" w:rsidRDefault="00101BF1" w:rsidP="00101BF1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101BF1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10242E12" w14:textId="3B2E9E29" w:rsidR="00101BF1" w:rsidRPr="00101BF1" w:rsidRDefault="00101BF1" w:rsidP="00101BF1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101BF1">
        <w:rPr>
          <w:rFonts w:ascii="Arial" w:hAnsi="Arial" w:cs="Arial"/>
          <w:b/>
        </w:rPr>
        <w:t xml:space="preserve">Cena oferty brutto ( </w:t>
      </w:r>
      <w:r w:rsidR="00E21500">
        <w:rPr>
          <w:rFonts w:ascii="Arial" w:hAnsi="Arial" w:cs="Arial"/>
          <w:b/>
        </w:rPr>
        <w:t xml:space="preserve">C)  </w:t>
      </w:r>
      <w:r w:rsidRPr="00101BF1">
        <w:rPr>
          <w:rFonts w:ascii="Arial" w:hAnsi="Arial" w:cs="Arial"/>
          <w:b/>
        </w:rPr>
        <w:t>85 %</w:t>
      </w:r>
    </w:p>
    <w:p w14:paraId="57081053" w14:textId="77777777" w:rsidR="00101BF1" w:rsidRPr="00101BF1" w:rsidRDefault="00101BF1" w:rsidP="00101BF1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101BF1">
        <w:rPr>
          <w:rFonts w:ascii="Arial" w:hAnsi="Arial" w:cs="Arial"/>
          <w:b/>
        </w:rPr>
        <w:t>Kwalifikacje i doświadczenie zawodowe dodatkowych osób skierowanych do realizacji zamówienia (O)</w:t>
      </w:r>
    </w:p>
    <w:p w14:paraId="6B672B4C" w14:textId="77777777" w:rsidR="00101BF1" w:rsidRPr="00101BF1" w:rsidRDefault="00101BF1" w:rsidP="00101BF1">
      <w:pPr>
        <w:autoSpaceDE w:val="0"/>
        <w:autoSpaceDN w:val="0"/>
        <w:adjustRightInd w:val="0"/>
        <w:spacing w:line="276" w:lineRule="auto"/>
        <w:ind w:left="1152"/>
        <w:rPr>
          <w:rFonts w:ascii="Arial" w:hAnsi="Arial" w:cs="Arial"/>
          <w:b/>
        </w:rPr>
      </w:pPr>
      <w:r w:rsidRPr="00101BF1">
        <w:rPr>
          <w:rFonts w:ascii="Arial" w:hAnsi="Arial" w:cs="Arial"/>
          <w:b/>
        </w:rPr>
        <w:t xml:space="preserve">                                     15 %</w:t>
      </w:r>
    </w:p>
    <w:p w14:paraId="6FF4F912" w14:textId="77777777" w:rsidR="00101BF1" w:rsidRPr="00101BF1" w:rsidRDefault="00101BF1" w:rsidP="00101BF1">
      <w:pPr>
        <w:autoSpaceDE w:val="0"/>
        <w:autoSpaceDN w:val="0"/>
        <w:adjustRightInd w:val="0"/>
        <w:spacing w:line="276" w:lineRule="auto"/>
        <w:ind w:left="840"/>
        <w:rPr>
          <w:rFonts w:ascii="Arial" w:hAnsi="Arial" w:cs="Arial"/>
        </w:rPr>
      </w:pPr>
    </w:p>
    <w:p w14:paraId="24040820" w14:textId="77777777" w:rsidR="00101BF1" w:rsidRPr="00101BF1" w:rsidRDefault="00101BF1" w:rsidP="00101BF1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</w:rPr>
      </w:pPr>
      <w:r w:rsidRPr="00101BF1">
        <w:rPr>
          <w:rFonts w:ascii="Arial" w:hAnsi="Arial" w:cs="Arial"/>
        </w:rPr>
        <w:t xml:space="preserve">Punkty będą przyznawane wg następujących zasad: </w:t>
      </w:r>
    </w:p>
    <w:p w14:paraId="49B86C58" w14:textId="77777777" w:rsidR="00101BF1" w:rsidRPr="00101BF1" w:rsidRDefault="00101BF1" w:rsidP="00101BF1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</w:p>
    <w:p w14:paraId="43215911" w14:textId="77777777" w:rsidR="00101BF1" w:rsidRPr="00101BF1" w:rsidRDefault="00101BF1" w:rsidP="00101BF1">
      <w:pPr>
        <w:numPr>
          <w:ilvl w:val="1"/>
          <w:numId w:val="93"/>
        </w:numPr>
        <w:tabs>
          <w:tab w:val="clear" w:pos="928"/>
          <w:tab w:val="num" w:pos="644"/>
          <w:tab w:val="num" w:pos="851"/>
        </w:tabs>
        <w:autoSpaceDE w:val="0"/>
        <w:autoSpaceDN w:val="0"/>
        <w:adjustRightInd w:val="0"/>
        <w:spacing w:line="276" w:lineRule="auto"/>
        <w:ind w:left="1134" w:hanging="992"/>
        <w:jc w:val="left"/>
        <w:rPr>
          <w:rFonts w:ascii="Arial" w:hAnsi="Arial" w:cs="Arial"/>
          <w:b/>
        </w:rPr>
      </w:pPr>
      <w:r w:rsidRPr="00101BF1">
        <w:rPr>
          <w:rFonts w:ascii="Arial" w:hAnsi="Arial" w:cs="Arial"/>
          <w:b/>
        </w:rPr>
        <w:t>Cena oferty (C)</w:t>
      </w:r>
    </w:p>
    <w:p w14:paraId="7162A6A2" w14:textId="77777777" w:rsidR="00101BF1" w:rsidRPr="00101BF1" w:rsidRDefault="00101BF1" w:rsidP="00101BF1">
      <w:pPr>
        <w:tabs>
          <w:tab w:val="num" w:pos="851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b/>
        </w:rPr>
      </w:pPr>
    </w:p>
    <w:p w14:paraId="709F7D4D" w14:textId="376FE065" w:rsidR="00101BF1" w:rsidRPr="00101BF1" w:rsidRDefault="00101BF1" w:rsidP="00101BF1">
      <w:pPr>
        <w:ind w:left="2552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101BF1">
        <w:rPr>
          <w:rFonts w:ascii="Arial" w:hAnsi="Arial" w:cs="Arial"/>
          <w:b/>
        </w:rPr>
        <w:t xml:space="preserve">najniższa cena ofertowa </w:t>
      </w:r>
    </w:p>
    <w:p w14:paraId="3196D4E8" w14:textId="77777777" w:rsidR="00101BF1" w:rsidRPr="00101BF1" w:rsidRDefault="00101BF1" w:rsidP="00101BF1">
      <w:pPr>
        <w:tabs>
          <w:tab w:val="left" w:pos="2127"/>
        </w:tabs>
        <w:ind w:left="2552" w:hanging="851"/>
        <w:rPr>
          <w:rFonts w:ascii="Arial" w:hAnsi="Arial" w:cs="Arial"/>
          <w:b/>
        </w:rPr>
      </w:pPr>
      <w:r w:rsidRPr="00101BF1">
        <w:rPr>
          <w:rFonts w:ascii="Arial" w:hAnsi="Arial" w:cs="Arial"/>
          <w:b/>
        </w:rPr>
        <w:t xml:space="preserve">      C  = ------------------------------------------x 100 pkt x 85 %</w:t>
      </w:r>
    </w:p>
    <w:p w14:paraId="02728B59" w14:textId="02976327" w:rsidR="00101BF1" w:rsidRPr="00101BF1" w:rsidRDefault="00101BF1" w:rsidP="00101BF1">
      <w:pPr>
        <w:ind w:left="2552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01BF1">
        <w:rPr>
          <w:rFonts w:ascii="Arial" w:hAnsi="Arial" w:cs="Arial"/>
          <w:b/>
        </w:rPr>
        <w:t>cena ofertowa w ofercie ocenianej</w:t>
      </w:r>
    </w:p>
    <w:p w14:paraId="1A007792" w14:textId="4284F50D" w:rsidR="00101BF1" w:rsidRPr="00064F0A" w:rsidRDefault="00101BF1" w:rsidP="00E21500">
      <w:pPr>
        <w:autoSpaceDE w:val="0"/>
        <w:autoSpaceDN w:val="0"/>
        <w:adjustRightInd w:val="0"/>
        <w:rPr>
          <w:sz w:val="24"/>
          <w:szCs w:val="24"/>
        </w:rPr>
      </w:pPr>
    </w:p>
    <w:p w14:paraId="1EF7DB22" w14:textId="77777777" w:rsidR="00101BF1" w:rsidRPr="00D32DAA" w:rsidRDefault="00101BF1" w:rsidP="00101BF1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  <w:highlight w:val="yellow"/>
        </w:rPr>
      </w:pPr>
    </w:p>
    <w:p w14:paraId="259E663D" w14:textId="189E3C2D" w:rsidR="00101BF1" w:rsidRPr="00E21500" w:rsidRDefault="00101BF1" w:rsidP="00101BF1">
      <w:pPr>
        <w:pStyle w:val="Akapitzlist"/>
        <w:numPr>
          <w:ilvl w:val="1"/>
          <w:numId w:val="91"/>
        </w:numPr>
        <w:tabs>
          <w:tab w:val="num" w:pos="851"/>
        </w:tabs>
        <w:autoSpaceDE w:val="0"/>
        <w:autoSpaceDN w:val="0"/>
        <w:adjustRightInd w:val="0"/>
        <w:spacing w:line="276" w:lineRule="auto"/>
        <w:jc w:val="left"/>
        <w:rPr>
          <w:rStyle w:val="FontStyle54"/>
          <w:rFonts w:ascii="Arial" w:hAnsi="Arial" w:cs="Arial"/>
          <w:b w:val="0"/>
          <w:i w:val="0"/>
          <w:sz w:val="22"/>
          <w:szCs w:val="22"/>
        </w:rPr>
      </w:pPr>
      <w:r w:rsidRPr="00E21500">
        <w:rPr>
          <w:rStyle w:val="FontStyle54"/>
          <w:rFonts w:ascii="Arial" w:hAnsi="Arial" w:cs="Arial"/>
          <w:i w:val="0"/>
          <w:sz w:val="22"/>
          <w:szCs w:val="22"/>
        </w:rPr>
        <w:t>Kwalifikacje i doświadczenie dodatkowych osób skierowanych do realizacji zamówienia: (O) – 15 %</w:t>
      </w:r>
    </w:p>
    <w:p w14:paraId="09774878" w14:textId="77777777" w:rsidR="00E21500" w:rsidRPr="00E21500" w:rsidRDefault="00E21500" w:rsidP="00E21500">
      <w:pPr>
        <w:pStyle w:val="Akapitzlist"/>
        <w:autoSpaceDE w:val="0"/>
        <w:autoSpaceDN w:val="0"/>
        <w:adjustRightInd w:val="0"/>
        <w:spacing w:line="276" w:lineRule="auto"/>
        <w:jc w:val="left"/>
        <w:rPr>
          <w:rStyle w:val="FontStyle54"/>
          <w:rFonts w:ascii="Arial" w:hAnsi="Arial" w:cs="Arial"/>
          <w:b w:val="0"/>
          <w:i w:val="0"/>
          <w:sz w:val="22"/>
          <w:szCs w:val="22"/>
        </w:rPr>
      </w:pPr>
    </w:p>
    <w:p w14:paraId="48C4ECFB" w14:textId="5551986A" w:rsidR="00101BF1" w:rsidRPr="00E21500" w:rsidRDefault="00101BF1" w:rsidP="00101BF1">
      <w:pPr>
        <w:pStyle w:val="Style11"/>
        <w:widowControl/>
        <w:spacing w:before="120" w:line="240" w:lineRule="auto"/>
        <w:ind w:left="284" w:firstLine="0"/>
        <w:rPr>
          <w:rStyle w:val="FontStyle54"/>
          <w:rFonts w:ascii="Arial" w:hAnsi="Arial" w:cs="Arial"/>
          <w:b w:val="0"/>
          <w:i w:val="0"/>
          <w:sz w:val="22"/>
          <w:szCs w:val="22"/>
        </w:rPr>
      </w:pPr>
      <w:r w:rsidRPr="00E21500">
        <w:rPr>
          <w:rStyle w:val="FontStyle54"/>
          <w:rFonts w:ascii="Arial" w:hAnsi="Arial" w:cs="Arial"/>
          <w:i w:val="0"/>
          <w:sz w:val="22"/>
          <w:szCs w:val="22"/>
        </w:rPr>
        <w:t xml:space="preserve">Za skierowanie do realizacji zamówienia osób, które legitymują się niżej opisanym wykształceniem lub doświadczeniem: </w:t>
      </w:r>
    </w:p>
    <w:p w14:paraId="45C42336" w14:textId="77777777" w:rsidR="00101BF1" w:rsidRPr="00392CC8" w:rsidRDefault="00101BF1" w:rsidP="00101BF1">
      <w:pPr>
        <w:pStyle w:val="Akapitzlist"/>
        <w:tabs>
          <w:tab w:val="num" w:pos="851"/>
        </w:tabs>
        <w:autoSpaceDE w:val="0"/>
        <w:autoSpaceDN w:val="0"/>
        <w:adjustRightInd w:val="0"/>
        <w:spacing w:line="276" w:lineRule="auto"/>
        <w:rPr>
          <w:rStyle w:val="FontStyle54"/>
          <w:rFonts w:ascii="Times New Roman" w:hAnsi="Times New Roman"/>
          <w:b w:val="0"/>
          <w:sz w:val="24"/>
          <w:szCs w:val="24"/>
        </w:rPr>
      </w:pPr>
    </w:p>
    <w:p w14:paraId="1087BA24" w14:textId="77777777" w:rsidR="00101BF1" w:rsidRPr="00EA0520" w:rsidRDefault="00101BF1" w:rsidP="00101BF1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</w:p>
    <w:p w14:paraId="41FCC3A8" w14:textId="5BE3ED3E" w:rsidR="00101BF1" w:rsidRPr="00C00355" w:rsidRDefault="00101BF1" w:rsidP="00C00355">
      <w:pPr>
        <w:pStyle w:val="Akapitzlist"/>
        <w:numPr>
          <w:ilvl w:val="0"/>
          <w:numId w:val="9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</w:rPr>
      </w:pPr>
      <w:r w:rsidRPr="00C00355">
        <w:rPr>
          <w:rFonts w:ascii="Arial" w:hAnsi="Arial" w:cs="Arial"/>
          <w:b/>
          <w:lang w:eastAsia="ar-SA"/>
        </w:rPr>
        <w:t>Kierownika robót wykończeniowych</w:t>
      </w:r>
      <w:r w:rsidRPr="00C00355">
        <w:rPr>
          <w:rFonts w:ascii="Arial" w:hAnsi="Arial" w:cs="Arial"/>
          <w:iCs/>
        </w:rPr>
        <w:t>, legitymującego się uprawnieniami budowlanymi do</w:t>
      </w:r>
      <w:r w:rsidR="00C00355">
        <w:rPr>
          <w:rFonts w:ascii="Arial" w:hAnsi="Arial" w:cs="Arial"/>
          <w:iCs/>
        </w:rPr>
        <w:t> </w:t>
      </w:r>
      <w:r w:rsidRPr="00C00355">
        <w:rPr>
          <w:rFonts w:ascii="Arial" w:hAnsi="Arial" w:cs="Arial"/>
          <w:iCs/>
        </w:rPr>
        <w:t xml:space="preserve"> kierowania robotami budowlanymi w specjalności konstrukcyjno-budowlanej lub</w:t>
      </w:r>
      <w:r w:rsidR="00C00355">
        <w:rPr>
          <w:rFonts w:ascii="Arial" w:hAnsi="Arial" w:cs="Arial"/>
          <w:iCs/>
        </w:rPr>
        <w:t> </w:t>
      </w:r>
      <w:r w:rsidRPr="00C00355">
        <w:rPr>
          <w:rFonts w:ascii="Arial" w:hAnsi="Arial" w:cs="Arial"/>
          <w:iCs/>
        </w:rPr>
        <w:t xml:space="preserve"> architektonicznej oraz doświadczeniem zawodowym polegającym na </w:t>
      </w:r>
      <w:r w:rsidR="001222CE">
        <w:rPr>
          <w:rFonts w:ascii="Arial" w:hAnsi="Arial" w:cs="Arial"/>
          <w:iCs/>
        </w:rPr>
        <w:t>kierowaniu wykonaniem</w:t>
      </w:r>
      <w:r w:rsidRPr="00C00355">
        <w:rPr>
          <w:rFonts w:ascii="Arial" w:hAnsi="Arial" w:cs="Arial"/>
          <w:iCs/>
        </w:rPr>
        <w:t xml:space="preserve"> </w:t>
      </w:r>
      <w:r w:rsidRPr="00C00355">
        <w:rPr>
          <w:rFonts w:ascii="Arial" w:hAnsi="Arial" w:cs="Arial"/>
          <w:iCs/>
          <w:color w:val="000000" w:themeColor="text1"/>
        </w:rPr>
        <w:t>wewnętrznych</w:t>
      </w:r>
      <w:r w:rsidRPr="00C00355">
        <w:rPr>
          <w:rFonts w:ascii="Arial" w:hAnsi="Arial" w:cs="Arial"/>
          <w:iCs/>
        </w:rPr>
        <w:t xml:space="preserve"> robót wykończeniowych </w:t>
      </w:r>
      <w:r w:rsidR="001222CE" w:rsidRPr="00C00355">
        <w:rPr>
          <w:rFonts w:ascii="Arial" w:hAnsi="Arial" w:cs="Arial"/>
          <w:iCs/>
        </w:rPr>
        <w:t xml:space="preserve">w jednym obiekcie </w:t>
      </w:r>
      <w:r w:rsidRPr="00C00355">
        <w:rPr>
          <w:rFonts w:ascii="Arial" w:hAnsi="Arial" w:cs="Arial"/>
          <w:iCs/>
        </w:rPr>
        <w:t xml:space="preserve">o wartości robót </w:t>
      </w:r>
      <w:r w:rsidRPr="00C00355">
        <w:rPr>
          <w:rFonts w:ascii="Arial" w:hAnsi="Arial" w:cs="Arial"/>
          <w:iCs/>
        </w:rPr>
        <w:lastRenderedPageBreak/>
        <w:t xml:space="preserve">wykończeniowych co najmniej 300 000 zł netto, obejmujących w ramach jednego zadania </w:t>
      </w:r>
      <w:r w:rsidRPr="00C00355">
        <w:rPr>
          <w:rFonts w:ascii="Arial" w:hAnsi="Arial" w:cs="Arial"/>
          <w:iCs/>
          <w:color w:val="000000" w:themeColor="text1"/>
        </w:rPr>
        <w:t xml:space="preserve">wykonanie sufitów podwieszanych modułowych i </w:t>
      </w:r>
      <w:proofErr w:type="spellStart"/>
      <w:r w:rsidRPr="00C00355">
        <w:rPr>
          <w:rFonts w:ascii="Arial" w:hAnsi="Arial" w:cs="Arial"/>
          <w:iCs/>
          <w:color w:val="000000" w:themeColor="text1"/>
        </w:rPr>
        <w:t>gkb</w:t>
      </w:r>
      <w:proofErr w:type="spellEnd"/>
      <w:r w:rsidRPr="00C00355">
        <w:rPr>
          <w:rFonts w:ascii="Arial" w:hAnsi="Arial" w:cs="Arial"/>
        </w:rPr>
        <w:t>.</w:t>
      </w:r>
    </w:p>
    <w:p w14:paraId="18EACFF0" w14:textId="77777777" w:rsidR="00101BF1" w:rsidRDefault="00101BF1" w:rsidP="00101BF1">
      <w:pPr>
        <w:pStyle w:val="Akapitzlist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  <w:lang w:eastAsia="ar-SA"/>
        </w:rPr>
      </w:pPr>
    </w:p>
    <w:p w14:paraId="0337DDBE" w14:textId="77777777" w:rsidR="00101BF1" w:rsidRPr="00064F0A" w:rsidRDefault="00101BF1" w:rsidP="00101BF1">
      <w:pPr>
        <w:autoSpaceDE w:val="0"/>
        <w:autoSpaceDN w:val="0"/>
        <w:adjustRightInd w:val="0"/>
        <w:ind w:left="1288"/>
        <w:rPr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101BF1" w:rsidRPr="00510BE5" w14:paraId="394042BA" w14:textId="77777777" w:rsidTr="00CB2108">
        <w:tc>
          <w:tcPr>
            <w:tcW w:w="2798" w:type="dxa"/>
            <w:shd w:val="clear" w:color="auto" w:fill="auto"/>
          </w:tcPr>
          <w:p w14:paraId="1142744E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00355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3D74833E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003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9DBC720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003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72FC27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00355">
              <w:rPr>
                <w:rFonts w:ascii="Arial" w:eastAsia="Calibri" w:hAnsi="Arial" w:cs="Arial"/>
              </w:rPr>
              <w:t>3 i więcej</w:t>
            </w:r>
          </w:p>
        </w:tc>
      </w:tr>
      <w:tr w:rsidR="00101BF1" w:rsidRPr="00510BE5" w14:paraId="03E54BF7" w14:textId="77777777" w:rsidTr="00CB2108">
        <w:tc>
          <w:tcPr>
            <w:tcW w:w="2798" w:type="dxa"/>
            <w:shd w:val="clear" w:color="auto" w:fill="auto"/>
          </w:tcPr>
          <w:p w14:paraId="714CBC40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00355">
              <w:rPr>
                <w:rFonts w:ascii="Arial" w:eastAsia="Calibri" w:hAnsi="Arial" w:cs="Arial"/>
                <w:b/>
              </w:rPr>
              <w:t>Przyznane punkty –O:</w:t>
            </w:r>
          </w:p>
        </w:tc>
        <w:tc>
          <w:tcPr>
            <w:tcW w:w="847" w:type="dxa"/>
          </w:tcPr>
          <w:p w14:paraId="27DEC58F" w14:textId="7A2E2B62" w:rsidR="00101BF1" w:rsidRPr="00C00355" w:rsidRDefault="009307F4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84DBE6A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00355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98EBC94" w14:textId="77777777" w:rsidR="00101BF1" w:rsidRPr="00C00355" w:rsidRDefault="00101BF1" w:rsidP="00101BF1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00355">
              <w:rPr>
                <w:rFonts w:ascii="Arial" w:eastAsia="Calibri" w:hAnsi="Arial" w:cs="Arial"/>
                <w:b/>
              </w:rPr>
              <w:t>15</w:t>
            </w:r>
          </w:p>
        </w:tc>
      </w:tr>
    </w:tbl>
    <w:p w14:paraId="0EA0002D" w14:textId="77777777" w:rsidR="00101BF1" w:rsidRDefault="00101BF1" w:rsidP="00101BF1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</w:rPr>
      </w:pPr>
    </w:p>
    <w:p w14:paraId="2B336FBA" w14:textId="77777777" w:rsidR="00101BF1" w:rsidRDefault="00101BF1" w:rsidP="00101BF1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</w:rPr>
      </w:pPr>
    </w:p>
    <w:p w14:paraId="6F5200F1" w14:textId="77777777" w:rsidR="00101BF1" w:rsidRPr="00C00355" w:rsidRDefault="00101BF1" w:rsidP="00101BF1">
      <w:pPr>
        <w:autoSpaceDE w:val="0"/>
        <w:autoSpaceDN w:val="0"/>
        <w:adjustRightInd w:val="0"/>
        <w:rPr>
          <w:rFonts w:ascii="Arial" w:hAnsi="Arial" w:cs="Arial"/>
        </w:rPr>
      </w:pPr>
      <w:r w:rsidRPr="00C00355">
        <w:rPr>
          <w:rFonts w:ascii="Arial" w:hAnsi="Arial" w:cs="Arial"/>
        </w:rPr>
        <w:t>Łączna liczba punktów dla oferty  (L) w kryteriach stanowić będzie sumę liczby punktów uzyskanych w kryterium cena  (C), kwalifikacje i doświadczenie osób (D)</w:t>
      </w:r>
    </w:p>
    <w:p w14:paraId="37FB1D9B" w14:textId="77777777" w:rsidR="00101BF1" w:rsidRPr="00C00355" w:rsidRDefault="00101BF1" w:rsidP="00101BF1">
      <w:pPr>
        <w:autoSpaceDE w:val="0"/>
        <w:autoSpaceDN w:val="0"/>
        <w:adjustRightInd w:val="0"/>
        <w:rPr>
          <w:rFonts w:ascii="Arial" w:hAnsi="Arial" w:cs="Arial"/>
        </w:rPr>
      </w:pPr>
    </w:p>
    <w:p w14:paraId="3E1A6BAA" w14:textId="0D01B88E" w:rsidR="00101BF1" w:rsidRPr="00166D98" w:rsidRDefault="00101BF1" w:rsidP="00166D98">
      <w:pPr>
        <w:autoSpaceDE w:val="0"/>
        <w:autoSpaceDN w:val="0"/>
        <w:adjustRightInd w:val="0"/>
        <w:ind w:left="2836" w:firstLine="709"/>
        <w:rPr>
          <w:rFonts w:ascii="Arial" w:hAnsi="Arial" w:cs="Arial"/>
          <w:b/>
        </w:rPr>
      </w:pPr>
      <w:r w:rsidRPr="00C00355">
        <w:rPr>
          <w:rFonts w:ascii="Arial" w:hAnsi="Arial" w:cs="Arial"/>
          <w:b/>
        </w:rPr>
        <w:t>L=C+O</w:t>
      </w:r>
    </w:p>
    <w:p w14:paraId="3A8C8E54" w14:textId="77777777" w:rsidR="00101BF1" w:rsidRPr="007E4740" w:rsidRDefault="00101BF1" w:rsidP="007E4740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583B24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F55600" w:rsidRDefault="00531BB5" w:rsidP="00583B24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F784CD3" w14:textId="4E6F549B" w:rsidR="00A45542" w:rsidRPr="00F97622" w:rsidRDefault="00531BB5" w:rsidP="00583B24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F55600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udzieli zamówienia </w:t>
      </w:r>
      <w:r w:rsidR="0071008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ykonawcy, którego oferta:</w:t>
      </w:r>
    </w:p>
    <w:p w14:paraId="6136E4EC" w14:textId="77777777" w:rsidR="006B29BE" w:rsidRPr="00F5560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odpowiada wszystkim wymaganiom ustawy Pzp;</w:t>
      </w:r>
    </w:p>
    <w:p w14:paraId="66E03C8B" w14:textId="77777777" w:rsidR="007E474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spełnia wszystkie warunki określone w SWZ;</w:t>
      </w:r>
    </w:p>
    <w:p w14:paraId="1F03811D" w14:textId="27CFB85B" w:rsidR="006B29BE" w:rsidRPr="007E474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7E4740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Po wyborze</w:t>
      </w:r>
      <w:r w:rsidR="0047267C" w:rsidRPr="00F55600">
        <w:rPr>
          <w:rFonts w:ascii="Arial" w:hAnsi="Arial" w:cs="Arial"/>
          <w:bCs/>
        </w:rPr>
        <w:t xml:space="preserve"> najkorzystniejszej</w:t>
      </w:r>
      <w:r w:rsidRPr="00F55600">
        <w:rPr>
          <w:rFonts w:ascii="Arial" w:hAnsi="Arial" w:cs="Arial"/>
          <w:bCs/>
        </w:rPr>
        <w:t xml:space="preserve"> oferty, Zamawiający zawiadomi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Pzp.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r w:rsidRPr="00F55600">
        <w:rPr>
          <w:rFonts w:ascii="Arial" w:hAnsi="Arial" w:cs="Arial"/>
        </w:rPr>
        <w:t>Pzp.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Pzp).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Pzp,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Pzp.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277495DD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DB4001">
        <w:rPr>
          <w:rFonts w:ascii="Arial" w:hAnsi="Arial" w:cs="Arial"/>
          <w:b/>
          <w:bCs/>
        </w:rPr>
        <w:t>26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EA4BB8" w:rsidRPr="00F55600">
        <w:rPr>
          <w:rFonts w:ascii="Arial" w:hAnsi="Arial" w:cs="Arial"/>
        </w:rPr>
        <w:t xml:space="preserve">: </w:t>
      </w:r>
      <w:r w:rsidR="00DB4001">
        <w:rPr>
          <w:rFonts w:ascii="Arial" w:hAnsi="Arial" w:cs="Arial"/>
          <w:b/>
        </w:rPr>
        <w:t xml:space="preserve">„Modernizacja części wspólnych Centrum Edukacji Zawodowej i Turystyki przy ul. Gdyńskiej 26 w  Świnoujściu”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Pzp.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0C54C13C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062780">
        <w:rPr>
          <w:rFonts w:ascii="Arial" w:hAnsi="Arial" w:cs="Arial"/>
        </w:rPr>
        <w:t xml:space="preserve"> 7</w:t>
      </w:r>
      <w:r w:rsidR="00E51FF2" w:rsidRPr="00F55600">
        <w:rPr>
          <w:rFonts w:ascii="Arial" w:hAnsi="Arial" w:cs="Arial"/>
        </w:rPr>
        <w:t>000,00</w:t>
      </w:r>
      <w:r w:rsidR="00EE20FC" w:rsidRPr="00F55600">
        <w:rPr>
          <w:rFonts w:ascii="Arial" w:hAnsi="Arial" w:cs="Arial"/>
        </w:rPr>
        <w:t xml:space="preserve"> zł</w:t>
      </w:r>
      <w:r w:rsidR="00062780">
        <w:rPr>
          <w:rFonts w:ascii="Arial" w:hAnsi="Arial" w:cs="Arial"/>
        </w:rPr>
        <w:t xml:space="preserve"> (słownie: siedem tysięcy</w:t>
      </w:r>
      <w:r w:rsidR="009A23E2">
        <w:rPr>
          <w:rFonts w:ascii="Arial" w:hAnsi="Arial" w:cs="Arial"/>
        </w:rPr>
        <w:t xml:space="preserve"> 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34849D12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EE4BB8">
        <w:rPr>
          <w:rFonts w:ascii="Arial" w:hAnsi="Arial" w:cs="Arial"/>
          <w:b/>
          <w:bCs/>
        </w:rPr>
        <w:t>26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„Modernizacja części wspólnych Centrum Edukacji Zawodowej i Turystyki przy ul. Gdyńskiej 26 w Świnoujściu”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lastRenderedPageBreak/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>st. 1 ustawy Pzp,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55600">
        <w:rPr>
          <w:rFonts w:ascii="Arial" w:hAnsi="Arial" w:cs="Arial"/>
          <w:bCs/>
        </w:rPr>
        <w:t>zp</w:t>
      </w:r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Pzp.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>5 ustawy Pzp</w:t>
      </w:r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55600">
        <w:rPr>
          <w:rFonts w:ascii="Arial" w:hAnsi="Arial" w:cs="Arial"/>
        </w:rPr>
        <w:lastRenderedPageBreak/>
        <w:t>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r w:rsidRPr="00F55600">
        <w:rPr>
          <w:rFonts w:ascii="Arial" w:hAnsi="Arial" w:cs="Arial"/>
        </w:rPr>
        <w:t>Pzp;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Pzp,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653EB5E7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246F54">
        <w:rPr>
          <w:rFonts w:ascii="Arial" w:hAnsi="Arial" w:cs="Arial"/>
        </w:rPr>
        <w:t>Tabela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3CF76C80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063D9D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717A4E" w:rsidRDefault="00717A4E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717A4E" w:rsidRDefault="007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C6269D3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5C607D">
      <w:rPr>
        <w:rFonts w:ascii="Times New Roman" w:hAnsi="Times New Roman"/>
        <w:b/>
        <w:noProof/>
        <w:sz w:val="18"/>
        <w:szCs w:val="18"/>
      </w:rPr>
      <w:t>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717A4E" w:rsidRDefault="00717A4E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717A4E" w:rsidRDefault="007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1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184801"/>
    <w:multiLevelType w:val="hybridMultilevel"/>
    <w:tmpl w:val="BF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1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8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0"/>
  </w:num>
  <w:num w:numId="3">
    <w:abstractNumId w:val="1"/>
  </w:num>
  <w:num w:numId="4">
    <w:abstractNumId w:val="77"/>
  </w:num>
  <w:num w:numId="5">
    <w:abstractNumId w:val="42"/>
  </w:num>
  <w:num w:numId="6">
    <w:abstractNumId w:val="84"/>
  </w:num>
  <w:num w:numId="7">
    <w:abstractNumId w:val="80"/>
  </w:num>
  <w:num w:numId="8">
    <w:abstractNumId w:val="49"/>
  </w:num>
  <w:num w:numId="9">
    <w:abstractNumId w:val="61"/>
  </w:num>
  <w:num w:numId="10">
    <w:abstractNumId w:val="44"/>
  </w:num>
  <w:num w:numId="11">
    <w:abstractNumId w:val="39"/>
  </w:num>
  <w:num w:numId="12">
    <w:abstractNumId w:val="17"/>
  </w:num>
  <w:num w:numId="13">
    <w:abstractNumId w:val="58"/>
  </w:num>
  <w:num w:numId="14">
    <w:abstractNumId w:val="82"/>
  </w:num>
  <w:num w:numId="15">
    <w:abstractNumId w:val="94"/>
  </w:num>
  <w:num w:numId="16">
    <w:abstractNumId w:val="79"/>
  </w:num>
  <w:num w:numId="17">
    <w:abstractNumId w:val="19"/>
  </w:num>
  <w:num w:numId="18">
    <w:abstractNumId w:val="62"/>
  </w:num>
  <w:num w:numId="19">
    <w:abstractNumId w:val="8"/>
  </w:num>
  <w:num w:numId="20">
    <w:abstractNumId w:val="21"/>
  </w:num>
  <w:num w:numId="21">
    <w:abstractNumId w:val="90"/>
  </w:num>
  <w:num w:numId="22">
    <w:abstractNumId w:val="93"/>
  </w:num>
  <w:num w:numId="23">
    <w:abstractNumId w:val="34"/>
  </w:num>
  <w:num w:numId="24">
    <w:abstractNumId w:val="25"/>
  </w:num>
  <w:num w:numId="25">
    <w:abstractNumId w:val="32"/>
  </w:num>
  <w:num w:numId="26">
    <w:abstractNumId w:val="45"/>
  </w:num>
  <w:num w:numId="27">
    <w:abstractNumId w:val="38"/>
  </w:num>
  <w:num w:numId="28">
    <w:abstractNumId w:val="3"/>
  </w:num>
  <w:num w:numId="29">
    <w:abstractNumId w:val="14"/>
  </w:num>
  <w:num w:numId="30">
    <w:abstractNumId w:val="4"/>
  </w:num>
  <w:num w:numId="31">
    <w:abstractNumId w:val="22"/>
  </w:num>
  <w:num w:numId="32">
    <w:abstractNumId w:val="46"/>
  </w:num>
  <w:num w:numId="33">
    <w:abstractNumId w:val="36"/>
  </w:num>
  <w:num w:numId="34">
    <w:abstractNumId w:val="67"/>
  </w:num>
  <w:num w:numId="35">
    <w:abstractNumId w:val="63"/>
  </w:num>
  <w:num w:numId="36">
    <w:abstractNumId w:val="54"/>
  </w:num>
  <w:num w:numId="37">
    <w:abstractNumId w:val="23"/>
  </w:num>
  <w:num w:numId="38">
    <w:abstractNumId w:val="35"/>
  </w:num>
  <w:num w:numId="39">
    <w:abstractNumId w:val="57"/>
  </w:num>
  <w:num w:numId="40">
    <w:abstractNumId w:val="52"/>
  </w:num>
  <w:num w:numId="41">
    <w:abstractNumId w:val="27"/>
  </w:num>
  <w:num w:numId="42">
    <w:abstractNumId w:val="72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29"/>
  </w:num>
  <w:num w:numId="45">
    <w:abstractNumId w:val="7"/>
  </w:num>
  <w:num w:numId="46">
    <w:abstractNumId w:val="89"/>
  </w:num>
  <w:num w:numId="47">
    <w:abstractNumId w:val="66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6"/>
  </w:num>
  <w:num w:numId="51">
    <w:abstractNumId w:val="76"/>
  </w:num>
  <w:num w:numId="52">
    <w:abstractNumId w:val="31"/>
  </w:num>
  <w:num w:numId="53">
    <w:abstractNumId w:val="85"/>
  </w:num>
  <w:num w:numId="54">
    <w:abstractNumId w:val="2"/>
  </w:num>
  <w:num w:numId="55">
    <w:abstractNumId w:val="88"/>
  </w:num>
  <w:num w:numId="56">
    <w:abstractNumId w:val="48"/>
  </w:num>
  <w:num w:numId="57">
    <w:abstractNumId w:val="92"/>
  </w:num>
  <w:num w:numId="58">
    <w:abstractNumId w:val="71"/>
  </w:num>
  <w:num w:numId="59">
    <w:abstractNumId w:val="24"/>
  </w:num>
  <w:num w:numId="60">
    <w:abstractNumId w:val="18"/>
  </w:num>
  <w:num w:numId="61">
    <w:abstractNumId w:val="20"/>
  </w:num>
  <w:num w:numId="62">
    <w:abstractNumId w:val="28"/>
  </w:num>
  <w:num w:numId="63">
    <w:abstractNumId w:val="65"/>
  </w:num>
  <w:num w:numId="64">
    <w:abstractNumId w:val="69"/>
  </w:num>
  <w:num w:numId="65">
    <w:abstractNumId w:val="64"/>
  </w:num>
  <w:num w:numId="66">
    <w:abstractNumId w:val="86"/>
  </w:num>
  <w:num w:numId="67">
    <w:abstractNumId w:val="53"/>
  </w:num>
  <w:num w:numId="68">
    <w:abstractNumId w:val="33"/>
  </w:num>
  <w:num w:numId="69">
    <w:abstractNumId w:val="15"/>
  </w:num>
  <w:num w:numId="70">
    <w:abstractNumId w:val="81"/>
  </w:num>
  <w:num w:numId="71">
    <w:abstractNumId w:val="83"/>
  </w:num>
  <w:num w:numId="72">
    <w:abstractNumId w:val="74"/>
  </w:num>
  <w:num w:numId="73">
    <w:abstractNumId w:val="26"/>
  </w:num>
  <w:num w:numId="74">
    <w:abstractNumId w:val="41"/>
  </w:num>
  <w:num w:numId="75">
    <w:abstractNumId w:val="75"/>
  </w:num>
  <w:num w:numId="76">
    <w:abstractNumId w:val="9"/>
  </w:num>
  <w:num w:numId="77">
    <w:abstractNumId w:val="37"/>
  </w:num>
  <w:num w:numId="78">
    <w:abstractNumId w:val="60"/>
  </w:num>
  <w:num w:numId="79">
    <w:abstractNumId w:val="68"/>
  </w:num>
  <w:num w:numId="80">
    <w:abstractNumId w:val="91"/>
  </w:num>
  <w:num w:numId="81">
    <w:abstractNumId w:val="6"/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56"/>
  </w:num>
  <w:num w:numId="86">
    <w:abstractNumId w:val="43"/>
  </w:num>
  <w:num w:numId="87">
    <w:abstractNumId w:val="50"/>
  </w:num>
  <w:num w:numId="88">
    <w:abstractNumId w:val="13"/>
  </w:num>
  <w:num w:numId="89">
    <w:abstractNumId w:val="73"/>
  </w:num>
  <w:num w:numId="90">
    <w:abstractNumId w:val="47"/>
  </w:num>
  <w:num w:numId="91">
    <w:abstractNumId w:val="51"/>
  </w:num>
  <w:num w:numId="92">
    <w:abstractNumId w:val="5"/>
  </w:num>
  <w:num w:numId="93">
    <w:abstractNumId w:val="10"/>
  </w:num>
  <w:num w:numId="94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5914"/>
    <w:rsid w:val="0000602F"/>
    <w:rsid w:val="00006F81"/>
    <w:rsid w:val="000100C9"/>
    <w:rsid w:val="00011877"/>
    <w:rsid w:val="00011D80"/>
    <w:rsid w:val="00012027"/>
    <w:rsid w:val="0001215A"/>
    <w:rsid w:val="00016F8D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FA7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3B8F"/>
    <w:rsid w:val="000F4F37"/>
    <w:rsid w:val="001003CF"/>
    <w:rsid w:val="00101BF1"/>
    <w:rsid w:val="00102A50"/>
    <w:rsid w:val="0010343D"/>
    <w:rsid w:val="001049F8"/>
    <w:rsid w:val="0011382C"/>
    <w:rsid w:val="00114979"/>
    <w:rsid w:val="0011750C"/>
    <w:rsid w:val="00120D33"/>
    <w:rsid w:val="00121E57"/>
    <w:rsid w:val="001222CE"/>
    <w:rsid w:val="00122760"/>
    <w:rsid w:val="00123399"/>
    <w:rsid w:val="00126B9E"/>
    <w:rsid w:val="00130CE5"/>
    <w:rsid w:val="0013311D"/>
    <w:rsid w:val="00133B87"/>
    <w:rsid w:val="00133BC8"/>
    <w:rsid w:val="001422A8"/>
    <w:rsid w:val="00143756"/>
    <w:rsid w:val="00144B3E"/>
    <w:rsid w:val="00150CCF"/>
    <w:rsid w:val="00150DBC"/>
    <w:rsid w:val="0015246B"/>
    <w:rsid w:val="00152D48"/>
    <w:rsid w:val="00152DD3"/>
    <w:rsid w:val="00153967"/>
    <w:rsid w:val="00153D3A"/>
    <w:rsid w:val="00154723"/>
    <w:rsid w:val="00155439"/>
    <w:rsid w:val="00155512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4679"/>
    <w:rsid w:val="001E6E82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4ABB"/>
    <w:rsid w:val="00254CA2"/>
    <w:rsid w:val="00254D58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6D8"/>
    <w:rsid w:val="003257D5"/>
    <w:rsid w:val="0032786B"/>
    <w:rsid w:val="00327E69"/>
    <w:rsid w:val="00331296"/>
    <w:rsid w:val="00333AC1"/>
    <w:rsid w:val="00333C12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3D2"/>
    <w:rsid w:val="003D08E7"/>
    <w:rsid w:val="003D5228"/>
    <w:rsid w:val="003E2626"/>
    <w:rsid w:val="003E4852"/>
    <w:rsid w:val="003E5A5E"/>
    <w:rsid w:val="003E6850"/>
    <w:rsid w:val="003F0416"/>
    <w:rsid w:val="003F15F3"/>
    <w:rsid w:val="003F2DDE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6F6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BFC"/>
    <w:rsid w:val="004F0F85"/>
    <w:rsid w:val="004F1346"/>
    <w:rsid w:val="004F472D"/>
    <w:rsid w:val="004F562C"/>
    <w:rsid w:val="004F73A3"/>
    <w:rsid w:val="004F7B29"/>
    <w:rsid w:val="004F7BF7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D"/>
    <w:rsid w:val="00605AE0"/>
    <w:rsid w:val="006075A4"/>
    <w:rsid w:val="00610E9D"/>
    <w:rsid w:val="00612A0D"/>
    <w:rsid w:val="006134A2"/>
    <w:rsid w:val="0061364A"/>
    <w:rsid w:val="006144CF"/>
    <w:rsid w:val="00617046"/>
    <w:rsid w:val="006236AC"/>
    <w:rsid w:val="00630656"/>
    <w:rsid w:val="0063181C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91CD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BDE"/>
    <w:rsid w:val="007F2293"/>
    <w:rsid w:val="007F2F93"/>
    <w:rsid w:val="007F4C9F"/>
    <w:rsid w:val="007F614F"/>
    <w:rsid w:val="007F6242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74E8"/>
    <w:rsid w:val="00840E89"/>
    <w:rsid w:val="008410F2"/>
    <w:rsid w:val="008448F1"/>
    <w:rsid w:val="00844F1F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278B"/>
    <w:rsid w:val="00874D28"/>
    <w:rsid w:val="00874D3C"/>
    <w:rsid w:val="00875BE0"/>
    <w:rsid w:val="0088360D"/>
    <w:rsid w:val="00884EF8"/>
    <w:rsid w:val="00885FCC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4282"/>
    <w:rsid w:val="008F74C2"/>
    <w:rsid w:val="008F7A74"/>
    <w:rsid w:val="009006AC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27E5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2043"/>
    <w:rsid w:val="00996D11"/>
    <w:rsid w:val="009972F2"/>
    <w:rsid w:val="009A10B4"/>
    <w:rsid w:val="009A12AA"/>
    <w:rsid w:val="009A23E2"/>
    <w:rsid w:val="009A23EB"/>
    <w:rsid w:val="009A4619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3728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752D"/>
    <w:rsid w:val="00A10A7A"/>
    <w:rsid w:val="00A1195B"/>
    <w:rsid w:val="00A11A1B"/>
    <w:rsid w:val="00A12BC1"/>
    <w:rsid w:val="00A12CC2"/>
    <w:rsid w:val="00A14BA4"/>
    <w:rsid w:val="00A14EA0"/>
    <w:rsid w:val="00A157A2"/>
    <w:rsid w:val="00A24CF5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4571"/>
    <w:rsid w:val="00AC6841"/>
    <w:rsid w:val="00AC7156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2589"/>
    <w:rsid w:val="00B14022"/>
    <w:rsid w:val="00B14A04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52E8"/>
    <w:rsid w:val="00B45B2F"/>
    <w:rsid w:val="00B51E54"/>
    <w:rsid w:val="00B51EFC"/>
    <w:rsid w:val="00B51FBE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4A72"/>
    <w:rsid w:val="00C374F2"/>
    <w:rsid w:val="00C40317"/>
    <w:rsid w:val="00C416A4"/>
    <w:rsid w:val="00C43122"/>
    <w:rsid w:val="00C43949"/>
    <w:rsid w:val="00C44CB7"/>
    <w:rsid w:val="00C46B60"/>
    <w:rsid w:val="00C46D81"/>
    <w:rsid w:val="00C550F3"/>
    <w:rsid w:val="00C55EA3"/>
    <w:rsid w:val="00C654C1"/>
    <w:rsid w:val="00C72BE1"/>
    <w:rsid w:val="00C756A2"/>
    <w:rsid w:val="00C7765F"/>
    <w:rsid w:val="00C777AD"/>
    <w:rsid w:val="00C81BED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A36D3"/>
    <w:rsid w:val="00EA3CF9"/>
    <w:rsid w:val="00EA4BB8"/>
    <w:rsid w:val="00EA602F"/>
    <w:rsid w:val="00EA7043"/>
    <w:rsid w:val="00EB1121"/>
    <w:rsid w:val="00EB216E"/>
    <w:rsid w:val="00EB28BF"/>
    <w:rsid w:val="00EB2E65"/>
    <w:rsid w:val="00EC70E1"/>
    <w:rsid w:val="00ED2E45"/>
    <w:rsid w:val="00ED35D6"/>
    <w:rsid w:val="00ED4EBB"/>
    <w:rsid w:val="00EE20FC"/>
    <w:rsid w:val="00EE3E0F"/>
    <w:rsid w:val="00EE42F3"/>
    <w:rsid w:val="00EE4BB8"/>
    <w:rsid w:val="00EE5421"/>
    <w:rsid w:val="00EE5F4F"/>
    <w:rsid w:val="00EE71B0"/>
    <w:rsid w:val="00EE73A5"/>
    <w:rsid w:val="00EE7823"/>
    <w:rsid w:val="00EE7E84"/>
    <w:rsid w:val="00F00549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0F40"/>
    <w:rsid w:val="00F41320"/>
    <w:rsid w:val="00F41F9F"/>
    <w:rsid w:val="00F428D7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9009C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C7772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01E3-7F37-479E-B8C6-206F2CE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8127</Words>
  <Characters>48765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7</cp:revision>
  <cp:lastPrinted>2023-01-27T06:15:00Z</cp:lastPrinted>
  <dcterms:created xsi:type="dcterms:W3CDTF">2023-06-07T11:59:00Z</dcterms:created>
  <dcterms:modified xsi:type="dcterms:W3CDTF">2023-06-07T13:35:00Z</dcterms:modified>
</cp:coreProperties>
</file>