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D5" w:rsidRPr="003D339D" w:rsidRDefault="003D339D" w:rsidP="00B5020A">
      <w:pPr>
        <w:tabs>
          <w:tab w:val="left" w:pos="9071"/>
        </w:tabs>
        <w:spacing w:line="360" w:lineRule="auto"/>
        <w:rPr>
          <w:rFonts w:ascii="Verdana" w:hAnsi="Verdana"/>
          <w:b/>
          <w:sz w:val="22"/>
          <w:szCs w:val="22"/>
        </w:rPr>
      </w:pPr>
      <w:bookmarkStart w:id="0" w:name="_GoBack"/>
      <w:r w:rsidRPr="003D339D">
        <w:rPr>
          <w:rFonts w:ascii="Verdana" w:hAnsi="Verdana"/>
          <w:b/>
          <w:sz w:val="22"/>
          <w:szCs w:val="22"/>
        </w:rPr>
        <w:t xml:space="preserve">Załącznik nr 4 pakiet 1 </w:t>
      </w:r>
    </w:p>
    <w:bookmarkEnd w:id="0"/>
    <w:p w:rsidR="0061763F" w:rsidRDefault="0061763F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</w:p>
    <w:p w:rsidR="008940D5" w:rsidRDefault="0046474C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Formularz cenowy</w:t>
      </w:r>
    </w:p>
    <w:p w:rsidR="008940D5" w:rsidRDefault="008940D5">
      <w:pPr>
        <w:overflowPunct w:val="0"/>
        <w:jc w:val="center"/>
        <w:rPr>
          <w:rFonts w:ascii="Calibri" w:eastAsia="Calibri" w:hAnsi="Calibri" w:cs="Tahoma"/>
          <w:b/>
          <w:bCs/>
          <w:spacing w:val="-1"/>
          <w:sz w:val="20"/>
          <w:szCs w:val="20"/>
          <w:lang w:eastAsia="en-US"/>
        </w:rPr>
      </w:pPr>
    </w:p>
    <w:p w:rsidR="008940D5" w:rsidRPr="00C23BD5" w:rsidRDefault="00C23BD5">
      <w:pPr>
        <w:overflowPunct w:val="0"/>
        <w:jc w:val="center"/>
        <w:rPr>
          <w:rFonts w:ascii="Calibri" w:eastAsia="Calibri" w:hAnsi="Calibri" w:cs="Tahoma"/>
          <w:b/>
          <w:bCs/>
          <w:spacing w:val="-1"/>
          <w:sz w:val="22"/>
          <w:szCs w:val="22"/>
          <w:lang w:eastAsia="en-US"/>
        </w:rPr>
      </w:pPr>
      <w:r>
        <w:rPr>
          <w:rFonts w:ascii="Calibri" w:eastAsia="Calibri" w:hAnsi="Calibri" w:cs="Tahoma"/>
          <w:b/>
          <w:bCs/>
          <w:spacing w:val="-1"/>
          <w:sz w:val="22"/>
          <w:szCs w:val="22"/>
          <w:lang w:eastAsia="en-US"/>
        </w:rPr>
        <w:t>Przegląd</w:t>
      </w:r>
      <w:r w:rsidR="0046474C" w:rsidRPr="00C23BD5">
        <w:rPr>
          <w:rFonts w:ascii="Calibri" w:eastAsia="Calibri" w:hAnsi="Calibri" w:cs="Tahoma"/>
          <w:b/>
          <w:bCs/>
          <w:spacing w:val="-1"/>
          <w:sz w:val="22"/>
          <w:szCs w:val="22"/>
          <w:lang w:eastAsia="en-US"/>
        </w:rPr>
        <w:t>, czyszczenie i dezynfekcja klimatyzatorów</w:t>
      </w:r>
    </w:p>
    <w:p w:rsidR="008940D5" w:rsidRDefault="008940D5">
      <w:pPr>
        <w:overflowPunct w:val="0"/>
        <w:jc w:val="center"/>
        <w:rPr>
          <w:rFonts w:ascii="Calibri" w:eastAsia="Calibri" w:hAnsi="Calibri" w:cs="Tahoma"/>
          <w:sz w:val="20"/>
          <w:szCs w:val="20"/>
          <w:lang w:eastAsia="en-US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7"/>
        <w:gridCol w:w="808"/>
        <w:gridCol w:w="2277"/>
        <w:gridCol w:w="1453"/>
        <w:gridCol w:w="916"/>
        <w:gridCol w:w="1547"/>
      </w:tblGrid>
      <w:tr w:rsidR="008940D5"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>Sztuk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>Częstotliwość czyszczenia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>Cena netto</w:t>
            </w:r>
          </w:p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>(zł)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>VAT</w:t>
            </w:r>
          </w:p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>(%)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overflowPunct w:val="0"/>
              <w:jc w:val="center"/>
            </w:pPr>
            <w:r>
              <w:rPr>
                <w:rFonts w:ascii="Calibri" w:eastAsia="Calibri" w:hAnsi="Calibri" w:cs="Tahoma"/>
                <w:b/>
                <w:sz w:val="20"/>
                <w:szCs w:val="20"/>
                <w:lang w:eastAsia="en-US"/>
              </w:rPr>
              <w:t xml:space="preserve">Wartość </w:t>
            </w:r>
            <w:r>
              <w:rPr>
                <w:rFonts w:ascii="Calibri" w:eastAsia="Calibri" w:hAnsi="Calibri" w:cs="Tahoma"/>
                <w:b/>
                <w:spacing w:val="-1"/>
                <w:sz w:val="20"/>
                <w:szCs w:val="20"/>
                <w:lang w:eastAsia="en-US"/>
              </w:rPr>
              <w:t>brutto</w:t>
            </w:r>
          </w:p>
          <w:p w:rsidR="008940D5" w:rsidRDefault="0046474C">
            <w:pPr>
              <w:overflowPunct w:val="0"/>
              <w:jc w:val="center"/>
            </w:pPr>
            <w:r>
              <w:rPr>
                <w:rFonts w:ascii="Calibri" w:eastAsia="Calibri" w:hAnsi="Calibri" w:cs="Tahoma"/>
                <w:b/>
                <w:spacing w:val="-1"/>
                <w:sz w:val="20"/>
                <w:szCs w:val="20"/>
                <w:lang w:eastAsia="en-US"/>
              </w:rPr>
              <w:t>(zł)</w:t>
            </w:r>
          </w:p>
        </w:tc>
      </w:tr>
      <w:tr w:rsidR="008940D5" w:rsidTr="00363217"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46474C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 xml:space="preserve">Klimatyzator </w:t>
            </w:r>
          </w:p>
          <w:p w:rsidR="008940D5" w:rsidRDefault="0046474C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Jednostka zewnętrzna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516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1 raz w roku</w:t>
            </w:r>
          </w:p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w ciągu 12 m-</w:t>
            </w:r>
            <w:proofErr w:type="spellStart"/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cy</w:t>
            </w:r>
            <w:proofErr w:type="spell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</w:p>
        </w:tc>
      </w:tr>
      <w:tr w:rsidR="008940D5" w:rsidTr="00363217"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46474C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Klimatyzator</w:t>
            </w:r>
          </w:p>
          <w:p w:rsidR="008940D5" w:rsidRDefault="0046474C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Jednostka wewnętrzna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C354F8">
            <w:pPr>
              <w:overflowPunct w:val="0"/>
              <w:jc w:val="center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1 raz w roku</w:t>
            </w:r>
          </w:p>
          <w:p w:rsidR="008940D5" w:rsidRDefault="0046474C">
            <w:pPr>
              <w:overflowPunct w:val="0"/>
              <w:jc w:val="center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w ciągu 12 m-</w:t>
            </w:r>
            <w:proofErr w:type="spellStart"/>
            <w:r>
              <w:rPr>
                <w:rFonts w:ascii="Calibri" w:eastAsia="Calibri" w:hAnsi="Calibri" w:cs="Tahoma"/>
                <w:sz w:val="20"/>
                <w:szCs w:val="20"/>
                <w:lang w:eastAsia="en-US"/>
              </w:rPr>
              <w:t>cy</w:t>
            </w:r>
            <w:proofErr w:type="spell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</w:p>
        </w:tc>
      </w:tr>
      <w:tr w:rsidR="008940D5" w:rsidTr="00363217">
        <w:trPr>
          <w:trHeight w:hRule="exact" w:val="501"/>
        </w:trPr>
        <w:tc>
          <w:tcPr>
            <w:tcW w:w="7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Pr="001B4AE8" w:rsidRDefault="0046474C" w:rsidP="001B4AE8">
            <w:pPr>
              <w:overflowPunct w:val="0"/>
              <w:jc w:val="right"/>
            </w:pPr>
            <w:r w:rsidRPr="001B4AE8">
              <w:rPr>
                <w:rFonts w:ascii="Calibri" w:eastAsia="Calibri" w:hAnsi="Calibri" w:cs="Tahoma"/>
                <w:b/>
                <w:lang w:eastAsia="en-US"/>
              </w:rPr>
              <w:t>Razem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overflowPunct w:val="0"/>
              <w:rPr>
                <w:rFonts w:ascii="Calibri" w:eastAsia="Calibri" w:hAnsi="Calibri" w:cs="Tahoma"/>
                <w:sz w:val="20"/>
                <w:szCs w:val="20"/>
                <w:lang w:eastAsia="en-US"/>
              </w:rPr>
            </w:pPr>
          </w:p>
        </w:tc>
      </w:tr>
    </w:tbl>
    <w:p w:rsidR="00C23BD5" w:rsidRDefault="00C23BD5">
      <w:pPr>
        <w:overflowPunct w:val="0"/>
        <w:spacing w:before="100"/>
        <w:rPr>
          <w:rFonts w:ascii="Calibri" w:eastAsia="Calibri" w:hAnsi="Calibri" w:cs="Tahoma"/>
          <w:b/>
          <w:bCs/>
          <w:sz w:val="20"/>
          <w:szCs w:val="20"/>
          <w:lang w:eastAsia="en-US"/>
        </w:rPr>
      </w:pPr>
    </w:p>
    <w:p w:rsidR="008940D5" w:rsidRDefault="0046474C">
      <w:pPr>
        <w:overflowPunct w:val="0"/>
        <w:spacing w:before="100"/>
        <w:rPr>
          <w:rFonts w:ascii="Verdana" w:eastAsia="Calibri" w:hAnsi="Verdana" w:cs="Tahoma"/>
          <w:b/>
          <w:bCs/>
          <w:spacing w:val="-1"/>
          <w:sz w:val="18"/>
          <w:szCs w:val="18"/>
          <w:lang w:eastAsia="en-US"/>
        </w:rPr>
      </w:pPr>
      <w:r w:rsidRPr="0061763F">
        <w:rPr>
          <w:rFonts w:ascii="Verdana" w:eastAsia="Calibri" w:hAnsi="Verdana" w:cs="Tahoma"/>
          <w:b/>
          <w:bCs/>
          <w:sz w:val="18"/>
          <w:szCs w:val="18"/>
          <w:lang w:eastAsia="en-US"/>
        </w:rPr>
        <w:t>Zakres</w:t>
      </w:r>
      <w:r w:rsidR="00C23BD5" w:rsidRPr="0061763F">
        <w:rPr>
          <w:rFonts w:ascii="Verdana" w:eastAsia="Calibri" w:hAnsi="Verdana" w:cs="Tahoma"/>
          <w:b/>
          <w:bCs/>
          <w:spacing w:val="-1"/>
          <w:sz w:val="18"/>
          <w:szCs w:val="18"/>
          <w:lang w:eastAsia="en-US"/>
        </w:rPr>
        <w:t xml:space="preserve"> czyszczenia i dezynfekcji</w:t>
      </w:r>
      <w:r w:rsidRPr="0061763F">
        <w:rPr>
          <w:rFonts w:ascii="Verdana" w:eastAsia="Calibri" w:hAnsi="Verdana" w:cs="Tahoma"/>
          <w:b/>
          <w:bCs/>
          <w:spacing w:val="-1"/>
          <w:sz w:val="18"/>
          <w:szCs w:val="18"/>
          <w:lang w:eastAsia="en-US"/>
        </w:rPr>
        <w:t>:</w:t>
      </w:r>
    </w:p>
    <w:p w:rsidR="0061763F" w:rsidRPr="0061763F" w:rsidRDefault="0061763F">
      <w:pPr>
        <w:overflowPunct w:val="0"/>
        <w:spacing w:before="100"/>
        <w:rPr>
          <w:rFonts w:ascii="Verdana" w:hAnsi="Verdana"/>
          <w:sz w:val="18"/>
          <w:szCs w:val="18"/>
        </w:rPr>
      </w:pPr>
    </w:p>
    <w:p w:rsidR="008940D5" w:rsidRPr="0061763F" w:rsidRDefault="0046474C">
      <w:pPr>
        <w:numPr>
          <w:ilvl w:val="0"/>
          <w:numId w:val="2"/>
        </w:numPr>
        <w:overflowPunct w:val="0"/>
        <w:spacing w:before="7"/>
        <w:rPr>
          <w:rFonts w:ascii="Verdana" w:eastAsia="Calibri" w:hAnsi="Verdana"/>
          <w:sz w:val="18"/>
          <w:szCs w:val="18"/>
          <w:lang w:eastAsia="en-US"/>
        </w:rPr>
      </w:pPr>
      <w:r w:rsidRPr="0061763F">
        <w:rPr>
          <w:rFonts w:ascii="Verdana" w:eastAsia="Calibri" w:hAnsi="Verdana"/>
          <w:sz w:val="18"/>
          <w:szCs w:val="18"/>
          <w:lang w:eastAsia="en-US"/>
        </w:rPr>
        <w:t>Czyszczenie jednostek zewnętrznych klimatyzatorów wraz z udrażnianiem skraplaczy</w:t>
      </w:r>
    </w:p>
    <w:p w:rsidR="008940D5" w:rsidRPr="0061763F" w:rsidRDefault="0046474C">
      <w:pPr>
        <w:numPr>
          <w:ilvl w:val="0"/>
          <w:numId w:val="1"/>
        </w:numPr>
        <w:overflowPunct w:val="0"/>
        <w:spacing w:before="7"/>
        <w:rPr>
          <w:rFonts w:ascii="Verdana" w:eastAsia="Calibri" w:hAnsi="Verdana"/>
          <w:sz w:val="18"/>
          <w:szCs w:val="18"/>
          <w:lang w:eastAsia="en-US"/>
        </w:rPr>
      </w:pPr>
      <w:r w:rsidRPr="0061763F">
        <w:rPr>
          <w:rFonts w:ascii="Verdana" w:eastAsia="Calibri" w:hAnsi="Verdana"/>
          <w:sz w:val="18"/>
          <w:szCs w:val="18"/>
          <w:lang w:eastAsia="en-US"/>
        </w:rPr>
        <w:t xml:space="preserve">Czyszczenie i dezynfekcja jednostek wewnętrznych wraz z udrażnianiem parowników klimatyzatorów </w:t>
      </w:r>
    </w:p>
    <w:p w:rsidR="00C23BD5" w:rsidRPr="0061763F" w:rsidRDefault="0046474C">
      <w:pPr>
        <w:numPr>
          <w:ilvl w:val="0"/>
          <w:numId w:val="1"/>
        </w:numPr>
        <w:overflowPunct w:val="0"/>
        <w:spacing w:before="7"/>
        <w:rPr>
          <w:rFonts w:ascii="Verdana" w:eastAsia="Calibri" w:hAnsi="Verdana"/>
          <w:sz w:val="18"/>
          <w:szCs w:val="18"/>
          <w:lang w:eastAsia="en-US"/>
        </w:rPr>
      </w:pPr>
      <w:r w:rsidRPr="0061763F">
        <w:rPr>
          <w:rFonts w:ascii="Verdana" w:eastAsia="Calibri" w:hAnsi="Verdana"/>
          <w:sz w:val="18"/>
          <w:szCs w:val="18"/>
          <w:lang w:eastAsia="en-US"/>
        </w:rPr>
        <w:t>Udrażnianie odpływu skroplin klimatyzatorów</w:t>
      </w:r>
    </w:p>
    <w:p w:rsidR="008940D5" w:rsidRPr="0061763F" w:rsidRDefault="00C23BD5">
      <w:pPr>
        <w:numPr>
          <w:ilvl w:val="0"/>
          <w:numId w:val="1"/>
        </w:numPr>
        <w:overflowPunct w:val="0"/>
        <w:spacing w:before="7"/>
        <w:rPr>
          <w:rFonts w:ascii="Verdana" w:eastAsia="Calibri" w:hAnsi="Verdana"/>
          <w:sz w:val="18"/>
          <w:szCs w:val="18"/>
          <w:lang w:eastAsia="en-US"/>
        </w:rPr>
      </w:pPr>
      <w:r w:rsidRPr="0061763F">
        <w:rPr>
          <w:rFonts w:ascii="Verdana" w:eastAsia="Calibri" w:hAnsi="Verdana"/>
          <w:sz w:val="18"/>
          <w:szCs w:val="18"/>
          <w:lang w:eastAsia="en-US"/>
        </w:rPr>
        <w:t>Kontrola szczelności układu chłodniczego</w:t>
      </w:r>
      <w:r w:rsidR="0046474C" w:rsidRPr="0061763F">
        <w:rPr>
          <w:rFonts w:ascii="Verdana" w:eastAsia="Calibri" w:hAnsi="Verdana"/>
          <w:sz w:val="18"/>
          <w:szCs w:val="18"/>
          <w:lang w:eastAsia="en-US"/>
        </w:rPr>
        <w:t xml:space="preserve"> </w:t>
      </w:r>
    </w:p>
    <w:p w:rsidR="00C23BD5" w:rsidRDefault="00C23BD5">
      <w:pPr>
        <w:numPr>
          <w:ilvl w:val="0"/>
          <w:numId w:val="1"/>
        </w:numPr>
        <w:overflowPunct w:val="0"/>
        <w:spacing w:before="7"/>
        <w:rPr>
          <w:rFonts w:ascii="Verdana" w:eastAsia="Calibri" w:hAnsi="Verdana"/>
          <w:sz w:val="18"/>
          <w:szCs w:val="18"/>
          <w:lang w:eastAsia="en-US"/>
        </w:rPr>
      </w:pPr>
      <w:r w:rsidRPr="0061763F">
        <w:rPr>
          <w:rFonts w:ascii="Verdana" w:eastAsia="Calibri" w:hAnsi="Verdana"/>
          <w:sz w:val="18"/>
          <w:szCs w:val="18"/>
          <w:lang w:eastAsia="en-US"/>
        </w:rPr>
        <w:t>Przegląd techniczny i kontrola parametrów pracy</w:t>
      </w:r>
    </w:p>
    <w:p w:rsidR="0061763F" w:rsidRPr="0061763F" w:rsidRDefault="0061763F">
      <w:pPr>
        <w:numPr>
          <w:ilvl w:val="0"/>
          <w:numId w:val="1"/>
        </w:numPr>
        <w:overflowPunct w:val="0"/>
        <w:spacing w:before="7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Kontrola i czyszczenie układu sterowania klimatyzatora</w:t>
      </w:r>
    </w:p>
    <w:p w:rsidR="008940D5" w:rsidRDefault="008940D5">
      <w:pPr>
        <w:autoSpaceDE w:val="0"/>
        <w:rPr>
          <w:rFonts w:ascii="Calibri" w:eastAsia="Calibri" w:hAnsi="Calibri" w:cs="Tahoma,Bold"/>
          <w:b/>
          <w:bCs/>
          <w:color w:val="000000"/>
          <w:sz w:val="22"/>
          <w:szCs w:val="22"/>
          <w:lang w:eastAsia="en-US"/>
        </w:rPr>
      </w:pPr>
    </w:p>
    <w:p w:rsidR="008940D5" w:rsidRDefault="0046474C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 xml:space="preserve">Uwaga: </w:t>
      </w:r>
    </w:p>
    <w:p w:rsidR="008940D5" w:rsidRDefault="0046474C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Cena jednostkowa za przegląd techniczny i konserwację 1 szt. urządzenia (w tym jednostki zewnętrznej, która jest integralnie połączona z jednostką/jednostkami wewnętrznymi) obejmuje prace przeglądu technicznego i konserwacji, w zakres których wchodzą następujące czynności:</w:t>
      </w:r>
    </w:p>
    <w:p w:rsidR="008940D5" w:rsidRPr="00C23BD5" w:rsidRDefault="00B5020A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 xml:space="preserve">a/ </w:t>
      </w:r>
      <w:r w:rsidR="0046474C"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 xml:space="preserve">gruntowne czyszczenie jednostki zewnętrznej poprzez oczyszczenie lameli skraplacza </w:t>
      </w:r>
      <w:r w:rsidR="00C23BD5"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br/>
      </w:r>
      <w:r w:rsidR="0046474C"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z wykorzystaniem grzebieni oraz środków chemicznych (cena powinna zawierać użycie podnośnika koszowego lub zabudowę rusztowań)</w:t>
      </w: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;</w:t>
      </w:r>
    </w:p>
    <w:p w:rsidR="008940D5" w:rsidRDefault="0046474C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b/ gruntowne czyszczenie jednostek wewnętrznych klimatyzatorów, poprzez czyszczenie obudowy, lameli parownika, turbiny wentylatora, wyczyszczenie filtrów, dezynfekcję jednostki wewnętrznej za pomocą środków przeciwgrzybicznych; sprawdzenie szczelności i drożności układu odprowadzenia skroplin, udrożnienie, czyszczenie tacy ociekowej oraz odpływu wraz z wykonaniem dezynfekcji za pomocą środków przeciwgrzybicznych; sprawdzenie prawidłowości działani</w:t>
      </w:r>
      <w:r w:rsidR="0061763F"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a urządzeń sterowniczych (pilot lub kaseta</w:t>
      </w: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);</w:t>
      </w:r>
    </w:p>
    <w:p w:rsidR="00B5020A" w:rsidRDefault="00B5020A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c/ sprawdzenie metodą pośrednią szczelności układu chłodniczego z zaznaczeniem w protokole;</w:t>
      </w:r>
    </w:p>
    <w:p w:rsidR="00B5020A" w:rsidRDefault="00B5020A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d/ sprawdzenie działania elementów klimatyzatora – w tym napędów wentylatorów, sprężarki, kierownic powietrza;</w:t>
      </w:r>
    </w:p>
    <w:p w:rsidR="00B5020A" w:rsidRDefault="00B5020A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e/ sprawdzenie parametrów pracy – w tym temperatury dla chłodze</w:t>
      </w:r>
      <w:r w:rsidR="0061763F"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nia i grzania, ciśnienia ssania;</w:t>
      </w:r>
    </w:p>
    <w:p w:rsidR="0061763F" w:rsidRDefault="0061763F" w:rsidP="00C23BD5">
      <w:pPr>
        <w:widowControl w:val="0"/>
        <w:spacing w:line="276" w:lineRule="auto"/>
        <w:jc w:val="both"/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</w:pPr>
      <w:r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 xml:space="preserve">f/ kontrola i czyszczenie, korekta połączeń, </w:t>
      </w:r>
      <w:r w:rsidR="0062567D">
        <w:rPr>
          <w:rFonts w:ascii="Verdana" w:eastAsia="Arial Unicode MS" w:hAnsi="Verdana" w:cs="Arial"/>
          <w:bCs/>
          <w:kern w:val="3"/>
          <w:sz w:val="18"/>
          <w:szCs w:val="18"/>
          <w:lang w:eastAsia="zh-CN" w:bidi="hi-IN"/>
        </w:rPr>
        <w:t>sprawdzenie płyty układu sterowania w jednostce zewnętrznej klimatyzatora.</w:t>
      </w:r>
    </w:p>
    <w:p w:rsidR="008940D5" w:rsidRDefault="008940D5">
      <w:pPr>
        <w:jc w:val="both"/>
        <w:rPr>
          <w:rFonts w:ascii="Verdana" w:hAnsi="Verdana"/>
          <w:bCs/>
          <w:strike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62567D" w:rsidRDefault="0062567D">
      <w:pPr>
        <w:jc w:val="both"/>
        <w:rPr>
          <w:rFonts w:ascii="Verdana" w:hAnsi="Verdana"/>
          <w:b/>
          <w:bCs/>
          <w:sz w:val="18"/>
          <w:szCs w:val="20"/>
        </w:rPr>
      </w:pPr>
    </w:p>
    <w:p w:rsidR="008940D5" w:rsidRDefault="0046474C">
      <w:pPr>
        <w:jc w:val="both"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/>
          <w:bCs/>
          <w:sz w:val="18"/>
          <w:szCs w:val="20"/>
        </w:rPr>
        <w:t>Uwaga:</w:t>
      </w:r>
      <w:r>
        <w:rPr>
          <w:rFonts w:ascii="Verdana" w:hAnsi="Verdana"/>
          <w:bCs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2567D" w:rsidRDefault="0062567D">
      <w:pPr>
        <w:jc w:val="both"/>
      </w:pPr>
    </w:p>
    <w:p w:rsidR="008940D5" w:rsidRDefault="008940D5">
      <w:pPr>
        <w:jc w:val="both"/>
        <w:rPr>
          <w:rFonts w:ascii="Verdana" w:hAnsi="Verdana"/>
          <w:sz w:val="10"/>
          <w:szCs w:val="16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7"/>
        <w:gridCol w:w="4731"/>
      </w:tblGrid>
      <w:tr w:rsidR="008940D5"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jc w:val="center"/>
            </w:pPr>
            <w:r>
              <w:rPr>
                <w:rFonts w:ascii="Verdana" w:hAnsi="Verdana" w:cs="Tahoma"/>
                <w:b/>
                <w:sz w:val="18"/>
                <w:szCs w:val="20"/>
              </w:rPr>
              <w:t>Następującą część zamówienia zamierzam powierzyć podwykonawcy</w:t>
            </w:r>
            <w:r w:rsidR="0062567D">
              <w:rPr>
                <w:rFonts w:ascii="Verdana" w:hAnsi="Verdana" w:cs="Tahoma"/>
                <w:b/>
                <w:sz w:val="18"/>
                <w:szCs w:val="20"/>
              </w:rPr>
              <w:t>/om</w:t>
            </w:r>
            <w:r>
              <w:rPr>
                <w:rFonts w:ascii="Verdana" w:hAnsi="Verdana" w:cs="Tahoma"/>
                <w:b/>
                <w:sz w:val="18"/>
                <w:szCs w:val="20"/>
              </w:rPr>
              <w:t>: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0D5" w:rsidRDefault="0046474C">
            <w:pPr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Nazwy firm podwykonawc</w:t>
            </w:r>
            <w:r w:rsidR="0062567D">
              <w:rPr>
                <w:rFonts w:ascii="Verdana" w:hAnsi="Verdana"/>
                <w:b/>
                <w:sz w:val="18"/>
                <w:szCs w:val="20"/>
              </w:rPr>
              <w:t>y/</w:t>
            </w:r>
            <w:r>
              <w:rPr>
                <w:rFonts w:ascii="Verdana" w:hAnsi="Verdana"/>
                <w:b/>
                <w:sz w:val="18"/>
                <w:szCs w:val="20"/>
              </w:rPr>
              <w:t>ów:</w:t>
            </w:r>
          </w:p>
        </w:tc>
      </w:tr>
      <w:tr w:rsidR="008940D5" w:rsidTr="0062567D">
        <w:trPr>
          <w:trHeight w:val="2294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0D5" w:rsidRDefault="008940D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23BD5" w:rsidRDefault="00C23BD5">
      <w:pPr>
        <w:jc w:val="both"/>
        <w:rPr>
          <w:rFonts w:ascii="Verdana" w:hAnsi="Verdana"/>
          <w:sz w:val="18"/>
          <w:szCs w:val="20"/>
        </w:rPr>
      </w:pPr>
    </w:p>
    <w:p w:rsidR="008940D5" w:rsidRDefault="0046474C">
      <w:pPr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8940D5" w:rsidRDefault="008940D5">
      <w:pPr>
        <w:jc w:val="both"/>
        <w:rPr>
          <w:rFonts w:ascii="Verdana" w:hAnsi="Verdana" w:cs="Tahoma"/>
          <w:sz w:val="16"/>
          <w:szCs w:val="16"/>
        </w:rPr>
      </w:pPr>
    </w:p>
    <w:p w:rsidR="00C23BD5" w:rsidRDefault="00C23BD5">
      <w:pPr>
        <w:jc w:val="both"/>
        <w:rPr>
          <w:rFonts w:ascii="Verdana" w:hAnsi="Verdana" w:cs="Tahoma"/>
          <w:sz w:val="16"/>
          <w:szCs w:val="16"/>
        </w:rPr>
      </w:pPr>
    </w:p>
    <w:p w:rsidR="008940D5" w:rsidRDefault="008940D5">
      <w:pPr>
        <w:jc w:val="both"/>
        <w:rPr>
          <w:rFonts w:ascii="Verdana" w:hAnsi="Verdana" w:cs="Tahoma"/>
          <w:sz w:val="18"/>
          <w:szCs w:val="18"/>
        </w:rPr>
      </w:pPr>
    </w:p>
    <w:p w:rsidR="00F024A3" w:rsidRDefault="00F024A3">
      <w:pPr>
        <w:jc w:val="both"/>
        <w:rPr>
          <w:rFonts w:ascii="Verdana" w:hAnsi="Verdana" w:cs="Tahoma"/>
          <w:sz w:val="18"/>
          <w:szCs w:val="18"/>
        </w:rPr>
      </w:pPr>
    </w:p>
    <w:p w:rsidR="00F024A3" w:rsidRDefault="00F024A3">
      <w:pPr>
        <w:jc w:val="both"/>
        <w:rPr>
          <w:rFonts w:ascii="Verdana" w:hAnsi="Verdana" w:cs="Tahoma"/>
          <w:sz w:val="18"/>
          <w:szCs w:val="18"/>
        </w:rPr>
      </w:pPr>
    </w:p>
    <w:p w:rsidR="008940D5" w:rsidRDefault="008940D5">
      <w:pPr>
        <w:jc w:val="both"/>
        <w:rPr>
          <w:rFonts w:ascii="Verdana" w:hAnsi="Verdana" w:cs="Tahoma"/>
          <w:sz w:val="18"/>
          <w:szCs w:val="18"/>
        </w:rPr>
      </w:pPr>
    </w:p>
    <w:p w:rsidR="008940D5" w:rsidRDefault="0046474C">
      <w:pPr>
        <w:jc w:val="both"/>
      </w:pPr>
      <w:r>
        <w:rPr>
          <w:rFonts w:ascii="Verdana" w:hAnsi="Verdana" w:cs="Tahoma"/>
          <w:sz w:val="18"/>
          <w:szCs w:val="18"/>
        </w:rPr>
        <w:t>Oświadczam, że wypełniłem obowiązki informacyjne przewidziane w art. 13 lub art. 14 RODO</w:t>
      </w:r>
      <w:r>
        <w:rPr>
          <w:rFonts w:ascii="Verdana" w:hAnsi="Verdana" w:cs="Tahoma"/>
          <w:sz w:val="18"/>
          <w:szCs w:val="18"/>
          <w:vertAlign w:val="superscript"/>
        </w:rPr>
        <w:t>1)</w:t>
      </w:r>
      <w:r>
        <w:rPr>
          <w:rFonts w:ascii="Verdana" w:hAnsi="Verdan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0D5" w:rsidRDefault="008940D5">
      <w:pPr>
        <w:jc w:val="both"/>
        <w:rPr>
          <w:rFonts w:ascii="Verdana" w:hAnsi="Verdana" w:cs="Tahoma"/>
          <w:sz w:val="18"/>
          <w:szCs w:val="18"/>
        </w:rPr>
      </w:pPr>
    </w:p>
    <w:p w:rsidR="008940D5" w:rsidRDefault="0046474C">
      <w:pPr>
        <w:jc w:val="both"/>
      </w:pPr>
      <w:r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0D5" w:rsidRDefault="0046474C">
      <w:pPr>
        <w:spacing w:before="100" w:after="100"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940D5" w:rsidRDefault="008940D5">
      <w:pPr>
        <w:jc w:val="both"/>
        <w:rPr>
          <w:rFonts w:ascii="Verdana" w:hAnsi="Verdana" w:cs="Tahoma"/>
          <w:sz w:val="16"/>
          <w:szCs w:val="16"/>
        </w:rPr>
      </w:pPr>
    </w:p>
    <w:p w:rsidR="0062567D" w:rsidRDefault="0062567D">
      <w:pPr>
        <w:jc w:val="both"/>
        <w:rPr>
          <w:rFonts w:ascii="Verdana" w:hAnsi="Verdana" w:cs="Tahoma"/>
          <w:sz w:val="16"/>
          <w:szCs w:val="16"/>
        </w:rPr>
      </w:pPr>
    </w:p>
    <w:p w:rsidR="0062567D" w:rsidRDefault="0062567D">
      <w:pPr>
        <w:jc w:val="both"/>
        <w:rPr>
          <w:rFonts w:ascii="Verdana" w:hAnsi="Verdana" w:cs="Tahoma"/>
          <w:sz w:val="16"/>
          <w:szCs w:val="16"/>
        </w:rPr>
      </w:pPr>
    </w:p>
    <w:p w:rsidR="00C23BD5" w:rsidRDefault="00C23BD5">
      <w:pPr>
        <w:jc w:val="both"/>
        <w:rPr>
          <w:rFonts w:ascii="Verdana" w:hAnsi="Verdana" w:cs="Tahoma"/>
          <w:sz w:val="16"/>
          <w:szCs w:val="16"/>
        </w:rPr>
      </w:pPr>
    </w:p>
    <w:p w:rsidR="008940D5" w:rsidRDefault="008940D5">
      <w:pPr>
        <w:jc w:val="both"/>
        <w:rPr>
          <w:rFonts w:ascii="Verdana" w:hAnsi="Verdana" w:cs="Tahoma"/>
          <w:sz w:val="16"/>
          <w:szCs w:val="16"/>
        </w:rPr>
      </w:pPr>
    </w:p>
    <w:p w:rsidR="00C23BD5" w:rsidRDefault="00C23BD5">
      <w:pPr>
        <w:jc w:val="both"/>
        <w:rPr>
          <w:rFonts w:ascii="Verdana" w:hAnsi="Verdana" w:cs="Tahoma"/>
          <w:sz w:val="16"/>
          <w:szCs w:val="16"/>
        </w:rPr>
      </w:pPr>
    </w:p>
    <w:p w:rsidR="008940D5" w:rsidRDefault="008940D5"/>
    <w:sectPr w:rsidR="008940D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2F" w:rsidRDefault="00115C2F">
      <w:r>
        <w:separator/>
      </w:r>
    </w:p>
  </w:endnote>
  <w:endnote w:type="continuationSeparator" w:id="0">
    <w:p w:rsidR="00115C2F" w:rsidRDefault="0011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2F" w:rsidRDefault="00115C2F">
      <w:r>
        <w:rPr>
          <w:color w:val="000000"/>
        </w:rPr>
        <w:separator/>
      </w:r>
    </w:p>
  </w:footnote>
  <w:footnote w:type="continuationSeparator" w:id="0">
    <w:p w:rsidR="00115C2F" w:rsidRDefault="00115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A7133"/>
    <w:multiLevelType w:val="multilevel"/>
    <w:tmpl w:val="AC86210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940D5"/>
    <w:rsid w:val="00115C2F"/>
    <w:rsid w:val="001B4AE8"/>
    <w:rsid w:val="001E1BF1"/>
    <w:rsid w:val="0034668C"/>
    <w:rsid w:val="00363217"/>
    <w:rsid w:val="003D339D"/>
    <w:rsid w:val="0046474C"/>
    <w:rsid w:val="00473BB9"/>
    <w:rsid w:val="0061763F"/>
    <w:rsid w:val="0062567D"/>
    <w:rsid w:val="008940D5"/>
    <w:rsid w:val="00B5020A"/>
    <w:rsid w:val="00C23BD5"/>
    <w:rsid w:val="00C354F8"/>
    <w:rsid w:val="00CD4FF0"/>
    <w:rsid w:val="00EF56E5"/>
    <w:rsid w:val="00F024A3"/>
    <w:rsid w:val="00F7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4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4A3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4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4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Lipiec</dc:creator>
  <cp:lastModifiedBy>Aneta Ambroży</cp:lastModifiedBy>
  <cp:revision>2</cp:revision>
  <cp:lastPrinted>2024-10-23T04:31:00Z</cp:lastPrinted>
  <dcterms:created xsi:type="dcterms:W3CDTF">2024-11-05T10:37:00Z</dcterms:created>
  <dcterms:modified xsi:type="dcterms:W3CDTF">2024-11-05T10:37:00Z</dcterms:modified>
</cp:coreProperties>
</file>