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7DB7644A" w:rsidR="00E52ABF" w:rsidRPr="00902CA2" w:rsidRDefault="00F310A9" w:rsidP="005E429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5E429A" w:rsidRPr="005E429A">
        <w:rPr>
          <w:i/>
        </w:rPr>
        <w:t>Budowa sieci kanali</w:t>
      </w:r>
      <w:r w:rsidR="005E429A">
        <w:rPr>
          <w:i/>
        </w:rPr>
        <w:t>zacji sanitarnej ciśnieniowej w </w:t>
      </w:r>
      <w:r w:rsidR="005E429A" w:rsidRPr="005E429A">
        <w:rPr>
          <w:i/>
        </w:rPr>
        <w:t>miejscowości Wrzawy (etap II)</w:t>
      </w:r>
      <w:r w:rsidR="000403FE">
        <w:rPr>
          <w:i/>
        </w:rPr>
        <w:t>”</w:t>
      </w:r>
      <w:r w:rsidR="00E52ABF" w:rsidRPr="00902CA2">
        <w:rPr>
          <w:i/>
        </w:rP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7F8F67C9"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2C8E0EE" w:rsidR="00A300A5" w:rsidRDefault="00F310A9" w:rsidP="005E429A">
      <w:pPr>
        <w:pStyle w:val="Akapitzlist"/>
        <w:numPr>
          <w:ilvl w:val="0"/>
          <w:numId w:val="3"/>
        </w:numPr>
        <w:spacing w:after="0" w:line="240" w:lineRule="auto"/>
        <w:ind w:right="125"/>
      </w:pPr>
      <w:r>
        <w:t>Wykonawca oświadcza, że przed podpisaniem umowy zapoznał się z dokumentacj</w:t>
      </w:r>
      <w:r w:rsidR="00E52ABF">
        <w:t>ą</w:t>
      </w:r>
      <w:r>
        <w:t xml:space="preserve"> projektową</w:t>
      </w:r>
      <w:r w:rsidR="005E429A">
        <w:t xml:space="preserve"> dla realizowanego zadania pn.: </w:t>
      </w:r>
      <w:r w:rsidR="00E52ABF" w:rsidRPr="00902CA2">
        <w:t>„</w:t>
      </w:r>
      <w:r w:rsidR="005E429A" w:rsidRPr="005E429A">
        <w:rPr>
          <w:i/>
        </w:rPr>
        <w:t>Budowa sieci kanalizacji sanitarnej ciśnieniowej w miejscowości Wrzawy (etap II)</w:t>
      </w:r>
      <w:r w:rsidR="00E52ABF" w:rsidRPr="00902CA2">
        <w:rPr>
          <w:i/>
        </w:rPr>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lastRenderedPageBreak/>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lastRenderedPageBreak/>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355250BC" w14:textId="77777777" w:rsidR="005E429A" w:rsidRDefault="00F310A9" w:rsidP="005E429A">
      <w:pPr>
        <w:numPr>
          <w:ilvl w:val="1"/>
          <w:numId w:val="4"/>
        </w:numPr>
        <w:ind w:left="851" w:right="125" w:hanging="425"/>
      </w:pPr>
      <w:r>
        <w:t xml:space="preserve">zatrudnienie osób wykonujących następujące czynności na umowę o pracę:  </w:t>
      </w:r>
    </w:p>
    <w:p w14:paraId="17F2288F" w14:textId="77777777" w:rsidR="005E429A" w:rsidRDefault="005E429A" w:rsidP="005E429A">
      <w:pPr>
        <w:numPr>
          <w:ilvl w:val="2"/>
          <w:numId w:val="4"/>
        </w:numPr>
        <w:ind w:left="1418" w:right="125" w:hanging="283"/>
      </w:pPr>
      <w:r>
        <w:t xml:space="preserve">czynności związane z wykonaniem robót przygotowawczych i ziemnych,                      </w:t>
      </w:r>
    </w:p>
    <w:p w14:paraId="0AE32F4A" w14:textId="31533988" w:rsidR="005E429A" w:rsidRDefault="005E429A" w:rsidP="005E429A">
      <w:pPr>
        <w:numPr>
          <w:ilvl w:val="2"/>
          <w:numId w:val="4"/>
        </w:numPr>
        <w:ind w:left="1418" w:right="125" w:hanging="284"/>
      </w:pPr>
      <w:r>
        <w:t>czynności związane z wykonaniem robót montażowych rurociągów,</w:t>
      </w:r>
    </w:p>
    <w:p w14:paraId="6E095160" w14:textId="15074D34"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a</w:t>
      </w:r>
      <w:r w:rsidR="005E429A">
        <w:t>-b</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lastRenderedPageBreak/>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56819B0F" w:rsidR="00A300A5" w:rsidRDefault="00F310A9">
      <w:pPr>
        <w:numPr>
          <w:ilvl w:val="0"/>
          <w:numId w:val="12"/>
        </w:numPr>
        <w:ind w:right="125" w:hanging="360"/>
      </w:pPr>
      <w:r>
        <w:t xml:space="preserve">Termin zakończenia wykonania przedmiotu umowy ustala się </w:t>
      </w:r>
      <w:r w:rsidRPr="00F35D3F">
        <w:rPr>
          <w:b/>
        </w:rPr>
        <w:t xml:space="preserve">na </w:t>
      </w:r>
      <w:r w:rsidR="005E429A">
        <w:rPr>
          <w:b/>
        </w:rPr>
        <w:t>8</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lastRenderedPageBreak/>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w:t>
      </w:r>
      <w:r>
        <w:lastRenderedPageBreak/>
        <w:t xml:space="preserve">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lastRenderedPageBreak/>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33442D7E" w:rsidR="00A300A5" w:rsidRDefault="0025318A" w:rsidP="0025318A">
      <w:pPr>
        <w:pStyle w:val="Akapitzlist"/>
        <w:numPr>
          <w:ilvl w:val="0"/>
          <w:numId w:val="15"/>
        </w:numPr>
      </w:pPr>
      <w:r w:rsidRPr="0025318A">
        <w:t xml:space="preserve">Zapłata wynagrodzenia Wykonawcy nastąpi w terminie nie dłuższym niż </w:t>
      </w:r>
      <w:r w:rsidR="005E429A">
        <w:t>30</w:t>
      </w:r>
      <w:r w:rsidRPr="0025318A">
        <w:t xml:space="preserve">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końcową w dniu odbioru końcowego.</w:t>
      </w:r>
    </w:p>
    <w:p w14:paraId="43D4EA4E" w14:textId="77777777" w:rsidR="00F142BC"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1F84563D" w14:textId="77777777" w:rsidR="00F142BC" w:rsidRPr="003B2EEA" w:rsidRDefault="00F142BC" w:rsidP="00F142BC">
      <w:pPr>
        <w:pStyle w:val="Akapitzlist"/>
        <w:numPr>
          <w:ilvl w:val="0"/>
          <w:numId w:val="15"/>
        </w:numPr>
        <w:ind w:right="2"/>
      </w:pPr>
      <w:r w:rsidRPr="003B2EEA">
        <w:t xml:space="preserve">Kwoty płatne Wykonawcy będą korygowane dla oddania wzrostów lub spadków cen zgodnie z poniższymi zapisami. </w:t>
      </w:r>
    </w:p>
    <w:p w14:paraId="32ED27D8" w14:textId="77777777" w:rsidR="00F142BC" w:rsidRPr="003B2EEA" w:rsidRDefault="00F142BC" w:rsidP="00F142BC">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4F1E6076" w14:textId="77777777" w:rsidR="00F142BC" w:rsidRPr="003B2EEA" w:rsidRDefault="00F142BC" w:rsidP="00F142BC">
      <w:pPr>
        <w:pStyle w:val="Akapitzlist"/>
        <w:numPr>
          <w:ilvl w:val="0"/>
          <w:numId w:val="15"/>
        </w:numPr>
        <w:ind w:right="2"/>
      </w:pPr>
      <w:r w:rsidRPr="003B2EEA">
        <w:t xml:space="preserve">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5B676449" w14:textId="77777777" w:rsidR="00F142BC" w:rsidRPr="003B2EEA" w:rsidRDefault="00F142BC" w:rsidP="00F142BC">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287F210F" w14:textId="77777777" w:rsidR="00F142BC" w:rsidRPr="003B2EEA" w:rsidRDefault="00F142BC" w:rsidP="00F142BC">
      <w:pPr>
        <w:pStyle w:val="Akapitzlist"/>
        <w:ind w:left="422" w:right="2" w:firstLine="0"/>
      </w:pPr>
      <w:r w:rsidRPr="003B2EEA">
        <w:t>gdzie:</w:t>
      </w:r>
    </w:p>
    <w:p w14:paraId="3023FC70" w14:textId="77777777" w:rsidR="00F142BC" w:rsidRPr="003B2EEA" w:rsidRDefault="00F142BC" w:rsidP="00F142BC">
      <w:pPr>
        <w:pStyle w:val="Akapitzlist"/>
        <w:ind w:left="422" w:right="2" w:firstLine="0"/>
      </w:pPr>
      <w:r w:rsidRPr="003B2EEA">
        <w:t>„</w:t>
      </w:r>
      <w:proofErr w:type="spellStart"/>
      <w:r w:rsidRPr="003B2EEA">
        <w:t>W</w:t>
      </w:r>
      <w:r w:rsidRPr="003B2EEA">
        <w:rPr>
          <w:vertAlign w:val="subscript"/>
        </w:rPr>
        <w:t>w</w:t>
      </w:r>
      <w:proofErr w:type="spellEnd"/>
      <w:r w:rsidRPr="003B2EEA">
        <w:rPr>
          <w:vertAlign w:val="subscript"/>
        </w:rPr>
        <w:t xml:space="preserve"> (n)</w:t>
      </w:r>
      <w:r w:rsidRPr="003B2EEA">
        <w:t>" –wskaźnik waloryzacji dla n-tego miesiąca;</w:t>
      </w:r>
    </w:p>
    <w:p w14:paraId="6F98332B" w14:textId="77777777" w:rsidR="00F142BC" w:rsidRPr="003B2EEA" w:rsidRDefault="00F142BC" w:rsidP="00F142BC">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3CEFFAB2" w14:textId="77777777" w:rsidR="00F142BC" w:rsidRPr="003B2EEA" w:rsidRDefault="00F142BC" w:rsidP="00F142BC">
      <w:pPr>
        <w:pStyle w:val="Akapitzlist"/>
        <w:ind w:left="422" w:right="2" w:firstLine="0"/>
      </w:pPr>
      <w:r w:rsidRPr="003B2EEA">
        <w:t>„W</w:t>
      </w:r>
      <w:r w:rsidRPr="003B2EEA">
        <w:rPr>
          <w:vertAlign w:val="subscript"/>
        </w:rPr>
        <w:t>0</w:t>
      </w:r>
      <w:r w:rsidRPr="003B2EEA">
        <w:t xml:space="preserve">" – </w:t>
      </w:r>
      <w:bookmarkStart w:id="0" w:name="_Hlk115193629"/>
      <w:r w:rsidRPr="003B2EEA">
        <w:t>wskaźnik „0” z miesiąca otwarcia oferty = 100</w:t>
      </w:r>
      <w:bookmarkEnd w:id="0"/>
    </w:p>
    <w:p w14:paraId="5D716517" w14:textId="77777777" w:rsidR="00F142BC" w:rsidRPr="003B2EEA" w:rsidRDefault="00F142BC" w:rsidP="00F142BC">
      <w:pPr>
        <w:pStyle w:val="Akapitzlist"/>
        <w:ind w:left="422" w:right="2" w:firstLine="0"/>
      </w:pPr>
      <w:r w:rsidRPr="003B2EEA">
        <w:t>„W</w:t>
      </w:r>
      <w:r w:rsidRPr="003B2EEA">
        <w:rPr>
          <w:vertAlign w:val="subscript"/>
        </w:rPr>
        <w:t>1</w:t>
      </w:r>
      <w:r w:rsidRPr="003B2EEA">
        <w:t xml:space="preserve">" – </w:t>
      </w:r>
      <w:bookmarkStart w:id="1" w:name="_Hlk115193657"/>
      <w:r w:rsidRPr="003B2EEA">
        <w:t xml:space="preserve">wskaźnik „1” z następnego miesiąca po miesiącu otwarcia oferty </w:t>
      </w:r>
      <w:bookmarkEnd w:id="1"/>
      <w:r w:rsidRPr="003B2EEA">
        <w:t>(wskaźnik cen produkcji budowlano-montażowej publikowany przez GUS, w układzie miesiąc poprzedni = 100)</w:t>
      </w:r>
    </w:p>
    <w:p w14:paraId="624008CE" w14:textId="77777777" w:rsidR="00F142BC" w:rsidRPr="003B2EEA" w:rsidRDefault="00F142BC" w:rsidP="00F142BC">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4D9EC4CA" w14:textId="77777777" w:rsidR="00F142BC" w:rsidRPr="003B2EEA" w:rsidRDefault="00F142BC" w:rsidP="00F142BC">
      <w:pPr>
        <w:pStyle w:val="Akapitzlist"/>
        <w:ind w:left="422" w:right="2" w:firstLine="0"/>
      </w:pPr>
      <w:r w:rsidRPr="003B2EEA">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5EF0602F" w14:textId="77777777" w:rsidR="00F142BC" w:rsidRPr="003B2EEA" w:rsidRDefault="00F142BC" w:rsidP="00F142BC">
      <w:pPr>
        <w:pStyle w:val="Akapitzlist"/>
        <w:ind w:left="422" w:right="2" w:firstLine="0"/>
      </w:pPr>
      <w:r w:rsidRPr="003B2EEA">
        <w:lastRenderedPageBreak/>
        <w:t>„</w:t>
      </w:r>
      <w:proofErr w:type="spellStart"/>
      <w:r w:rsidRPr="003B2EEA">
        <w:t>W</w:t>
      </w:r>
      <w:r w:rsidRPr="003B2EEA">
        <w:rPr>
          <w:vertAlign w:val="subscript"/>
        </w:rPr>
        <w:t>n</w:t>
      </w:r>
      <w:proofErr w:type="spellEnd"/>
      <w:r w:rsidRPr="003B2EEA">
        <w:t>" – wskaźnik „n” z miesiąca za który nastąpi wystawienie faktury (wskaźnik cen produkcji budowlano-montażowej publikowany przez GUS, w układzie miesiąc poprzedni = 100)</w:t>
      </w:r>
    </w:p>
    <w:p w14:paraId="46A6CD01" w14:textId="77777777" w:rsidR="00F142BC" w:rsidRPr="003B2EEA" w:rsidRDefault="00F142BC" w:rsidP="00F142BC">
      <w:pPr>
        <w:pStyle w:val="Akapitzlist"/>
        <w:numPr>
          <w:ilvl w:val="0"/>
          <w:numId w:val="15"/>
        </w:numPr>
        <w:ind w:right="2"/>
      </w:pPr>
      <w:r w:rsidRPr="003B2EEA">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należy obliczać z dokładnością do trzech miejsc po przecinku. Natomiast wynik iloczynów tj. wskaźnik waloryzacji W</w:t>
      </w:r>
      <w:r w:rsidRPr="003B2EEA">
        <w:rPr>
          <w:vertAlign w:val="subscript"/>
        </w:rPr>
        <w:t>w (n)</w:t>
      </w:r>
      <w:r w:rsidRPr="003B2EEA">
        <w:t xml:space="preserve"> należy obliczać z dokładnością do 4 miejsc po przecinku. </w:t>
      </w:r>
    </w:p>
    <w:p w14:paraId="1B15BCE9" w14:textId="7A07748A" w:rsidR="001B4E7A" w:rsidRDefault="00F142BC" w:rsidP="00F142BC">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bookmarkStart w:id="2" w:name="_GoBack"/>
      <w:bookmarkEnd w:id="2"/>
      <w:r w:rsidR="00F310A9">
        <w:t xml:space="preserve"> </w:t>
      </w:r>
    </w:p>
    <w:p w14:paraId="635D1CA9" w14:textId="77777777" w:rsidR="00A300A5" w:rsidRDefault="00F310A9" w:rsidP="005E429A">
      <w:pPr>
        <w:spacing w:after="86" w:line="259" w:lineRule="auto"/>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lastRenderedPageBreak/>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lastRenderedPageBreak/>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lastRenderedPageBreak/>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lastRenderedPageBreak/>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lastRenderedPageBreak/>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3374B" w14:textId="77777777" w:rsidR="00B24160" w:rsidRDefault="00B24160">
      <w:pPr>
        <w:spacing w:after="0" w:line="240" w:lineRule="auto"/>
      </w:pPr>
      <w:r>
        <w:separator/>
      </w:r>
    </w:p>
  </w:endnote>
  <w:endnote w:type="continuationSeparator" w:id="0">
    <w:p w14:paraId="2515E3AC" w14:textId="77777777" w:rsidR="00B24160" w:rsidRDefault="00B2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F142BC">
      <w:rPr>
        <w:noProof/>
      </w:rPr>
      <w:t>10</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8AED" w14:textId="77777777" w:rsidR="00B24160" w:rsidRDefault="00B24160">
      <w:pPr>
        <w:spacing w:after="0" w:line="240" w:lineRule="auto"/>
      </w:pPr>
      <w:r>
        <w:separator/>
      </w:r>
    </w:p>
  </w:footnote>
  <w:footnote w:type="continuationSeparator" w:id="0">
    <w:p w14:paraId="78160187" w14:textId="77777777" w:rsidR="00B24160" w:rsidRDefault="00B2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30368A"/>
    <w:rsid w:val="0032207F"/>
    <w:rsid w:val="003B45D1"/>
    <w:rsid w:val="004444B7"/>
    <w:rsid w:val="004E0275"/>
    <w:rsid w:val="0050593F"/>
    <w:rsid w:val="00506FCF"/>
    <w:rsid w:val="00507E02"/>
    <w:rsid w:val="005215AA"/>
    <w:rsid w:val="00560F3A"/>
    <w:rsid w:val="0056603B"/>
    <w:rsid w:val="005B75D4"/>
    <w:rsid w:val="005D444F"/>
    <w:rsid w:val="005E4051"/>
    <w:rsid w:val="005E429A"/>
    <w:rsid w:val="00604CB3"/>
    <w:rsid w:val="0061272C"/>
    <w:rsid w:val="006447DA"/>
    <w:rsid w:val="006A3687"/>
    <w:rsid w:val="006B0A09"/>
    <w:rsid w:val="006E311F"/>
    <w:rsid w:val="006F1A27"/>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24160"/>
    <w:rsid w:val="00B62F86"/>
    <w:rsid w:val="00B83454"/>
    <w:rsid w:val="00BB276B"/>
    <w:rsid w:val="00BB6CB3"/>
    <w:rsid w:val="00BC66A9"/>
    <w:rsid w:val="00BE356B"/>
    <w:rsid w:val="00C01C57"/>
    <w:rsid w:val="00C901A7"/>
    <w:rsid w:val="00CA0FC7"/>
    <w:rsid w:val="00CF5A38"/>
    <w:rsid w:val="00D220A3"/>
    <w:rsid w:val="00D57117"/>
    <w:rsid w:val="00D600A4"/>
    <w:rsid w:val="00DF171A"/>
    <w:rsid w:val="00E2347C"/>
    <w:rsid w:val="00E4590B"/>
    <w:rsid w:val="00E52ABF"/>
    <w:rsid w:val="00E63202"/>
    <w:rsid w:val="00E71806"/>
    <w:rsid w:val="00EB6BEA"/>
    <w:rsid w:val="00F142BC"/>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EDF868D5-994B-48AC-A594-2F627B61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6490</Words>
  <Characters>38946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8</cp:revision>
  <cp:lastPrinted>2021-03-31T10:58:00Z</cp:lastPrinted>
  <dcterms:created xsi:type="dcterms:W3CDTF">2023-01-09T09:23:00Z</dcterms:created>
  <dcterms:modified xsi:type="dcterms:W3CDTF">2024-02-13T09:22:00Z</dcterms:modified>
</cp:coreProperties>
</file>