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BC5A" w14:textId="03D0CBDA" w:rsidR="00203EA1" w:rsidRPr="001B2B2A" w:rsidRDefault="00000000" w:rsidP="001B2B2A">
      <w:pPr>
        <w:spacing w:after="12" w:line="360" w:lineRule="auto"/>
        <w:ind w:left="117" w:right="0" w:hanging="10"/>
        <w:jc w:val="right"/>
        <w:rPr>
          <w:rFonts w:ascii="Calibri" w:hAnsi="Calibri" w:cs="Calibri"/>
          <w:sz w:val="20"/>
          <w:szCs w:val="20"/>
        </w:rPr>
      </w:pPr>
      <w:r w:rsidRPr="001B2B2A">
        <w:rPr>
          <w:rFonts w:ascii="Calibri" w:hAnsi="Calibri" w:cs="Calibri"/>
          <w:b/>
          <w:sz w:val="20"/>
          <w:szCs w:val="20"/>
        </w:rPr>
        <w:t>załącznik nr 2.</w:t>
      </w:r>
      <w:r w:rsidR="001B2B2A" w:rsidRPr="001B2B2A">
        <w:rPr>
          <w:rFonts w:ascii="Calibri" w:hAnsi="Calibri" w:cs="Calibri"/>
          <w:b/>
          <w:sz w:val="20"/>
          <w:szCs w:val="20"/>
        </w:rPr>
        <w:t xml:space="preserve">2 </w:t>
      </w:r>
      <w:r w:rsidRPr="001B2B2A">
        <w:rPr>
          <w:rFonts w:ascii="Calibri" w:hAnsi="Calibri" w:cs="Calibri"/>
          <w:b/>
          <w:sz w:val="20"/>
          <w:szCs w:val="20"/>
        </w:rPr>
        <w:t xml:space="preserve"> do SWZ</w:t>
      </w:r>
    </w:p>
    <w:p w14:paraId="5C3C91F9" w14:textId="77777777" w:rsidR="00203EA1" w:rsidRPr="001B2B2A" w:rsidRDefault="00203EA1" w:rsidP="001B2B2A">
      <w:pPr>
        <w:spacing w:after="12" w:line="360" w:lineRule="auto"/>
        <w:ind w:left="117" w:right="0" w:hanging="10"/>
        <w:jc w:val="left"/>
        <w:rPr>
          <w:rFonts w:ascii="Calibri" w:hAnsi="Calibri" w:cs="Calibri"/>
          <w:b/>
          <w:sz w:val="20"/>
          <w:szCs w:val="20"/>
        </w:rPr>
      </w:pPr>
    </w:p>
    <w:p w14:paraId="1AB8F006" w14:textId="77777777" w:rsidR="00203EA1" w:rsidRPr="001B2B2A" w:rsidRDefault="00000000" w:rsidP="001B2B2A">
      <w:pPr>
        <w:spacing w:after="12" w:line="360" w:lineRule="auto"/>
        <w:ind w:left="117" w:right="0" w:hanging="10"/>
        <w:jc w:val="center"/>
        <w:rPr>
          <w:rFonts w:ascii="Calibri" w:hAnsi="Calibri" w:cs="Calibri"/>
          <w:sz w:val="20"/>
          <w:szCs w:val="20"/>
        </w:rPr>
      </w:pPr>
      <w:r w:rsidRPr="001B2B2A">
        <w:rPr>
          <w:rFonts w:ascii="Calibri" w:hAnsi="Calibri" w:cs="Calibri"/>
          <w:b/>
          <w:sz w:val="20"/>
          <w:szCs w:val="20"/>
        </w:rPr>
        <w:t>OPIS PRZEDMIOTU ZAMÓWIENIA - PAKIET 2</w:t>
      </w:r>
    </w:p>
    <w:p w14:paraId="43DCE59B" w14:textId="77777777" w:rsidR="00203EA1" w:rsidRPr="001B2B2A" w:rsidRDefault="00203EA1" w:rsidP="001B2B2A">
      <w:pPr>
        <w:spacing w:after="0" w:line="360" w:lineRule="auto"/>
        <w:ind w:left="83" w:right="0" w:firstLine="0"/>
        <w:jc w:val="center"/>
        <w:rPr>
          <w:rFonts w:ascii="Calibri" w:hAnsi="Calibri" w:cs="Calibri"/>
          <w:sz w:val="20"/>
          <w:szCs w:val="20"/>
        </w:rPr>
      </w:pPr>
    </w:p>
    <w:p w14:paraId="0C613378" w14:textId="77777777" w:rsidR="00203EA1" w:rsidRPr="001B2B2A" w:rsidRDefault="00000000" w:rsidP="001B2B2A">
      <w:pPr>
        <w:spacing w:after="0" w:line="360" w:lineRule="auto"/>
        <w:ind w:left="122" w:right="0" w:firstLine="0"/>
        <w:rPr>
          <w:rFonts w:ascii="Calibri" w:hAnsi="Calibri" w:cs="Calibri"/>
          <w:sz w:val="20"/>
          <w:szCs w:val="20"/>
        </w:rPr>
      </w:pPr>
      <w:r w:rsidRPr="001B2B2A">
        <w:rPr>
          <w:rFonts w:ascii="Calibri" w:hAnsi="Calibri" w:cs="Calibri"/>
          <w:color w:val="00000A"/>
          <w:sz w:val="20"/>
          <w:szCs w:val="20"/>
        </w:rPr>
        <w:t xml:space="preserve">Strony zgodnie stwierdzają, że na potrzeby niniejszego OPZ wraz z załącznikami i przyszłej Umowy dotyczącej opisanego zamówienia, wymienionym w niniejszym paragrafie pojęciom nadają znaczenie określone poniżej, oraz że użyte w tekście poniżej wymienione pojęcia, rozumiane będą w sposób poniżej zdefiniowany. Dla podkreślenia, że pojęcia te rozumiane są w sposób zdefiniowany, ich pierwsze litery będą pisane w tekście wielką literą. </w:t>
      </w:r>
    </w:p>
    <w:p w14:paraId="08003300" w14:textId="77777777" w:rsidR="00203EA1" w:rsidRPr="001B2B2A" w:rsidRDefault="00000000" w:rsidP="001B2B2A">
      <w:pPr>
        <w:spacing w:after="16" w:line="360" w:lineRule="auto"/>
        <w:ind w:left="0" w:right="32" w:firstLine="122"/>
        <w:rPr>
          <w:rFonts w:ascii="Calibri" w:hAnsi="Calibri" w:cs="Calibri"/>
          <w:sz w:val="20"/>
          <w:szCs w:val="20"/>
        </w:rPr>
      </w:pPr>
      <w:r w:rsidRPr="001B2B2A">
        <w:rPr>
          <w:rFonts w:ascii="Calibri" w:hAnsi="Calibri" w:cs="Calibri"/>
          <w:color w:val="00000A"/>
          <w:sz w:val="20"/>
          <w:szCs w:val="20"/>
        </w:rPr>
        <w:t xml:space="preserve">Strony ustalają następujące definicje: </w:t>
      </w:r>
    </w:p>
    <w:p w14:paraId="0AB14784" w14:textId="77777777" w:rsidR="00203EA1" w:rsidRPr="001B2B2A" w:rsidRDefault="00000000" w:rsidP="001B2B2A">
      <w:pPr>
        <w:pStyle w:val="Akapitzlist"/>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Zamawiający</w:t>
      </w:r>
      <w:r w:rsidRPr="001B2B2A">
        <w:rPr>
          <w:rFonts w:ascii="Calibri" w:hAnsi="Calibri" w:cs="Calibri"/>
          <w:color w:val="00000A"/>
          <w:sz w:val="20"/>
          <w:szCs w:val="20"/>
        </w:rPr>
        <w:t xml:space="preserve"> – </w:t>
      </w:r>
      <w:r w:rsidRPr="001B2B2A">
        <w:rPr>
          <w:rFonts w:ascii="Calibri" w:hAnsi="Calibri" w:cs="Calibri"/>
          <w:color w:val="auto"/>
          <w:sz w:val="20"/>
          <w:szCs w:val="20"/>
        </w:rPr>
        <w:t>oznacza</w:t>
      </w:r>
      <w:r w:rsidRPr="001B2B2A">
        <w:rPr>
          <w:rFonts w:ascii="Calibri" w:hAnsi="Calibri" w:cs="Calibri"/>
          <w:b/>
          <w:color w:val="auto"/>
          <w:sz w:val="20"/>
          <w:szCs w:val="20"/>
        </w:rPr>
        <w:t xml:space="preserve"> </w:t>
      </w:r>
      <w:r w:rsidRPr="001B2B2A">
        <w:rPr>
          <w:rFonts w:ascii="Calibri" w:hAnsi="Calibri" w:cs="Calibri"/>
          <w:color w:val="auto"/>
          <w:sz w:val="20"/>
          <w:szCs w:val="20"/>
        </w:rPr>
        <w:t>SAMODZIELNY PUBLICZNY ZAKŁAD OPIEKI ZDROWOTNEJ SZPITAL POWIATOWY W PISZU</w:t>
      </w:r>
    </w:p>
    <w:p w14:paraId="4E11557D"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 xml:space="preserve">Wykonawca </w:t>
      </w:r>
      <w:r w:rsidRPr="001B2B2A">
        <w:rPr>
          <w:rFonts w:ascii="Calibri" w:hAnsi="Calibri" w:cs="Calibri"/>
          <w:color w:val="00000A"/>
          <w:sz w:val="20"/>
          <w:szCs w:val="20"/>
        </w:rPr>
        <w:t xml:space="preserve">- podmiot, który ubiega się o udzielenie zamówienia, złożył ofertę albo zawarł umowę </w:t>
      </w:r>
      <w:r w:rsidRPr="001B2B2A">
        <w:rPr>
          <w:rFonts w:ascii="Calibri" w:hAnsi="Calibri" w:cs="Calibri"/>
          <w:color w:val="00000A"/>
          <w:sz w:val="20"/>
          <w:szCs w:val="20"/>
        </w:rPr>
        <w:br/>
        <w:t>w postępowaniu o udzielenie zamówienia publicznego prowadzonego w trybie podstawowym bez prowadzenia negocjacji na podstawie art. 275 pkt 1 Ustawy z dnia 11 września 2019 r. – Prawo zamówień publicznych (Dz. U. poz. 2019 ze zm.).o wartości zamówienia przekraczającej progi unijne, o jakich stanowi art. 3 ustawy z 11.09.2019r - Prawo zamówień publicznych - dalej PZP pn., opublikowanego po sygnaturą postępowania: DZP.</w:t>
      </w:r>
    </w:p>
    <w:p w14:paraId="0A0981A4"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 xml:space="preserve">Strony </w:t>
      </w:r>
      <w:r w:rsidRPr="001B2B2A">
        <w:rPr>
          <w:rFonts w:ascii="Calibri" w:hAnsi="Calibri" w:cs="Calibri"/>
          <w:color w:val="00000A"/>
          <w:sz w:val="20"/>
          <w:szCs w:val="20"/>
        </w:rPr>
        <w:t xml:space="preserve">- podmioty bezpośrednio uczestniczące w umowie zawiązanej na podstawie rozstrzygnięcia podstępowania przetargowego. </w:t>
      </w:r>
    </w:p>
    <w:p w14:paraId="29BF3344"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System informatyczny</w:t>
      </w:r>
      <w:r w:rsidRPr="001B2B2A">
        <w:rPr>
          <w:rFonts w:ascii="Calibri" w:hAnsi="Calibri" w:cs="Calibri"/>
          <w:color w:val="00000A"/>
          <w:sz w:val="20"/>
          <w:szCs w:val="20"/>
        </w:rPr>
        <w:t xml:space="preserve"> - zbiór powiązanych ze sobą elementów, którego funkcją jest przetwarzanie danych przy użyciu techniki komputerowej. W skład systemu wchodzą najczęściej elementy: Sprzęt komputerowy, Oprogramowanie narzędziowe, Oprogramowanie dziedzinowe. </w:t>
      </w:r>
    </w:p>
    <w:p w14:paraId="271E8482"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 xml:space="preserve">Infrastruktura sprzętowa - </w:t>
      </w:r>
      <w:r w:rsidRPr="001B2B2A">
        <w:rPr>
          <w:rFonts w:ascii="Calibri" w:hAnsi="Calibri" w:cs="Calibri"/>
          <w:bCs/>
          <w:color w:val="00000A"/>
          <w:sz w:val="20"/>
          <w:szCs w:val="20"/>
        </w:rPr>
        <w:t>znajdująca się w dyspozycji Zamawiającego, w tym stanowiąca jego własność oraz dostarczana w ramach realizacji przedmiotu zamówienia infrastruktura przetwarzania danych wszystkie połączenia, urządzenia fizyczne i oprogramowania aplikacyjne, które łącznie współpracując umożliwiają gromadzenie, przechowywanie, wytwarzanie danych i usług oraz udostępnianie danych i usług elektronicznych.</w:t>
      </w:r>
    </w:p>
    <w:p w14:paraId="58CE29AB"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Umowa</w:t>
      </w:r>
      <w:r w:rsidRPr="001B2B2A">
        <w:rPr>
          <w:rFonts w:ascii="Calibri" w:hAnsi="Calibri" w:cs="Calibri"/>
          <w:color w:val="00000A"/>
          <w:sz w:val="20"/>
          <w:szCs w:val="20"/>
        </w:rPr>
        <w:t xml:space="preserve"> – umowa zawarta w ramach realizacji OPZ. </w:t>
      </w:r>
    </w:p>
    <w:p w14:paraId="78217908"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 xml:space="preserve">SWZ – </w:t>
      </w:r>
      <w:r w:rsidRPr="001B2B2A">
        <w:rPr>
          <w:rFonts w:ascii="Calibri" w:hAnsi="Calibri" w:cs="Calibri"/>
          <w:bCs/>
          <w:color w:val="00000A"/>
          <w:sz w:val="20"/>
          <w:szCs w:val="20"/>
        </w:rPr>
        <w:t>Specyfikacja Warunków Zamówienia</w:t>
      </w:r>
      <w:r w:rsidRPr="001B2B2A">
        <w:rPr>
          <w:rFonts w:ascii="Calibri" w:hAnsi="Calibri" w:cs="Calibri"/>
          <w:color w:val="00000A"/>
          <w:sz w:val="20"/>
          <w:szCs w:val="20"/>
        </w:rPr>
        <w:t xml:space="preserve"> </w:t>
      </w:r>
    </w:p>
    <w:p w14:paraId="372D2809"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Szczegółowym Harmonogramem Realizacji Zadania</w:t>
      </w:r>
      <w:r w:rsidRPr="001B2B2A">
        <w:rPr>
          <w:rFonts w:ascii="Calibri" w:hAnsi="Calibri" w:cs="Calibri"/>
          <w:color w:val="00000A"/>
          <w:sz w:val="20"/>
          <w:szCs w:val="20"/>
        </w:rPr>
        <w:t xml:space="preserve"> – szczegółowy terminarz realizacji przedmiotu Umowy wraz z podziałem na Etapy przygotowany przez Wykonawcę w terminie 14 dni roboczych od zawarcia umowy. </w:t>
      </w:r>
    </w:p>
    <w:p w14:paraId="5A65AC1F"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Zadanie</w:t>
      </w:r>
      <w:r w:rsidRPr="001B2B2A">
        <w:rPr>
          <w:rFonts w:ascii="Calibri" w:hAnsi="Calibri" w:cs="Calibri"/>
          <w:color w:val="00000A"/>
          <w:sz w:val="20"/>
          <w:szCs w:val="20"/>
        </w:rPr>
        <w:t xml:space="preserve">  –  przedmiot  zamówienia  (przedmiot  Umowy)  wynikający  łącznie  z SWZ,  Oferty  Wykonawcy, Umowy. </w:t>
      </w:r>
    </w:p>
    <w:p w14:paraId="09890CB6"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Protokół Odbiorczy</w:t>
      </w:r>
      <w:r w:rsidRPr="001B2B2A">
        <w:rPr>
          <w:rFonts w:ascii="Calibri" w:hAnsi="Calibri" w:cs="Calibri"/>
          <w:color w:val="00000A"/>
          <w:sz w:val="20"/>
          <w:szCs w:val="20"/>
        </w:rPr>
        <w:t xml:space="preserve"> – protokół przygotowany przez Wykonawcę, będący potwierdzeniem przyjęcia przez Zamawiającego wykonanych przez Wykonawcę prac będących przedmiotem poszczególnych Etapów.</w:t>
      </w:r>
    </w:p>
    <w:p w14:paraId="69B967B9"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lastRenderedPageBreak/>
        <w:t>Protokół Uzgodnień</w:t>
      </w:r>
      <w:r w:rsidRPr="001B2B2A">
        <w:rPr>
          <w:rFonts w:ascii="Calibri" w:hAnsi="Calibri" w:cs="Calibri"/>
          <w:color w:val="00000A"/>
          <w:sz w:val="20"/>
          <w:szCs w:val="20"/>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 </w:t>
      </w:r>
    </w:p>
    <w:p w14:paraId="08CD1A99"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Dzień Roboczy</w:t>
      </w:r>
      <w:r w:rsidRPr="001B2B2A">
        <w:rPr>
          <w:rFonts w:ascii="Calibri" w:hAnsi="Calibri" w:cs="Calibri"/>
          <w:color w:val="00000A"/>
          <w:sz w:val="20"/>
          <w:szCs w:val="20"/>
        </w:rPr>
        <w:t xml:space="preserve"> –  każdy dzień od poniedziałku do piątku z wyłączeniem dni ustawowo wolnych od pracy. </w:t>
      </w:r>
    </w:p>
    <w:p w14:paraId="3F8212C2"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Godziny Robocze</w:t>
      </w:r>
      <w:r w:rsidRPr="001B2B2A">
        <w:rPr>
          <w:rFonts w:ascii="Calibri" w:hAnsi="Calibri" w:cs="Calibri"/>
          <w:color w:val="00000A"/>
          <w:sz w:val="20"/>
          <w:szCs w:val="20"/>
        </w:rPr>
        <w:t xml:space="preserve"> – godziny od 7:30 do 14:30 w każdym Dniu Roboczym. </w:t>
      </w:r>
    </w:p>
    <w:p w14:paraId="7C1678A3"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Kierownik Zamawiającego</w:t>
      </w:r>
      <w:r w:rsidRPr="001B2B2A">
        <w:rPr>
          <w:rFonts w:ascii="Calibri" w:hAnsi="Calibri" w:cs="Calibri"/>
          <w:color w:val="00000A"/>
          <w:sz w:val="20"/>
          <w:szCs w:val="20"/>
        </w:rPr>
        <w:t xml:space="preserve"> – osoba wyznaczona przez Zamawiającego, koordynująca całość przedmiotu danego pakietu, posiadająca odpowiednie pełnomocnictwa. W szczególności odpowiedzialna ze strony Zamawiającego za realizację przedmiotu zamówienia. </w:t>
      </w:r>
    </w:p>
    <w:p w14:paraId="051EEF18"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Kierownik Wykonawcy</w:t>
      </w:r>
      <w:r w:rsidRPr="001B2B2A">
        <w:rPr>
          <w:rFonts w:ascii="Calibri" w:hAnsi="Calibri" w:cs="Calibri"/>
          <w:color w:val="00000A"/>
          <w:sz w:val="20"/>
          <w:szCs w:val="20"/>
        </w:rPr>
        <w:t xml:space="preserve"> - osoba wyznaczona przez Wykonawcę do koordynacji realizacji prac danego zadania. Upoważniona do podpisywania Dokumentacji Projektu z ramienia Wykonawcy.</w:t>
      </w:r>
    </w:p>
    <w:p w14:paraId="0EC71229" w14:textId="77777777" w:rsidR="00203EA1" w:rsidRPr="001B2B2A" w:rsidRDefault="00203EA1" w:rsidP="001B2B2A">
      <w:pPr>
        <w:spacing w:after="0" w:line="360" w:lineRule="auto"/>
        <w:ind w:left="122" w:right="0" w:firstLine="0"/>
        <w:jc w:val="left"/>
        <w:rPr>
          <w:rFonts w:ascii="Calibri" w:hAnsi="Calibri" w:cs="Calibri"/>
          <w:sz w:val="20"/>
          <w:szCs w:val="20"/>
        </w:rPr>
      </w:pPr>
    </w:p>
    <w:p w14:paraId="7C5F824F" w14:textId="77777777" w:rsidR="00203EA1" w:rsidRPr="001B2B2A" w:rsidRDefault="00000000" w:rsidP="001B2B2A">
      <w:pPr>
        <w:spacing w:line="360" w:lineRule="auto"/>
        <w:ind w:right="34"/>
        <w:rPr>
          <w:rFonts w:ascii="Calibri" w:hAnsi="Calibri" w:cs="Calibri"/>
          <w:sz w:val="20"/>
          <w:szCs w:val="20"/>
        </w:rPr>
      </w:pPr>
      <w:r w:rsidRPr="001B2B2A">
        <w:rPr>
          <w:rFonts w:ascii="Calibri" w:hAnsi="Calibri" w:cs="Calibri"/>
          <w:b/>
          <w:bCs/>
          <w:sz w:val="20"/>
          <w:szCs w:val="20"/>
          <w:u w:val="single"/>
        </w:rPr>
        <w:t>OPIS RÓWNOWAŻNOŚCI:</w:t>
      </w:r>
    </w:p>
    <w:p w14:paraId="77171492" w14:textId="77777777" w:rsidR="00203EA1" w:rsidRPr="001B2B2A" w:rsidRDefault="00000000" w:rsidP="001B2B2A">
      <w:pPr>
        <w:spacing w:after="13" w:line="360" w:lineRule="auto"/>
        <w:ind w:right="0"/>
        <w:contextualSpacing/>
        <w:rPr>
          <w:rFonts w:ascii="Calibri" w:hAnsi="Calibri" w:cs="Calibri"/>
          <w:sz w:val="20"/>
          <w:szCs w:val="20"/>
        </w:rPr>
      </w:pPr>
      <w:r w:rsidRPr="001B2B2A">
        <w:rPr>
          <w:rFonts w:ascii="Calibri" w:eastAsia="Cambria" w:hAnsi="Calibri" w:cs="Calibri"/>
          <w:color w:val="000000" w:themeColor="text1"/>
          <w:sz w:val="20"/>
          <w:szCs w:val="20"/>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w:t>
      </w:r>
      <w:proofErr w:type="spellStart"/>
      <w:r w:rsidRPr="001B2B2A">
        <w:rPr>
          <w:rFonts w:ascii="Calibri" w:eastAsia="Cambria" w:hAnsi="Calibri" w:cs="Calibri"/>
          <w:color w:val="000000" w:themeColor="text1"/>
          <w:sz w:val="20"/>
          <w:szCs w:val="20"/>
        </w:rPr>
        <w:t>Pzp</w:t>
      </w:r>
      <w:proofErr w:type="spellEnd"/>
      <w:r w:rsidRPr="001B2B2A">
        <w:rPr>
          <w:rFonts w:ascii="Calibri" w:eastAsia="Cambria" w:hAnsi="Calibri" w:cs="Calibri"/>
          <w:color w:val="000000" w:themeColor="text1"/>
          <w:sz w:val="20"/>
          <w:szCs w:val="20"/>
        </w:rPr>
        <w:t xml:space="preserve">, że zamawiający nie może opisać przedmiotu zamówienia w wystarczająco precyzyjny i zrozumiały sposób i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14:paraId="4B7D24CB" w14:textId="77777777" w:rsidR="00203EA1" w:rsidRPr="001B2B2A" w:rsidRDefault="00000000" w:rsidP="001B2B2A">
      <w:pPr>
        <w:spacing w:after="13" w:line="360" w:lineRule="auto"/>
        <w:ind w:right="0"/>
        <w:contextualSpacing/>
        <w:rPr>
          <w:rFonts w:ascii="Calibri" w:hAnsi="Calibri" w:cs="Calibri"/>
          <w:sz w:val="20"/>
          <w:szCs w:val="20"/>
        </w:rPr>
      </w:pPr>
      <w:r w:rsidRPr="001B2B2A">
        <w:rPr>
          <w:rFonts w:ascii="Calibri" w:eastAsia="Cambria" w:hAnsi="Calibri" w:cs="Calibri"/>
          <w:color w:val="000000" w:themeColor="text1"/>
          <w:sz w:val="20"/>
          <w:szCs w:val="20"/>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14:paraId="1AF94E0C" w14:textId="77777777" w:rsidR="00203EA1" w:rsidRPr="001B2B2A" w:rsidRDefault="00000000" w:rsidP="001B2B2A">
      <w:pPr>
        <w:spacing w:after="13" w:line="360" w:lineRule="auto"/>
        <w:ind w:right="0"/>
        <w:contextualSpacing/>
        <w:rPr>
          <w:rFonts w:ascii="Calibri" w:hAnsi="Calibri" w:cs="Calibri"/>
          <w:sz w:val="20"/>
          <w:szCs w:val="20"/>
        </w:rPr>
      </w:pPr>
      <w:r w:rsidRPr="001B2B2A">
        <w:rPr>
          <w:rFonts w:ascii="Calibri" w:eastAsia="Cambria" w:hAnsi="Calibri" w:cs="Calibri"/>
          <w:color w:val="000000" w:themeColor="text1"/>
          <w:sz w:val="20"/>
          <w:szCs w:val="20"/>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14:paraId="6933F514" w14:textId="77777777" w:rsidR="00203EA1" w:rsidRPr="001B2B2A" w:rsidRDefault="00000000" w:rsidP="001B2B2A">
      <w:pPr>
        <w:spacing w:after="13" w:line="360" w:lineRule="auto"/>
        <w:ind w:right="0"/>
        <w:contextualSpacing/>
        <w:rPr>
          <w:rFonts w:ascii="Calibri" w:hAnsi="Calibri" w:cs="Calibri"/>
          <w:sz w:val="20"/>
          <w:szCs w:val="20"/>
        </w:rPr>
      </w:pPr>
      <w:r w:rsidRPr="001B2B2A">
        <w:rPr>
          <w:rFonts w:ascii="Calibri" w:eastAsia="Cambria" w:hAnsi="Calibri" w:cs="Calibri"/>
          <w:color w:val="000000" w:themeColor="text1"/>
          <w:sz w:val="20"/>
          <w:szCs w:val="20"/>
        </w:rPr>
        <w:t xml:space="preserve">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w:t>
      </w:r>
      <w:r w:rsidRPr="001B2B2A">
        <w:rPr>
          <w:rFonts w:ascii="Calibri" w:eastAsia="Cambria" w:hAnsi="Calibri" w:cs="Calibri"/>
          <w:color w:val="000000" w:themeColor="text1"/>
          <w:sz w:val="20"/>
          <w:szCs w:val="20"/>
        </w:rPr>
        <w:lastRenderedPageBreak/>
        <w:t>równoważny to produkt, który nie jest identyczny, tożsamy z produktem referencyjnym, ale posiada pewne, istotne dla Zamawiającego, zbliżone do produktu referencyjnego cechy i parametry.</w:t>
      </w:r>
    </w:p>
    <w:p w14:paraId="094DEE7D" w14:textId="39A8CA91" w:rsidR="00203EA1" w:rsidRPr="001B2B2A" w:rsidRDefault="00000000" w:rsidP="001B2B2A">
      <w:pPr>
        <w:spacing w:line="360" w:lineRule="auto"/>
        <w:ind w:right="34"/>
        <w:rPr>
          <w:rFonts w:ascii="Calibri" w:hAnsi="Calibri" w:cs="Calibri"/>
          <w:sz w:val="20"/>
          <w:szCs w:val="20"/>
        </w:rPr>
      </w:pPr>
      <w:r w:rsidRPr="001B2B2A">
        <w:rPr>
          <w:rFonts w:ascii="Calibri" w:eastAsia="Cambria" w:hAnsi="Calibri" w:cs="Calibri"/>
          <w:color w:val="000000" w:themeColor="text1"/>
          <w:sz w:val="20"/>
          <w:szCs w:val="20"/>
        </w:rPr>
        <w:t>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w:t>
      </w:r>
      <w:r w:rsidRPr="001B2B2A">
        <w:rPr>
          <w:rFonts w:ascii="Calibri" w:hAnsi="Calibri" w:cs="Calibri"/>
          <w:sz w:val="20"/>
          <w:szCs w:val="20"/>
        </w:rPr>
        <w:t xml:space="preserve"> </w:t>
      </w:r>
    </w:p>
    <w:p w14:paraId="0DC2EC4F" w14:textId="4506BAE0" w:rsidR="00203EA1" w:rsidRPr="001B2B2A" w:rsidRDefault="00000000" w:rsidP="001B2B2A">
      <w:pPr>
        <w:spacing w:before="240" w:after="0" w:line="360" w:lineRule="auto"/>
        <w:ind w:left="0" w:right="0" w:firstLine="0"/>
        <w:rPr>
          <w:rFonts w:ascii="Calibri" w:hAnsi="Calibri" w:cs="Calibri"/>
          <w:sz w:val="20"/>
          <w:szCs w:val="20"/>
        </w:rPr>
      </w:pPr>
      <w:r w:rsidRPr="001B2B2A">
        <w:rPr>
          <w:rFonts w:ascii="Calibri" w:hAnsi="Calibri" w:cs="Calibri"/>
          <w:sz w:val="20"/>
          <w:szCs w:val="20"/>
        </w:rPr>
        <w:t xml:space="preserve">Wykonawca, który powołuje się na rozwiązania równoważne opisywanym przez Zamawiającego, jest obowiązany wykazać, że oferowany przedmiot zamówienia spełnia wymagania określone przez Zamawiającego poprzez złożenie opisu zaoferowanych produktów wraz z wykazaniem cech równoważności w stosunku do wymagań opisanych przez Zamawiającego w niniejszym załączniku oraz podanie nazwy handlowej </w:t>
      </w:r>
      <w:r w:rsidR="001B2B2A">
        <w:rPr>
          <w:rFonts w:ascii="Calibri" w:hAnsi="Calibri" w:cs="Calibri"/>
          <w:sz w:val="20"/>
          <w:szCs w:val="20"/>
        </w:rPr>
        <w:t xml:space="preserve">                               </w:t>
      </w:r>
      <w:r w:rsidRPr="001B2B2A">
        <w:rPr>
          <w:rFonts w:ascii="Calibri" w:hAnsi="Calibri" w:cs="Calibri"/>
          <w:sz w:val="20"/>
          <w:szCs w:val="20"/>
        </w:rPr>
        <w:t>i producenta.</w:t>
      </w:r>
    </w:p>
    <w:p w14:paraId="09F03D56" w14:textId="2C47127A" w:rsidR="00203EA1" w:rsidRPr="001B2B2A" w:rsidRDefault="00000000" w:rsidP="001B2B2A">
      <w:pPr>
        <w:spacing w:before="240" w:after="0" w:line="360" w:lineRule="auto"/>
        <w:ind w:left="0" w:right="0" w:firstLine="0"/>
        <w:rPr>
          <w:rFonts w:ascii="Calibri" w:hAnsi="Calibri" w:cs="Calibri"/>
          <w:sz w:val="20"/>
          <w:szCs w:val="20"/>
        </w:rPr>
      </w:pPr>
      <w:r w:rsidRPr="001B2B2A">
        <w:rPr>
          <w:rFonts w:ascii="Calibri" w:hAnsi="Calibri" w:cs="Calibri"/>
          <w:sz w:val="20"/>
          <w:szCs w:val="20"/>
        </w:rPr>
        <w:t>W celu wykazania cech równoważności Zamawiający dopuszcza załączenie do opisu etykiet, zdjęć, kart katalogowych itp., z dopiskiem której pozycji asortymentowej (jakiego sprzętu) dotyczy dana informacja</w:t>
      </w:r>
      <w:r w:rsidR="001B2B2A">
        <w:rPr>
          <w:rFonts w:ascii="Calibri" w:hAnsi="Calibri" w:cs="Calibri"/>
          <w:sz w:val="20"/>
          <w:szCs w:val="20"/>
        </w:rPr>
        <w:t xml:space="preserve">                     </w:t>
      </w:r>
      <w:r w:rsidRPr="001B2B2A">
        <w:rPr>
          <w:rFonts w:ascii="Calibri" w:hAnsi="Calibri" w:cs="Calibri"/>
          <w:sz w:val="20"/>
          <w:szCs w:val="20"/>
        </w:rPr>
        <w:t xml:space="preserve"> z zastrzeżeniem, że z tych dokumentów muszą wynikać parametry co najmniej określone przez Zamawiającego w załącznikach do OPZ i dane identyfikujące produkt.</w:t>
      </w:r>
    </w:p>
    <w:p w14:paraId="606DCD47" w14:textId="77777777" w:rsidR="00203EA1" w:rsidRPr="001B2B2A" w:rsidRDefault="00203EA1" w:rsidP="001B2B2A">
      <w:pPr>
        <w:spacing w:line="360" w:lineRule="auto"/>
        <w:rPr>
          <w:rFonts w:ascii="Calibri" w:hAnsi="Calibri" w:cs="Calibri"/>
          <w:sz w:val="20"/>
          <w:szCs w:val="20"/>
        </w:rPr>
      </w:pPr>
    </w:p>
    <w:p w14:paraId="6F69101B" w14:textId="77777777" w:rsidR="00203EA1" w:rsidRPr="001B2B2A" w:rsidRDefault="00000000" w:rsidP="001B2B2A">
      <w:pPr>
        <w:spacing w:after="0" w:line="360" w:lineRule="auto"/>
        <w:rPr>
          <w:rFonts w:ascii="Calibri" w:hAnsi="Calibri" w:cs="Calibri"/>
          <w:sz w:val="20"/>
          <w:szCs w:val="20"/>
        </w:rPr>
      </w:pPr>
      <w:bookmarkStart w:id="0" w:name="_Hlk109630758"/>
      <w:bookmarkEnd w:id="0"/>
      <w:r w:rsidRPr="001B2B2A">
        <w:rPr>
          <w:rFonts w:ascii="Calibri" w:hAnsi="Calibri" w:cs="Calibri"/>
          <w:b/>
          <w:bCs/>
          <w:sz w:val="20"/>
          <w:szCs w:val="20"/>
        </w:rPr>
        <w:t>Audyt bezpieczeństwa systemów IT</w:t>
      </w:r>
    </w:p>
    <w:p w14:paraId="2C9BCA8E" w14:textId="3D9C8BB7" w:rsidR="00203EA1" w:rsidRPr="001B2B2A" w:rsidRDefault="00000000" w:rsidP="001B2B2A">
      <w:pPr>
        <w:spacing w:after="0" w:line="360" w:lineRule="auto"/>
        <w:rPr>
          <w:rFonts w:ascii="Calibri" w:hAnsi="Calibri" w:cs="Calibri"/>
          <w:sz w:val="20"/>
          <w:szCs w:val="20"/>
        </w:rPr>
      </w:pPr>
      <w:r w:rsidRPr="001B2B2A">
        <w:rPr>
          <w:rFonts w:ascii="Calibri" w:hAnsi="Calibri" w:cs="Calibri"/>
          <w:sz w:val="20"/>
          <w:szCs w:val="20"/>
        </w:rPr>
        <w:t xml:space="preserve">Przedmiotem zamówienia jest Przeprowadzenie audytu bezpieczeństwa, którego celem jest wykazanie podniesienia poziomu bezpieczeństwa teleinformatycznego po zrealizowaniu czynności w odniesieniu do stanu na dzień przeprowadzenia badania poziomu dojrzałości </w:t>
      </w:r>
      <w:proofErr w:type="spellStart"/>
      <w:r w:rsidRPr="001B2B2A">
        <w:rPr>
          <w:rFonts w:ascii="Calibri" w:hAnsi="Calibri" w:cs="Calibri"/>
          <w:sz w:val="20"/>
          <w:szCs w:val="20"/>
        </w:rPr>
        <w:t>cyberbezpieczeństwa</w:t>
      </w:r>
      <w:proofErr w:type="spellEnd"/>
      <w:r w:rsidRPr="001B2B2A">
        <w:rPr>
          <w:rFonts w:ascii="Calibri" w:hAnsi="Calibri" w:cs="Calibri"/>
          <w:sz w:val="20"/>
          <w:szCs w:val="20"/>
        </w:rPr>
        <w:t xml:space="preserve"> i oceny podniesienia poziomu bezpieczeństwa teleinformatycznego, zgodnie z Zarządzeniem nr 68/2022/BBIICD Prezesa Narodowego Funduszu Zdrowia z dnia 20 maja 2022 r. w sprawie finansowania działań w celu podniesienia poziomu bezpieczeństwa systemów teleinformatycznych świadczeniodawców.</w:t>
      </w:r>
    </w:p>
    <w:p w14:paraId="6FB66F0B" w14:textId="77777777" w:rsidR="00203EA1" w:rsidRPr="001B2B2A" w:rsidRDefault="00000000" w:rsidP="001B2B2A">
      <w:pPr>
        <w:spacing w:after="0" w:line="360" w:lineRule="auto"/>
        <w:rPr>
          <w:rFonts w:ascii="Calibri" w:hAnsi="Calibri" w:cs="Calibri"/>
          <w:sz w:val="20"/>
          <w:szCs w:val="20"/>
        </w:rPr>
      </w:pPr>
      <w:r w:rsidRPr="001B2B2A">
        <w:rPr>
          <w:rFonts w:ascii="Calibri" w:hAnsi="Calibri" w:cs="Calibri"/>
          <w:sz w:val="20"/>
          <w:szCs w:val="20"/>
        </w:rPr>
        <w:t>Obszary Audytu (raportu):</w:t>
      </w:r>
    </w:p>
    <w:p w14:paraId="44CEE172" w14:textId="77777777" w:rsidR="00203EA1" w:rsidRPr="001B2B2A" w:rsidRDefault="00000000" w:rsidP="001B2B2A">
      <w:pPr>
        <w:pStyle w:val="Akapitzlist"/>
        <w:numPr>
          <w:ilvl w:val="0"/>
          <w:numId w:val="3"/>
        </w:numPr>
        <w:spacing w:after="0" w:line="360" w:lineRule="auto"/>
        <w:ind w:left="284" w:right="0" w:hanging="284"/>
        <w:rPr>
          <w:rFonts w:ascii="Calibri" w:hAnsi="Calibri" w:cs="Calibri"/>
          <w:sz w:val="20"/>
          <w:szCs w:val="20"/>
        </w:rPr>
      </w:pPr>
      <w:r w:rsidRPr="001B2B2A">
        <w:rPr>
          <w:rFonts w:ascii="Calibri" w:hAnsi="Calibri" w:cs="Calibri"/>
          <w:sz w:val="20"/>
          <w:szCs w:val="20"/>
        </w:rPr>
        <w:t>Ocena skuteczności działania infrastruktury w zakresie urządzeń i konfiguracji w zakresie: ochrony poczty, ochrony sieci, systemów serwerowych, stacji roboczych, systemów bezpieczeństwa,</w:t>
      </w:r>
    </w:p>
    <w:p w14:paraId="4FABB458" w14:textId="77777777" w:rsidR="00203EA1" w:rsidRPr="001B2B2A" w:rsidRDefault="00000000" w:rsidP="001B2B2A">
      <w:pPr>
        <w:pStyle w:val="Akapitzlist"/>
        <w:numPr>
          <w:ilvl w:val="0"/>
          <w:numId w:val="3"/>
        </w:numPr>
        <w:spacing w:after="0" w:line="360" w:lineRule="auto"/>
        <w:ind w:left="284" w:right="0" w:hanging="284"/>
        <w:rPr>
          <w:rFonts w:ascii="Calibri" w:hAnsi="Calibri" w:cs="Calibri"/>
          <w:sz w:val="20"/>
          <w:szCs w:val="20"/>
        </w:rPr>
      </w:pPr>
      <w:r w:rsidRPr="001B2B2A">
        <w:rPr>
          <w:rFonts w:ascii="Calibri" w:hAnsi="Calibri" w:cs="Calibri"/>
          <w:sz w:val="20"/>
          <w:szCs w:val="20"/>
        </w:rPr>
        <w:t>Zarządzanie bezpieczeństwem informacji:</w:t>
      </w:r>
    </w:p>
    <w:p w14:paraId="09327D52"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nośniki wymienne - udokumentowany sposób postępowania,</w:t>
      </w:r>
    </w:p>
    <w:p w14:paraId="70FE7519"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zarządzanie tożsamością/dostęp do systemów w zakresie: przydzielanie dostępu, odbieranie dostępu,</w:t>
      </w:r>
    </w:p>
    <w:p w14:paraId="6CDF36C4"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 xml:space="preserve">pomieszczenie/pomieszczenia w dyspozycji struktur zespołu odpowiedzialnego za </w:t>
      </w:r>
      <w:proofErr w:type="spellStart"/>
      <w:r w:rsidRPr="001B2B2A">
        <w:rPr>
          <w:rFonts w:ascii="Calibri" w:hAnsi="Calibri" w:cs="Calibri"/>
          <w:sz w:val="20"/>
          <w:szCs w:val="20"/>
        </w:rPr>
        <w:t>cyberbezpieczeństwo</w:t>
      </w:r>
      <w:proofErr w:type="spellEnd"/>
      <w:r w:rsidRPr="001B2B2A">
        <w:rPr>
          <w:rFonts w:ascii="Calibri" w:hAnsi="Calibri" w:cs="Calibri"/>
          <w:sz w:val="20"/>
          <w:szCs w:val="20"/>
        </w:rPr>
        <w:t xml:space="preserve"> zgodnie z wymogami dla Operatora Usługi Kluczowej, o którym mowa w art. 5 ustawy z dnia 5 lipca 2018 r. o Krajowym Systemie </w:t>
      </w:r>
      <w:proofErr w:type="spellStart"/>
      <w:r w:rsidRPr="001B2B2A">
        <w:rPr>
          <w:rFonts w:ascii="Calibri" w:hAnsi="Calibri" w:cs="Calibri"/>
          <w:sz w:val="20"/>
          <w:szCs w:val="20"/>
        </w:rPr>
        <w:t>Cyberbezpieczeństwa</w:t>
      </w:r>
      <w:proofErr w:type="spellEnd"/>
      <w:r w:rsidRPr="001B2B2A">
        <w:rPr>
          <w:rFonts w:ascii="Calibri" w:hAnsi="Calibri" w:cs="Calibri"/>
          <w:sz w:val="20"/>
          <w:szCs w:val="20"/>
        </w:rPr>
        <w:t>.</w:t>
      </w:r>
    </w:p>
    <w:p w14:paraId="4A44F29E" w14:textId="77777777" w:rsidR="00203EA1" w:rsidRPr="001B2B2A" w:rsidRDefault="00000000" w:rsidP="001B2B2A">
      <w:pPr>
        <w:pStyle w:val="Akapitzlist"/>
        <w:numPr>
          <w:ilvl w:val="0"/>
          <w:numId w:val="3"/>
        </w:numPr>
        <w:spacing w:after="0" w:line="360" w:lineRule="auto"/>
        <w:ind w:left="284" w:right="0" w:hanging="284"/>
        <w:rPr>
          <w:rFonts w:ascii="Calibri" w:hAnsi="Calibri" w:cs="Calibri"/>
          <w:sz w:val="20"/>
          <w:szCs w:val="20"/>
        </w:rPr>
      </w:pPr>
      <w:r w:rsidRPr="001B2B2A">
        <w:rPr>
          <w:rFonts w:ascii="Calibri" w:hAnsi="Calibri" w:cs="Calibri"/>
          <w:sz w:val="20"/>
          <w:szCs w:val="20"/>
        </w:rPr>
        <w:t>Monitorowanie i reagowanie na incydenty bezpieczeństwa:</w:t>
      </w:r>
    </w:p>
    <w:p w14:paraId="521C6326"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procedury zarządzania incydentami,</w:t>
      </w:r>
    </w:p>
    <w:p w14:paraId="26149B26"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raportowanie poziomów pokrycia scenariuszami znanych incydentów,</w:t>
      </w:r>
    </w:p>
    <w:p w14:paraId="7F90BB52"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lastRenderedPageBreak/>
        <w:t xml:space="preserve">dokumentacja dotycząca przekazywania informacji do właściwego zespołu CSIRT poziomu krajowego/ sektorowego zespołu </w:t>
      </w:r>
      <w:proofErr w:type="spellStart"/>
      <w:r w:rsidRPr="001B2B2A">
        <w:rPr>
          <w:rFonts w:ascii="Calibri" w:hAnsi="Calibri" w:cs="Calibri"/>
          <w:sz w:val="20"/>
          <w:szCs w:val="20"/>
        </w:rPr>
        <w:t>cyberbezpieczeństwa</w:t>
      </w:r>
      <w:proofErr w:type="spellEnd"/>
      <w:r w:rsidRPr="001B2B2A">
        <w:rPr>
          <w:rFonts w:ascii="Calibri" w:hAnsi="Calibri" w:cs="Calibri"/>
          <w:sz w:val="20"/>
          <w:szCs w:val="20"/>
        </w:rPr>
        <w:t>,</w:t>
      </w:r>
    </w:p>
    <w:p w14:paraId="6E6F33AB"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monitorowanie i wykrycie incydentów bezpieczeństwa,</w:t>
      </w:r>
    </w:p>
    <w:p w14:paraId="3B1E2321"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Identyfikacja i dokumentowanie przyczyn wystąpienia incydentów.</w:t>
      </w:r>
    </w:p>
    <w:p w14:paraId="0E367425" w14:textId="77777777" w:rsidR="00203EA1" w:rsidRPr="001B2B2A" w:rsidRDefault="00000000" w:rsidP="001B2B2A">
      <w:pPr>
        <w:pStyle w:val="Akapitzlist"/>
        <w:numPr>
          <w:ilvl w:val="0"/>
          <w:numId w:val="3"/>
        </w:numPr>
        <w:spacing w:after="0" w:line="360" w:lineRule="auto"/>
        <w:ind w:left="284" w:right="0" w:hanging="284"/>
        <w:rPr>
          <w:rFonts w:ascii="Calibri" w:hAnsi="Calibri" w:cs="Calibri"/>
          <w:sz w:val="20"/>
          <w:szCs w:val="20"/>
        </w:rPr>
      </w:pPr>
      <w:r w:rsidRPr="001B2B2A">
        <w:rPr>
          <w:rFonts w:ascii="Calibri" w:hAnsi="Calibri" w:cs="Calibri"/>
          <w:sz w:val="20"/>
          <w:szCs w:val="20"/>
        </w:rPr>
        <w:t>Zarządzanie ciągłością działania:</w:t>
      </w:r>
    </w:p>
    <w:p w14:paraId="5A126A09"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konfiguracja oraz polityki systemów do wykonywania kopii bezpieczeństwa,</w:t>
      </w:r>
    </w:p>
    <w:p w14:paraId="0F7AB6C3"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raport z przeglądów i testów odtwarzania kopii bezpieczeństwa,</w:t>
      </w:r>
    </w:p>
    <w:p w14:paraId="71C201FF"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procedury wykonywania i przechowywania kopii zapasowych,</w:t>
      </w:r>
    </w:p>
    <w:p w14:paraId="3AD38574"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strategia i polityka ciągłości działania, awaryjne oraz odtwarzania po katastrofie (DRP),</w:t>
      </w:r>
    </w:p>
    <w:p w14:paraId="5FB389AE"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procedury utrzymaniowe.</w:t>
      </w:r>
    </w:p>
    <w:p w14:paraId="05B5D08D" w14:textId="77777777" w:rsidR="00203EA1" w:rsidRPr="001B2B2A" w:rsidRDefault="00000000" w:rsidP="001B2B2A">
      <w:pPr>
        <w:pStyle w:val="Akapitzlist"/>
        <w:numPr>
          <w:ilvl w:val="0"/>
          <w:numId w:val="3"/>
        </w:numPr>
        <w:spacing w:after="0" w:line="360" w:lineRule="auto"/>
        <w:ind w:left="284" w:right="0" w:hanging="284"/>
        <w:rPr>
          <w:rFonts w:ascii="Calibri" w:hAnsi="Calibri" w:cs="Calibri"/>
          <w:sz w:val="20"/>
          <w:szCs w:val="20"/>
        </w:rPr>
      </w:pPr>
      <w:r w:rsidRPr="001B2B2A">
        <w:rPr>
          <w:rFonts w:ascii="Calibri" w:hAnsi="Calibri" w:cs="Calibri"/>
          <w:sz w:val="20"/>
          <w:szCs w:val="20"/>
        </w:rPr>
        <w:t>Utrzymanie systemów informacyjnych:</w:t>
      </w:r>
    </w:p>
    <w:p w14:paraId="2B0E59C3"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harmonogramy skanowania podatności,</w:t>
      </w:r>
    </w:p>
    <w:p w14:paraId="60964B94"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aktualny status realizacji postępowania z podatnościami,</w:t>
      </w:r>
    </w:p>
    <w:p w14:paraId="00DE6062"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procedury związane ze z identyfikowaniem (wykryciem) podatności,</w:t>
      </w:r>
    </w:p>
    <w:p w14:paraId="6E244D7D"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współpraca z osobami odpowiedzialnymi za procesy zarządzania incydentami.</w:t>
      </w:r>
    </w:p>
    <w:p w14:paraId="01BDB5F7" w14:textId="77777777" w:rsidR="00203EA1" w:rsidRPr="001B2B2A" w:rsidRDefault="00000000" w:rsidP="001B2B2A">
      <w:pPr>
        <w:pStyle w:val="Akapitzlist"/>
        <w:numPr>
          <w:ilvl w:val="0"/>
          <w:numId w:val="3"/>
        </w:numPr>
        <w:spacing w:after="0" w:line="360" w:lineRule="auto"/>
        <w:ind w:left="284" w:right="0" w:hanging="284"/>
        <w:rPr>
          <w:rFonts w:ascii="Calibri" w:hAnsi="Calibri" w:cs="Calibri"/>
          <w:sz w:val="20"/>
          <w:szCs w:val="20"/>
        </w:rPr>
      </w:pPr>
      <w:r w:rsidRPr="001B2B2A">
        <w:rPr>
          <w:rFonts w:ascii="Calibri" w:hAnsi="Calibri" w:cs="Calibri"/>
          <w:sz w:val="20"/>
          <w:szCs w:val="20"/>
        </w:rPr>
        <w:t>Zarządzanie bezpieczeństwem i ciągłością działania łańcucha usług:</w:t>
      </w:r>
    </w:p>
    <w:p w14:paraId="65FA85FE"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polityka bezpieczeństwa w relacjach z dostawcami,</w:t>
      </w:r>
    </w:p>
    <w:p w14:paraId="56F34322"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 xml:space="preserve">standardy i wymagania nakładane na dostawców w umowach w zakresie </w:t>
      </w:r>
      <w:proofErr w:type="spellStart"/>
      <w:r w:rsidRPr="001B2B2A">
        <w:rPr>
          <w:rFonts w:ascii="Calibri" w:hAnsi="Calibri" w:cs="Calibri"/>
          <w:sz w:val="20"/>
          <w:szCs w:val="20"/>
        </w:rPr>
        <w:t>cyberbezpieczeństwa</w:t>
      </w:r>
      <w:proofErr w:type="spellEnd"/>
      <w:r w:rsidRPr="001B2B2A">
        <w:rPr>
          <w:rFonts w:ascii="Calibri" w:hAnsi="Calibri" w:cs="Calibri"/>
          <w:sz w:val="20"/>
          <w:szCs w:val="20"/>
        </w:rPr>
        <w:t>,</w:t>
      </w:r>
    </w:p>
    <w:p w14:paraId="4D63425F"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dostęp zdalny,</w:t>
      </w:r>
    </w:p>
    <w:p w14:paraId="73F61A3D"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metody uwierzytelnienia.</w:t>
      </w:r>
    </w:p>
    <w:p w14:paraId="43598D4C" w14:textId="77777777" w:rsidR="00203EA1" w:rsidRPr="001B2B2A" w:rsidRDefault="00000000" w:rsidP="001B2B2A">
      <w:pPr>
        <w:spacing w:after="0" w:line="360" w:lineRule="auto"/>
        <w:rPr>
          <w:rFonts w:ascii="Calibri" w:hAnsi="Calibri" w:cs="Calibri"/>
          <w:sz w:val="20"/>
          <w:szCs w:val="20"/>
        </w:rPr>
      </w:pPr>
      <w:r w:rsidRPr="001B2B2A">
        <w:rPr>
          <w:rFonts w:ascii="Calibri" w:hAnsi="Calibri" w:cs="Calibri"/>
          <w:sz w:val="20"/>
          <w:szCs w:val="20"/>
        </w:rPr>
        <w:t>Kryteria Audytu Bezpieczeństwa oparte będą o:</w:t>
      </w:r>
    </w:p>
    <w:p w14:paraId="5D8E6F41" w14:textId="77777777" w:rsidR="00203EA1" w:rsidRPr="001B2B2A" w:rsidRDefault="00000000" w:rsidP="001B2B2A">
      <w:pPr>
        <w:pStyle w:val="Akapitzlist"/>
        <w:numPr>
          <w:ilvl w:val="0"/>
          <w:numId w:val="2"/>
        </w:numPr>
        <w:spacing w:after="0" w:line="360" w:lineRule="auto"/>
        <w:ind w:left="426" w:right="0" w:hanging="426"/>
        <w:rPr>
          <w:rFonts w:ascii="Calibri" w:hAnsi="Calibri" w:cs="Calibri"/>
          <w:sz w:val="20"/>
          <w:szCs w:val="20"/>
        </w:rPr>
      </w:pPr>
      <w:r w:rsidRPr="001B2B2A">
        <w:rPr>
          <w:rFonts w:ascii="Calibri" w:hAnsi="Calibri" w:cs="Calibri"/>
          <w:sz w:val="20"/>
          <w:szCs w:val="20"/>
        </w:rPr>
        <w:t xml:space="preserve">Ankietę weryfikacji pod kątem dojrzałości </w:t>
      </w:r>
      <w:proofErr w:type="spellStart"/>
      <w:r w:rsidRPr="001B2B2A">
        <w:rPr>
          <w:rFonts w:ascii="Calibri" w:hAnsi="Calibri" w:cs="Calibri"/>
          <w:sz w:val="20"/>
          <w:szCs w:val="20"/>
        </w:rPr>
        <w:t>cyberbezpieczeństwa</w:t>
      </w:r>
      <w:proofErr w:type="spellEnd"/>
      <w:r w:rsidRPr="001B2B2A">
        <w:rPr>
          <w:rFonts w:ascii="Calibri" w:hAnsi="Calibri" w:cs="Calibri"/>
          <w:sz w:val="20"/>
          <w:szCs w:val="20"/>
        </w:rPr>
        <w:t>.</w:t>
      </w:r>
    </w:p>
    <w:p w14:paraId="3C4EF7DD" w14:textId="77777777" w:rsidR="00203EA1" w:rsidRPr="001B2B2A" w:rsidRDefault="00000000" w:rsidP="001B2B2A">
      <w:pPr>
        <w:pStyle w:val="Akapitzlist"/>
        <w:numPr>
          <w:ilvl w:val="0"/>
          <w:numId w:val="2"/>
        </w:numPr>
        <w:spacing w:after="0" w:line="360" w:lineRule="auto"/>
        <w:ind w:left="426" w:right="0" w:hanging="426"/>
        <w:rPr>
          <w:rFonts w:ascii="Calibri" w:hAnsi="Calibri" w:cs="Calibri"/>
          <w:sz w:val="20"/>
          <w:szCs w:val="20"/>
        </w:rPr>
      </w:pPr>
      <w:r w:rsidRPr="001B2B2A">
        <w:rPr>
          <w:rFonts w:ascii="Calibri" w:hAnsi="Calibri" w:cs="Calibri"/>
          <w:sz w:val="20"/>
          <w:szCs w:val="20"/>
        </w:rPr>
        <w:t>Wymagania normatywne PN-EN ISO/IEC 27001:2017-06.</w:t>
      </w:r>
    </w:p>
    <w:p w14:paraId="3C87BEAA" w14:textId="77777777" w:rsidR="00203EA1" w:rsidRPr="001B2B2A" w:rsidRDefault="00000000" w:rsidP="001B2B2A">
      <w:pPr>
        <w:pStyle w:val="Akapitzlist"/>
        <w:numPr>
          <w:ilvl w:val="0"/>
          <w:numId w:val="2"/>
        </w:numPr>
        <w:spacing w:after="0" w:line="360" w:lineRule="auto"/>
        <w:ind w:left="426" w:right="0" w:hanging="426"/>
        <w:rPr>
          <w:rFonts w:ascii="Calibri" w:hAnsi="Calibri" w:cs="Calibri"/>
          <w:sz w:val="20"/>
          <w:szCs w:val="20"/>
        </w:rPr>
      </w:pPr>
      <w:r w:rsidRPr="001B2B2A">
        <w:rPr>
          <w:rFonts w:ascii="Calibri" w:hAnsi="Calibri" w:cs="Calibri"/>
          <w:sz w:val="20"/>
          <w:szCs w:val="20"/>
        </w:rPr>
        <w:t>Wymagania normatywne PN-EN ISO 22301:2020-04.</w:t>
      </w:r>
    </w:p>
    <w:p w14:paraId="3EAA5062" w14:textId="77777777" w:rsidR="00203EA1" w:rsidRPr="001B2B2A" w:rsidRDefault="00000000" w:rsidP="001B2B2A">
      <w:pPr>
        <w:pStyle w:val="Akapitzlist"/>
        <w:numPr>
          <w:ilvl w:val="0"/>
          <w:numId w:val="2"/>
        </w:numPr>
        <w:spacing w:after="0" w:line="360" w:lineRule="auto"/>
        <w:ind w:left="426" w:right="0" w:hanging="426"/>
        <w:rPr>
          <w:rFonts w:ascii="Calibri" w:hAnsi="Calibri" w:cs="Calibri"/>
          <w:sz w:val="20"/>
          <w:szCs w:val="20"/>
        </w:rPr>
      </w:pPr>
      <w:r w:rsidRPr="001B2B2A">
        <w:rPr>
          <w:rFonts w:ascii="Calibri" w:hAnsi="Calibri" w:cs="Calibri"/>
          <w:sz w:val="20"/>
          <w:szCs w:val="20"/>
        </w:rPr>
        <w:t>Wewnętrzną dokumentację Zamawiającego.</w:t>
      </w:r>
    </w:p>
    <w:p w14:paraId="26DA842A" w14:textId="77777777" w:rsidR="00203EA1" w:rsidRPr="001B2B2A" w:rsidRDefault="00000000" w:rsidP="001B2B2A">
      <w:pPr>
        <w:pStyle w:val="Akapitzlist"/>
        <w:numPr>
          <w:ilvl w:val="0"/>
          <w:numId w:val="2"/>
        </w:numPr>
        <w:spacing w:after="0" w:line="360" w:lineRule="auto"/>
        <w:ind w:left="426" w:right="0" w:hanging="426"/>
        <w:rPr>
          <w:rFonts w:ascii="Calibri" w:hAnsi="Calibri" w:cs="Calibri"/>
          <w:sz w:val="20"/>
          <w:szCs w:val="20"/>
        </w:rPr>
      </w:pPr>
      <w:r w:rsidRPr="001B2B2A">
        <w:rPr>
          <w:rFonts w:ascii="Calibri" w:hAnsi="Calibri" w:cs="Calibri"/>
          <w:sz w:val="20"/>
          <w:szCs w:val="20"/>
        </w:rPr>
        <w:t xml:space="preserve">Przepisy o Krajowym Systemie </w:t>
      </w:r>
      <w:proofErr w:type="spellStart"/>
      <w:r w:rsidRPr="001B2B2A">
        <w:rPr>
          <w:rFonts w:ascii="Calibri" w:hAnsi="Calibri" w:cs="Calibri"/>
          <w:sz w:val="20"/>
          <w:szCs w:val="20"/>
        </w:rPr>
        <w:t>Cyberbezpieczeństwa</w:t>
      </w:r>
      <w:proofErr w:type="spellEnd"/>
      <w:r w:rsidRPr="001B2B2A">
        <w:rPr>
          <w:rFonts w:ascii="Calibri" w:hAnsi="Calibri" w:cs="Calibri"/>
          <w:sz w:val="20"/>
          <w:szCs w:val="20"/>
        </w:rPr>
        <w:t>.</w:t>
      </w:r>
    </w:p>
    <w:p w14:paraId="280CFA74" w14:textId="77777777" w:rsidR="00203EA1" w:rsidRPr="001B2B2A" w:rsidRDefault="00000000" w:rsidP="001B2B2A">
      <w:pPr>
        <w:pStyle w:val="Akapitzlist"/>
        <w:numPr>
          <w:ilvl w:val="0"/>
          <w:numId w:val="2"/>
        </w:numPr>
        <w:spacing w:after="0" w:line="360" w:lineRule="auto"/>
        <w:ind w:left="426" w:right="0" w:hanging="426"/>
        <w:rPr>
          <w:rFonts w:ascii="Calibri" w:hAnsi="Calibri" w:cs="Calibri"/>
          <w:sz w:val="20"/>
          <w:szCs w:val="20"/>
        </w:rPr>
      </w:pPr>
      <w:r w:rsidRPr="001B2B2A">
        <w:rPr>
          <w:rFonts w:ascii="Calibri" w:hAnsi="Calibri" w:cs="Calibri"/>
          <w:sz w:val="20"/>
          <w:szCs w:val="20"/>
        </w:rPr>
        <w:t>Standardy Krajowych Ram Interoperacyjności (KRI).</w:t>
      </w:r>
    </w:p>
    <w:p w14:paraId="14F0FAA7" w14:textId="77777777" w:rsidR="00203EA1" w:rsidRPr="001B2B2A" w:rsidRDefault="00000000" w:rsidP="001B2B2A">
      <w:pPr>
        <w:pStyle w:val="Akapitzlist"/>
        <w:numPr>
          <w:ilvl w:val="0"/>
          <w:numId w:val="2"/>
        </w:numPr>
        <w:spacing w:after="0" w:line="360" w:lineRule="auto"/>
        <w:ind w:left="426" w:right="0" w:hanging="426"/>
        <w:rPr>
          <w:rFonts w:ascii="Calibri" w:hAnsi="Calibri" w:cs="Calibri"/>
          <w:sz w:val="20"/>
          <w:szCs w:val="20"/>
        </w:rPr>
      </w:pPr>
      <w:r w:rsidRPr="001B2B2A">
        <w:rPr>
          <w:rFonts w:ascii="Calibri" w:hAnsi="Calibri" w:cs="Calibri"/>
          <w:sz w:val="20"/>
          <w:szCs w:val="20"/>
        </w:rPr>
        <w:t>Zakresem Audytu objęta będzie cała działalność świadczeniodawcy.</w:t>
      </w:r>
    </w:p>
    <w:p w14:paraId="7BCC8938" w14:textId="77777777" w:rsidR="00203EA1" w:rsidRPr="001B2B2A" w:rsidRDefault="00203EA1" w:rsidP="001B2B2A">
      <w:pPr>
        <w:spacing w:after="0" w:line="360" w:lineRule="auto"/>
        <w:rPr>
          <w:rFonts w:ascii="Calibri" w:hAnsi="Calibri" w:cs="Calibri"/>
          <w:sz w:val="20"/>
          <w:szCs w:val="20"/>
        </w:rPr>
      </w:pPr>
      <w:bookmarkStart w:id="1" w:name="_Hlk1096307581"/>
      <w:bookmarkEnd w:id="1"/>
    </w:p>
    <w:p w14:paraId="70B91E28" w14:textId="77777777" w:rsidR="00203EA1" w:rsidRPr="001B2B2A" w:rsidRDefault="00000000" w:rsidP="001B2B2A">
      <w:pPr>
        <w:spacing w:after="0" w:line="360" w:lineRule="auto"/>
        <w:rPr>
          <w:rFonts w:ascii="Calibri" w:hAnsi="Calibri" w:cs="Calibri"/>
          <w:sz w:val="20"/>
          <w:szCs w:val="20"/>
        </w:rPr>
      </w:pPr>
      <w:r w:rsidRPr="001B2B2A">
        <w:rPr>
          <w:rFonts w:ascii="Calibri" w:hAnsi="Calibri" w:cs="Calibri"/>
          <w:sz w:val="20"/>
          <w:szCs w:val="20"/>
        </w:rPr>
        <w:t>Wymagania dla jednostki przeprowadzającej audyt:</w:t>
      </w:r>
    </w:p>
    <w:p w14:paraId="08C6C544" w14:textId="77777777" w:rsidR="00203EA1" w:rsidRPr="001B2B2A" w:rsidRDefault="00000000" w:rsidP="001B2B2A">
      <w:pPr>
        <w:spacing w:after="0" w:line="360" w:lineRule="auto"/>
        <w:rPr>
          <w:rFonts w:ascii="Calibri" w:hAnsi="Calibri" w:cs="Calibri"/>
          <w:sz w:val="20"/>
          <w:szCs w:val="20"/>
        </w:rPr>
      </w:pPr>
      <w:r w:rsidRPr="001B2B2A">
        <w:rPr>
          <w:rFonts w:ascii="Calibri" w:hAnsi="Calibri" w:cs="Calibri"/>
          <w:sz w:val="20"/>
          <w:szCs w:val="20"/>
        </w:rPr>
        <w:t>Zamawiający wymaga, aby jednostka przeprowadzająca audyt spełniała wymagania określone w:</w:t>
      </w:r>
      <w:bookmarkStart w:id="2" w:name="_Hlk108989296"/>
      <w:bookmarkEnd w:id="2"/>
    </w:p>
    <w:p w14:paraId="4C8A885C" w14:textId="77777777" w:rsidR="00203EA1" w:rsidRPr="001B2B2A" w:rsidRDefault="00000000" w:rsidP="001B2B2A">
      <w:pPr>
        <w:pStyle w:val="Akapitzlist"/>
        <w:numPr>
          <w:ilvl w:val="0"/>
          <w:numId w:val="4"/>
        </w:numPr>
        <w:spacing w:after="0" w:line="360" w:lineRule="auto"/>
        <w:ind w:left="426" w:right="0" w:hanging="426"/>
        <w:rPr>
          <w:rFonts w:ascii="Calibri" w:hAnsi="Calibri" w:cs="Calibri"/>
          <w:sz w:val="20"/>
          <w:szCs w:val="20"/>
        </w:rPr>
      </w:pPr>
      <w:r w:rsidRPr="001B2B2A">
        <w:rPr>
          <w:rFonts w:ascii="Calibri" w:hAnsi="Calibri" w:cs="Calibri"/>
          <w:sz w:val="20"/>
          <w:szCs w:val="20"/>
        </w:rPr>
        <w:t xml:space="preserve">Załączniku nr 2 do Zarządzenia nr 68/2022/BBIICD Prezesa Narodowego Funduszu Zdrowia z dnia 20 maja 2022 r. </w:t>
      </w:r>
      <w:r w:rsidRPr="001B2B2A">
        <w:rPr>
          <w:rFonts w:ascii="Calibri" w:hAnsi="Calibri" w:cs="Calibri"/>
          <w:sz w:val="20"/>
          <w:szCs w:val="20"/>
        </w:rPr>
        <w:br/>
        <w:t>w sprawie finansowania działań w celu podniesienia poziomu bezpieczeństwa systemów teleinformatycznych świadczeniodawców,</w:t>
      </w:r>
    </w:p>
    <w:p w14:paraId="799E1646" w14:textId="77777777" w:rsidR="00203EA1" w:rsidRPr="001B2B2A" w:rsidRDefault="00000000" w:rsidP="001B2B2A">
      <w:pPr>
        <w:spacing w:after="0" w:line="360" w:lineRule="auto"/>
        <w:ind w:left="426" w:hanging="426"/>
        <w:rPr>
          <w:rFonts w:ascii="Calibri" w:hAnsi="Calibri" w:cs="Calibri"/>
          <w:sz w:val="20"/>
          <w:szCs w:val="20"/>
        </w:rPr>
      </w:pPr>
      <w:r w:rsidRPr="001B2B2A">
        <w:rPr>
          <w:rFonts w:ascii="Calibri" w:hAnsi="Calibri" w:cs="Calibri"/>
          <w:sz w:val="20"/>
          <w:szCs w:val="20"/>
        </w:rPr>
        <w:t>oraz</w:t>
      </w:r>
    </w:p>
    <w:p w14:paraId="40C96800" w14:textId="77777777" w:rsidR="00203EA1" w:rsidRPr="001B2B2A" w:rsidRDefault="00000000" w:rsidP="001B2B2A">
      <w:pPr>
        <w:pStyle w:val="Akapitzlist"/>
        <w:numPr>
          <w:ilvl w:val="0"/>
          <w:numId w:val="4"/>
        </w:numPr>
        <w:spacing w:after="0" w:line="360" w:lineRule="auto"/>
        <w:ind w:left="426" w:right="0" w:hanging="426"/>
        <w:rPr>
          <w:rFonts w:ascii="Calibri" w:hAnsi="Calibri" w:cs="Calibri"/>
          <w:sz w:val="20"/>
          <w:szCs w:val="20"/>
        </w:rPr>
      </w:pPr>
      <w:r w:rsidRPr="001B2B2A">
        <w:rPr>
          <w:rFonts w:ascii="Calibri" w:hAnsi="Calibri" w:cs="Calibri"/>
          <w:sz w:val="20"/>
          <w:szCs w:val="20"/>
        </w:rPr>
        <w:t xml:space="preserve">Ustawie z dnia 5 lipca 2018r. o Krajowym Systemie </w:t>
      </w:r>
      <w:proofErr w:type="spellStart"/>
      <w:r w:rsidRPr="001B2B2A">
        <w:rPr>
          <w:rFonts w:ascii="Calibri" w:hAnsi="Calibri" w:cs="Calibri"/>
          <w:sz w:val="20"/>
          <w:szCs w:val="20"/>
        </w:rPr>
        <w:t>Cyberbezpieczeństwa</w:t>
      </w:r>
      <w:proofErr w:type="spellEnd"/>
      <w:r w:rsidRPr="001B2B2A">
        <w:rPr>
          <w:rFonts w:ascii="Calibri" w:hAnsi="Calibri" w:cs="Calibri"/>
          <w:sz w:val="20"/>
          <w:szCs w:val="20"/>
        </w:rPr>
        <w:t xml:space="preserve"> (Dz. U. 2018 poz. 1560).</w:t>
      </w:r>
    </w:p>
    <w:p w14:paraId="0F658A89" w14:textId="77777777" w:rsidR="00203EA1" w:rsidRPr="001B2B2A" w:rsidRDefault="00203EA1" w:rsidP="001B2B2A">
      <w:pPr>
        <w:spacing w:after="0" w:line="360" w:lineRule="auto"/>
        <w:rPr>
          <w:rFonts w:ascii="Calibri" w:hAnsi="Calibri" w:cs="Calibri"/>
          <w:sz w:val="20"/>
          <w:szCs w:val="20"/>
        </w:rPr>
      </w:pPr>
    </w:p>
    <w:sectPr w:rsidR="00203EA1" w:rsidRPr="001B2B2A">
      <w:headerReference w:type="default" r:id="rId7"/>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040F" w14:textId="77777777" w:rsidR="006C04BA" w:rsidRDefault="006C04BA">
      <w:pPr>
        <w:spacing w:after="0" w:line="240" w:lineRule="auto"/>
      </w:pPr>
      <w:r>
        <w:separator/>
      </w:r>
    </w:p>
  </w:endnote>
  <w:endnote w:type="continuationSeparator" w:id="0">
    <w:p w14:paraId="1A127AF7" w14:textId="77777777" w:rsidR="006C04BA" w:rsidRDefault="006C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9FC0" w14:textId="77777777" w:rsidR="006C04BA" w:rsidRDefault="006C04BA">
      <w:pPr>
        <w:spacing w:after="0" w:line="240" w:lineRule="auto"/>
      </w:pPr>
      <w:r>
        <w:separator/>
      </w:r>
    </w:p>
  </w:footnote>
  <w:footnote w:type="continuationSeparator" w:id="0">
    <w:p w14:paraId="1A4B9371" w14:textId="77777777" w:rsidR="006C04BA" w:rsidRDefault="006C0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98D5" w14:textId="77777777" w:rsidR="00203EA1" w:rsidRDefault="00203EA1">
    <w:pPr>
      <w:pStyle w:val="Nagwek"/>
      <w:rPr>
        <w:rFonts w:ascii="Segoe UI" w:hAnsi="Segoe UI" w:cs="Segoe U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D459E"/>
    <w:multiLevelType w:val="multilevel"/>
    <w:tmpl w:val="1264FF6C"/>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6F56EEA"/>
    <w:multiLevelType w:val="multilevel"/>
    <w:tmpl w:val="D10661C0"/>
    <w:lvl w:ilvl="0">
      <w:start w:val="1"/>
      <w:numFmt w:val="decimal"/>
      <w:lvlText w:val="%1."/>
      <w:lvlJc w:val="left"/>
      <w:pPr>
        <w:tabs>
          <w:tab w:val="num" w:pos="0"/>
        </w:tabs>
        <w:ind w:left="535" w:hanging="360"/>
      </w:pPr>
    </w:lvl>
    <w:lvl w:ilvl="1">
      <w:start w:val="1"/>
      <w:numFmt w:val="lowerLetter"/>
      <w:lvlText w:val="%2."/>
      <w:lvlJc w:val="left"/>
      <w:pPr>
        <w:tabs>
          <w:tab w:val="num" w:pos="0"/>
        </w:tabs>
        <w:ind w:left="1255" w:hanging="360"/>
      </w:pPr>
    </w:lvl>
    <w:lvl w:ilvl="2">
      <w:start w:val="1"/>
      <w:numFmt w:val="lowerRoman"/>
      <w:lvlText w:val="%3."/>
      <w:lvlJc w:val="right"/>
      <w:pPr>
        <w:tabs>
          <w:tab w:val="num" w:pos="0"/>
        </w:tabs>
        <w:ind w:left="1975" w:hanging="180"/>
      </w:pPr>
    </w:lvl>
    <w:lvl w:ilvl="3">
      <w:start w:val="1"/>
      <w:numFmt w:val="decimal"/>
      <w:lvlText w:val="%4."/>
      <w:lvlJc w:val="left"/>
      <w:pPr>
        <w:tabs>
          <w:tab w:val="num" w:pos="0"/>
        </w:tabs>
        <w:ind w:left="2695" w:hanging="360"/>
      </w:pPr>
    </w:lvl>
    <w:lvl w:ilvl="4">
      <w:start w:val="1"/>
      <w:numFmt w:val="lowerLetter"/>
      <w:lvlText w:val="%5."/>
      <w:lvlJc w:val="left"/>
      <w:pPr>
        <w:tabs>
          <w:tab w:val="num" w:pos="0"/>
        </w:tabs>
        <w:ind w:left="3415" w:hanging="360"/>
      </w:pPr>
    </w:lvl>
    <w:lvl w:ilvl="5">
      <w:start w:val="1"/>
      <w:numFmt w:val="lowerRoman"/>
      <w:lvlText w:val="%6."/>
      <w:lvlJc w:val="right"/>
      <w:pPr>
        <w:tabs>
          <w:tab w:val="num" w:pos="0"/>
        </w:tabs>
        <w:ind w:left="4135" w:hanging="180"/>
      </w:pPr>
    </w:lvl>
    <w:lvl w:ilvl="6">
      <w:start w:val="1"/>
      <w:numFmt w:val="decimal"/>
      <w:lvlText w:val="%7."/>
      <w:lvlJc w:val="left"/>
      <w:pPr>
        <w:tabs>
          <w:tab w:val="num" w:pos="0"/>
        </w:tabs>
        <w:ind w:left="4855" w:hanging="360"/>
      </w:pPr>
    </w:lvl>
    <w:lvl w:ilvl="7">
      <w:start w:val="1"/>
      <w:numFmt w:val="lowerLetter"/>
      <w:lvlText w:val="%8."/>
      <w:lvlJc w:val="left"/>
      <w:pPr>
        <w:tabs>
          <w:tab w:val="num" w:pos="0"/>
        </w:tabs>
        <w:ind w:left="5575" w:hanging="360"/>
      </w:pPr>
    </w:lvl>
    <w:lvl w:ilvl="8">
      <w:start w:val="1"/>
      <w:numFmt w:val="lowerRoman"/>
      <w:lvlText w:val="%9."/>
      <w:lvlJc w:val="right"/>
      <w:pPr>
        <w:tabs>
          <w:tab w:val="num" w:pos="0"/>
        </w:tabs>
        <w:ind w:left="6295" w:hanging="180"/>
      </w:pPr>
    </w:lvl>
  </w:abstractNum>
  <w:abstractNum w:abstractNumId="2" w15:restartNumberingAfterBreak="0">
    <w:nsid w:val="551B4154"/>
    <w:multiLevelType w:val="multilevel"/>
    <w:tmpl w:val="F3C46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bullet"/>
      <w:lvlText w:val="-"/>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13D7827"/>
    <w:multiLevelType w:val="multilevel"/>
    <w:tmpl w:val="935EF308"/>
    <w:lvl w:ilvl="0">
      <w:start w:val="1"/>
      <w:numFmt w:val="bullet"/>
      <w:lvlText w:val=""/>
      <w:lvlJc w:val="left"/>
      <w:pPr>
        <w:tabs>
          <w:tab w:val="num" w:pos="0"/>
        </w:tabs>
        <w:ind w:left="763" w:hanging="360"/>
      </w:pPr>
      <w:rPr>
        <w:rFonts w:ascii="Symbol" w:hAnsi="Symbol" w:cs="Symbol" w:hint="default"/>
      </w:rPr>
    </w:lvl>
    <w:lvl w:ilvl="1">
      <w:start w:val="1"/>
      <w:numFmt w:val="bullet"/>
      <w:lvlText w:val="o"/>
      <w:lvlJc w:val="left"/>
      <w:pPr>
        <w:tabs>
          <w:tab w:val="num" w:pos="0"/>
        </w:tabs>
        <w:ind w:left="1483" w:hanging="360"/>
      </w:pPr>
      <w:rPr>
        <w:rFonts w:ascii="Courier New" w:hAnsi="Courier New" w:cs="Courier New" w:hint="default"/>
      </w:rPr>
    </w:lvl>
    <w:lvl w:ilvl="2">
      <w:start w:val="1"/>
      <w:numFmt w:val="bullet"/>
      <w:lvlText w:val=""/>
      <w:lvlJc w:val="left"/>
      <w:pPr>
        <w:tabs>
          <w:tab w:val="num" w:pos="0"/>
        </w:tabs>
        <w:ind w:left="2203" w:hanging="360"/>
      </w:pPr>
      <w:rPr>
        <w:rFonts w:ascii="Wingdings" w:hAnsi="Wingdings" w:cs="Wingdings" w:hint="default"/>
      </w:rPr>
    </w:lvl>
    <w:lvl w:ilvl="3">
      <w:start w:val="1"/>
      <w:numFmt w:val="bullet"/>
      <w:lvlText w:val=""/>
      <w:lvlJc w:val="left"/>
      <w:pPr>
        <w:tabs>
          <w:tab w:val="num" w:pos="0"/>
        </w:tabs>
        <w:ind w:left="2923" w:hanging="360"/>
      </w:pPr>
      <w:rPr>
        <w:rFonts w:ascii="Symbol" w:hAnsi="Symbol" w:cs="Symbol" w:hint="default"/>
      </w:rPr>
    </w:lvl>
    <w:lvl w:ilvl="4">
      <w:start w:val="1"/>
      <w:numFmt w:val="bullet"/>
      <w:lvlText w:val="o"/>
      <w:lvlJc w:val="left"/>
      <w:pPr>
        <w:tabs>
          <w:tab w:val="num" w:pos="0"/>
        </w:tabs>
        <w:ind w:left="3643" w:hanging="360"/>
      </w:pPr>
      <w:rPr>
        <w:rFonts w:ascii="Courier New" w:hAnsi="Courier New" w:cs="Courier New" w:hint="default"/>
      </w:rPr>
    </w:lvl>
    <w:lvl w:ilvl="5">
      <w:start w:val="1"/>
      <w:numFmt w:val="bullet"/>
      <w:lvlText w:val=""/>
      <w:lvlJc w:val="left"/>
      <w:pPr>
        <w:tabs>
          <w:tab w:val="num" w:pos="0"/>
        </w:tabs>
        <w:ind w:left="4363" w:hanging="360"/>
      </w:pPr>
      <w:rPr>
        <w:rFonts w:ascii="Wingdings" w:hAnsi="Wingdings" w:cs="Wingdings" w:hint="default"/>
      </w:rPr>
    </w:lvl>
    <w:lvl w:ilvl="6">
      <w:start w:val="1"/>
      <w:numFmt w:val="bullet"/>
      <w:lvlText w:val=""/>
      <w:lvlJc w:val="left"/>
      <w:pPr>
        <w:tabs>
          <w:tab w:val="num" w:pos="0"/>
        </w:tabs>
        <w:ind w:left="5083" w:hanging="360"/>
      </w:pPr>
      <w:rPr>
        <w:rFonts w:ascii="Symbol" w:hAnsi="Symbol" w:cs="Symbol" w:hint="default"/>
      </w:rPr>
    </w:lvl>
    <w:lvl w:ilvl="7">
      <w:start w:val="1"/>
      <w:numFmt w:val="bullet"/>
      <w:lvlText w:val="o"/>
      <w:lvlJc w:val="left"/>
      <w:pPr>
        <w:tabs>
          <w:tab w:val="num" w:pos="0"/>
        </w:tabs>
        <w:ind w:left="5803" w:hanging="360"/>
      </w:pPr>
      <w:rPr>
        <w:rFonts w:ascii="Courier New" w:hAnsi="Courier New" w:cs="Courier New" w:hint="default"/>
      </w:rPr>
    </w:lvl>
    <w:lvl w:ilvl="8">
      <w:start w:val="1"/>
      <w:numFmt w:val="bullet"/>
      <w:lvlText w:val=""/>
      <w:lvlJc w:val="left"/>
      <w:pPr>
        <w:tabs>
          <w:tab w:val="num" w:pos="0"/>
        </w:tabs>
        <w:ind w:left="6523" w:hanging="360"/>
      </w:pPr>
      <w:rPr>
        <w:rFonts w:ascii="Wingdings" w:hAnsi="Wingdings" w:cs="Wingdings" w:hint="default"/>
      </w:rPr>
    </w:lvl>
  </w:abstractNum>
  <w:abstractNum w:abstractNumId="4" w15:restartNumberingAfterBreak="0">
    <w:nsid w:val="79E47CC5"/>
    <w:multiLevelType w:val="multilevel"/>
    <w:tmpl w:val="E4423C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1498299">
    <w:abstractNumId w:val="1"/>
  </w:num>
  <w:num w:numId="2" w16cid:durableId="1471628130">
    <w:abstractNumId w:val="2"/>
  </w:num>
  <w:num w:numId="3" w16cid:durableId="1678579413">
    <w:abstractNumId w:val="0"/>
  </w:num>
  <w:num w:numId="4" w16cid:durableId="911550404">
    <w:abstractNumId w:val="3"/>
  </w:num>
  <w:num w:numId="5" w16cid:durableId="419369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EA1"/>
    <w:rsid w:val="001B2B2A"/>
    <w:rsid w:val="00203EA1"/>
    <w:rsid w:val="006C04BA"/>
    <w:rsid w:val="00826852"/>
    <w:rsid w:val="00F565C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6658"/>
  <w15:docId w15:val="{B9560B7E-0F3C-4725-9480-D3E38F69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035"/>
    <w:pPr>
      <w:spacing w:after="15" w:line="264" w:lineRule="auto"/>
      <w:ind w:left="5" w:right="38" w:hanging="5"/>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F13035"/>
    <w:pPr>
      <w:keepNext/>
      <w:keepLines/>
      <w:spacing w:line="259" w:lineRule="auto"/>
      <w:ind w:left="149"/>
      <w:jc w:val="center"/>
      <w:outlineLvl w:val="0"/>
    </w:pPr>
    <w:rPr>
      <w:rFonts w:ascii="Times New Roman" w:eastAsia="Times New Roman" w:hAnsi="Times New Roman" w:cs="Times New Roman"/>
      <w:b/>
      <w:color w:val="000000"/>
      <w:sz w:val="28"/>
      <w:lang w:eastAsia="pl-PL"/>
    </w:rPr>
  </w:style>
  <w:style w:type="paragraph" w:styleId="Nagwek2">
    <w:name w:val="heading 2"/>
    <w:basedOn w:val="Normalny"/>
    <w:next w:val="Normalny"/>
    <w:link w:val="Nagwek2Znak"/>
    <w:uiPriority w:val="9"/>
    <w:unhideWhenUsed/>
    <w:qFormat/>
    <w:rsid w:val="00F130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F13035"/>
    <w:rPr>
      <w:rFonts w:ascii="Times New Roman" w:eastAsia="Times New Roman" w:hAnsi="Times New Roman" w:cs="Times New Roman"/>
      <w:b/>
      <w:color w:val="000000"/>
      <w:sz w:val="28"/>
      <w:lang w:eastAsia="pl-PL"/>
    </w:rPr>
  </w:style>
  <w:style w:type="character" w:customStyle="1" w:styleId="AkapitzlistZnak">
    <w:name w:val="Akapit z listą Znak"/>
    <w:link w:val="Akapitzlist"/>
    <w:uiPriority w:val="34"/>
    <w:qFormat/>
    <w:locked/>
    <w:rsid w:val="00F13035"/>
    <w:rPr>
      <w:rFonts w:ascii="Times New Roman" w:eastAsia="Times New Roman" w:hAnsi="Times New Roman" w:cs="Times New Roman"/>
      <w:color w:val="000000"/>
      <w:sz w:val="24"/>
      <w:lang w:eastAsia="pl-PL"/>
    </w:rPr>
  </w:style>
  <w:style w:type="character" w:customStyle="1" w:styleId="Nagwek2Znak">
    <w:name w:val="Nagłówek 2 Znak"/>
    <w:basedOn w:val="Domylnaczcionkaakapitu"/>
    <w:link w:val="Nagwek2"/>
    <w:uiPriority w:val="9"/>
    <w:semiHidden/>
    <w:qFormat/>
    <w:rsid w:val="00F13035"/>
    <w:rPr>
      <w:rFonts w:asciiTheme="majorHAnsi" w:eastAsiaTheme="majorEastAsia" w:hAnsiTheme="majorHAnsi" w:cstheme="majorBidi"/>
      <w:color w:val="2F5496" w:themeColor="accent1" w:themeShade="BF"/>
      <w:sz w:val="26"/>
      <w:szCs w:val="26"/>
      <w:lang w:eastAsia="pl-PL"/>
    </w:rPr>
  </w:style>
  <w:style w:type="character" w:customStyle="1" w:styleId="NagwekZnak">
    <w:name w:val="Nagłówek Znak"/>
    <w:basedOn w:val="Domylnaczcionkaakapitu"/>
    <w:link w:val="Nagwek"/>
    <w:uiPriority w:val="99"/>
    <w:qFormat/>
    <w:rsid w:val="002A3049"/>
    <w:rPr>
      <w:rFonts w:ascii="Times New Roman" w:eastAsia="Times New Roman" w:hAnsi="Times New Roman" w:cs="Times New Roman"/>
      <w:color w:val="000000"/>
      <w:sz w:val="24"/>
      <w:lang w:eastAsia="pl-PL"/>
    </w:rPr>
  </w:style>
  <w:style w:type="character" w:customStyle="1" w:styleId="StopkaZnak">
    <w:name w:val="Stopka Znak"/>
    <w:basedOn w:val="Domylnaczcionkaakapitu"/>
    <w:link w:val="Stopka"/>
    <w:uiPriority w:val="99"/>
    <w:qFormat/>
    <w:rsid w:val="002A3049"/>
    <w:rPr>
      <w:rFonts w:ascii="Times New Roman" w:eastAsia="Times New Roman" w:hAnsi="Times New Roman" w:cs="Times New Roman"/>
      <w:color w:val="000000"/>
      <w:sz w:val="24"/>
      <w:lang w:eastAsia="pl-PL"/>
    </w:rPr>
  </w:style>
  <w:style w:type="paragraph" w:styleId="Nagwek">
    <w:name w:val="header"/>
    <w:basedOn w:val="Normalny"/>
    <w:next w:val="Tekstpodstawowy"/>
    <w:link w:val="NagwekZnak"/>
    <w:uiPriority w:val="99"/>
    <w:unhideWhenUsed/>
    <w:rsid w:val="002A3049"/>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99"/>
    <w:qFormat/>
    <w:rsid w:val="00F13035"/>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2A3049"/>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1524</Words>
  <Characters>9147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Karpiński</dc:creator>
  <dc:description/>
  <cp:lastModifiedBy>Monika Wróblewska</cp:lastModifiedBy>
  <cp:revision>7</cp:revision>
  <dcterms:created xsi:type="dcterms:W3CDTF">2022-08-04T09:13:00Z</dcterms:created>
  <dcterms:modified xsi:type="dcterms:W3CDTF">2022-09-16T10:27:00Z</dcterms:modified>
  <dc:language>pl-PL</dc:language>
</cp:coreProperties>
</file>