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2728" w14:textId="77777777" w:rsidR="00D4656F" w:rsidRDefault="00224021">
      <w:pPr>
        <w:pStyle w:val="Nagwek20"/>
        <w:keepNext/>
        <w:keepLines/>
        <w:pBdr>
          <w:top w:val="single" w:sz="0" w:space="2" w:color="404040"/>
          <w:left w:val="single" w:sz="0" w:space="0" w:color="404040"/>
          <w:bottom w:val="single" w:sz="0" w:space="20" w:color="404040"/>
          <w:right w:val="single" w:sz="0" w:space="0" w:color="404040"/>
        </w:pBdr>
        <w:shd w:val="clear" w:color="auto" w:fill="404040"/>
        <w:spacing w:after="306"/>
      </w:pPr>
      <w:bookmarkStart w:id="0" w:name="bookmark22"/>
      <w:r>
        <w:rPr>
          <w:rStyle w:val="Nagwek2"/>
          <w:b/>
          <w:bCs/>
          <w:color w:val="FFFFFF"/>
        </w:rPr>
        <w:t>Instrukcja dotycząca przeprowadzenia postępowania</w:t>
      </w:r>
      <w:bookmarkEnd w:id="0"/>
    </w:p>
    <w:p w14:paraId="6FDA0278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Postępowanie wszczyna się poprzez zamieszczenie ogłoszenia o zamiarze udzielenia zamówienia na stronie internetowej Zamawiającego lub na platformie zakupowej.</w:t>
      </w:r>
    </w:p>
    <w:p w14:paraId="199DA6BD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wyznacza termin składania ofert z uwzględnieniem czasu niezbędnego na przygotowanie i złożenie ofert przez potencjalnych Wykonawców.</w:t>
      </w:r>
    </w:p>
    <w:p w14:paraId="50125EED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Wykonawcy mogą zwracać się do Zamawiającego z wnioskiem o wyjaśnienie treści ogłoszenia o zamiarze udzielenia zamówienia oraz załączników do ogłoszenia przed upływem terminu składania ofert. Zamawiający zamieszcza odpowiedzi na pytania wraz z treścią pytań (bez ujawniania podmiotu zadającego pytania) na stronie internetowej, w miejscu publikacji ogłoszenia lub na platformie zakupowej.</w:t>
      </w:r>
    </w:p>
    <w:p w14:paraId="6BD081C3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</w:t>
      </w:r>
    </w:p>
    <w:p w14:paraId="390F039C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Oferta złożona po upływie wyznaczonego przez Zamawiającego terminu nie podlega badaniu i ocenie. O fakcie tym powiadamia się wykonawcę, który złożył ofertę po terminie składania ofert.</w:t>
      </w:r>
    </w:p>
    <w:p w14:paraId="100A558F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Otwarcia ofert dokonuje się w dniu, w którym upływa termin składania ofert w danym postępowaniu. W dniu otwarcia ofert Zamawiający zamieszcza na stronie internetowej informację o ilości środków przeznaczonych na sfinansowanie zamówienia oraz zestawienie złożonych w postępowaniu ofert wraz z nazwami i adresami wykonawców, którzy złożyli oferty, cenami ofert oraz innymi istotnymi elementami, wymaganymi w ogłoszeniu podlegającymi ocenie w ramach kryterium oceny ofert (np. terminem realizacji, terminem gwarancji czy warunkami płatności).</w:t>
      </w:r>
    </w:p>
    <w:p w14:paraId="77811946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14:paraId="2EB399D4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 wyznaczonym terminie, chyba, że mimo ich uzupełnienia oferta wykonawcy podlega odrzuceniu albo konieczne byłoby unieważnienie postępowania.</w:t>
      </w:r>
    </w:p>
    <w:p w14:paraId="3B21162F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może żądać od wykonawców dodatkowych wyjaśnień dotyczących treści złożonych przez nich ofert i dokumentów, a ponadto dokonuje poprawienia oczywistych omyłek pisarskich i rachunkowych w złożonych ofertach oraz innych omyłek polegających na niezgodności oferty z treścią ogłoszenia o udzielanym zamówieniu, niepowodujących istotnych zmian w treści oferty - informując o tym wykonawcę, którego oferta została poprawiona.</w:t>
      </w:r>
    </w:p>
    <w:p w14:paraId="7F5CDD71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51" w:lineRule="auto"/>
        <w:ind w:left="300" w:hanging="300"/>
        <w:jc w:val="both"/>
      </w:pPr>
      <w:r>
        <w:rPr>
          <w:rStyle w:val="Teksttreci"/>
        </w:rPr>
        <w:t>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 lub kosztu.</w:t>
      </w:r>
    </w:p>
    <w:p w14:paraId="28A8261F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56" w:lineRule="auto"/>
        <w:ind w:left="300" w:hanging="300"/>
        <w:jc w:val="both"/>
      </w:pPr>
      <w:r>
        <w:rPr>
          <w:rStyle w:val="Teksttreci"/>
        </w:rPr>
        <w:t>W niniejszym postępowaniu o udzielenie zamówienia, oświadczenia, wnioski, zawiadomienia oraz informacje Zamawiający i wykonawcy przekazują zgodnie z wyborem Zamawiającego wyrażonym w ogłoszeniu - pisemnie lub drogą elektroniczną.</w:t>
      </w:r>
    </w:p>
    <w:p w14:paraId="55CB46A8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68" w:lineRule="auto"/>
        <w:ind w:left="300" w:hanging="300"/>
        <w:jc w:val="both"/>
      </w:pPr>
      <w:r>
        <w:rPr>
          <w:rStyle w:val="Teksttreci"/>
        </w:rPr>
        <w:t>Jeżeli Zamawiający lub wykonawca przekazują oświadczenia, wnioski, zawiadomienia oraz informacje drogą elektroniczną, każda ze stron na żądanie drugiej niezwłocznie potwierdza fakt ich otrzymania.</w:t>
      </w:r>
    </w:p>
    <w:p w14:paraId="72627B3D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504" w:lineRule="auto"/>
        <w:jc w:val="both"/>
      </w:pPr>
      <w:r>
        <w:rPr>
          <w:rStyle w:val="Teksttreci"/>
        </w:rPr>
        <w:t xml:space="preserve">Zamawiający </w:t>
      </w:r>
      <w:r>
        <w:rPr>
          <w:rStyle w:val="Teksttreci"/>
          <w:b/>
          <w:bCs/>
        </w:rPr>
        <w:t xml:space="preserve">odrzuca </w:t>
      </w:r>
      <w:r>
        <w:rPr>
          <w:rStyle w:val="Teksttreci"/>
        </w:rPr>
        <w:t>ofertę wykonawcy jeżeli:</w:t>
      </w:r>
    </w:p>
    <w:p w14:paraId="471EB5B1" w14:textId="77777777" w:rsidR="00D4656F" w:rsidRDefault="00224021">
      <w:pPr>
        <w:pStyle w:val="Teksttreci0"/>
        <w:numPr>
          <w:ilvl w:val="0"/>
          <w:numId w:val="10"/>
        </w:numPr>
        <w:tabs>
          <w:tab w:val="left" w:pos="525"/>
        </w:tabs>
        <w:ind w:left="560" w:hanging="280"/>
        <w:jc w:val="both"/>
      </w:pPr>
      <w:r>
        <w:rPr>
          <w:rStyle w:val="Teksttreci"/>
        </w:rPr>
        <w:t>jej treść nie odpowiada treści ogłoszenia o zamiarze udzielenia zamówienia, a także treści załączników do ogłoszenia, jeżeli zostały przewidziane (w szczególności treści opisu przedmiotu zamówienia),</w:t>
      </w:r>
    </w:p>
    <w:p w14:paraId="002D1BC0" w14:textId="77777777" w:rsidR="00D4656F" w:rsidRDefault="00224021">
      <w:pPr>
        <w:pStyle w:val="Teksttreci0"/>
        <w:numPr>
          <w:ilvl w:val="0"/>
          <w:numId w:val="10"/>
        </w:numPr>
        <w:tabs>
          <w:tab w:val="left" w:pos="554"/>
        </w:tabs>
        <w:ind w:firstLine="280"/>
        <w:jc w:val="both"/>
      </w:pPr>
      <w:r>
        <w:rPr>
          <w:rStyle w:val="Teksttreci"/>
        </w:rPr>
        <w:t>jest nieważna na podstawie odrębnych przepisów,</w:t>
      </w:r>
    </w:p>
    <w:p w14:paraId="5D8E3D0F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firstLine="280"/>
        <w:jc w:val="both"/>
      </w:pPr>
      <w:r>
        <w:rPr>
          <w:rStyle w:val="Teksttreci"/>
        </w:rPr>
        <w:lastRenderedPageBreak/>
        <w:t>zawiera błędy w obliczeniu ceny lub kosztu (dotyczy to w szczególności przyjęcia błędnej stawki podatku VAT);</w:t>
      </w:r>
    </w:p>
    <w:p w14:paraId="34C95E04" w14:textId="77777777" w:rsidR="00D4656F" w:rsidRDefault="00224021">
      <w:pPr>
        <w:pStyle w:val="Teksttreci0"/>
        <w:numPr>
          <w:ilvl w:val="0"/>
          <w:numId w:val="10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 w14:paraId="2C288118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>zawiera rażąco niską cenę lub koszt w stosunku do przedmiotu zamówienia, co zostało stwierdzone po przeprowadzeniu procedury wyjaśnień, o której mowa w ust. 10,</w:t>
      </w:r>
    </w:p>
    <w:p w14:paraId="28ED2DB1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>została złożona przez wykonawcę, który nie spełnia warunków udziału w postępowaniu, podlega wykluczeniu albo który nie złożył wymaganych dokumentów lub oświadczeń, z zastrzeżeniem wyczerpania procedury wezwania do ich uzupełnienia,</w:t>
      </w:r>
    </w:p>
    <w:p w14:paraId="2DFEAD14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  <w:tab w:val="left" w:pos="5992"/>
        </w:tabs>
        <w:ind w:left="560" w:hanging="280"/>
        <w:jc w:val="both"/>
      </w:pPr>
      <w:r>
        <w:rPr>
          <w:rStyle w:val="Teksttreci"/>
        </w:rPr>
        <w:t>została złożona przez wykonawcę, który wykonywał bezpośrednio czynności związane z przygotowaniem prowadzonego postępowania lub posługiwał się w celu sporządzenia oferty osobami uczestniczącymi w dokonywaniu tych czynności, chyba, że udział tego wykonawcy</w:t>
      </w:r>
      <w:r>
        <w:rPr>
          <w:rStyle w:val="Teksttreci"/>
        </w:rPr>
        <w:tab/>
        <w:t>w postępowaniu nie utrudni uczciwej</w:t>
      </w:r>
    </w:p>
    <w:p w14:paraId="1E42A093" w14:textId="77777777" w:rsidR="00D4656F" w:rsidRDefault="00224021">
      <w:pPr>
        <w:pStyle w:val="Teksttreci0"/>
        <w:ind w:firstLine="560"/>
        <w:jc w:val="both"/>
      </w:pPr>
      <w:r>
        <w:rPr>
          <w:rStyle w:val="Teksttreci"/>
        </w:rPr>
        <w:t>konkurencji.</w:t>
      </w:r>
    </w:p>
    <w:p w14:paraId="7D16E5BD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Zamawiający dokonuje wyboru oferty najkorzystniejszej zgodnej z opisem przedmiotu zamówienia, złożonej przez wykonawcę spełniającego warunki udziału w postępowaniu, na podstawie kryteriów oceny ofert określonych w ogłoszeniu o zamiarze udzielenia zamówienia. Jeśli nie można wybrać oferty najkorzystniejszej z uwagi na to, że dwie lub więcej ofert przedstawia taki sam bilans ceny lub kosztu i innych kryteriów oceny ofert - Zamawiający spośród tych ofert wybiera ofertę z niższą ceną lub kosztem.</w:t>
      </w:r>
    </w:p>
    <w:p w14:paraId="727888A8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 w14:paraId="151F7EC2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Niezwłocznie po wyborze najkorzystniejszej oferty Zamawiający zamieści o tym fakcie informację na swojej stronie internetowej, na której dostępne było ogłoszenie o zamiarze udzielenia zamówienia. Zamawiający zamieszcza informacje o:</w:t>
      </w:r>
    </w:p>
    <w:p w14:paraId="744E9757" w14:textId="77777777" w:rsidR="00D4656F" w:rsidRDefault="00224021">
      <w:pPr>
        <w:pStyle w:val="Teksttreci0"/>
        <w:numPr>
          <w:ilvl w:val="0"/>
          <w:numId w:val="11"/>
        </w:numPr>
        <w:tabs>
          <w:tab w:val="left" w:pos="525"/>
        </w:tabs>
        <w:ind w:left="560" w:hanging="280"/>
        <w:jc w:val="both"/>
      </w:pPr>
      <w:r>
        <w:rPr>
          <w:rStyle w:val="Teksttreci"/>
        </w:rPr>
        <w:t>wyborze najkorzystniejszej oferty, z podaniem nazwy (firmy) albo imienia i nazwiska, siedziby albo miejsca zamieszkania i adresu Wykonawcy, którego ofertę wybrano, uzasadnienia jej wyboru oraz nazw (firm) albo imion i nazwisk, siedzib albo miejsc zamieszkania i adresów Wykonawców, którzy złożyli oferty, a także punktacji przyznanej ofertom w każdym kryterium oceny ofert i łącznej punktacji),</w:t>
      </w:r>
    </w:p>
    <w:p w14:paraId="0610CDA9" w14:textId="77777777" w:rsidR="00D4656F" w:rsidRDefault="00224021">
      <w:pPr>
        <w:pStyle w:val="Teksttreci0"/>
        <w:numPr>
          <w:ilvl w:val="0"/>
          <w:numId w:val="11"/>
        </w:numPr>
        <w:tabs>
          <w:tab w:val="left" w:pos="554"/>
        </w:tabs>
        <w:ind w:firstLine="280"/>
        <w:jc w:val="both"/>
      </w:pPr>
      <w:r>
        <w:rPr>
          <w:rStyle w:val="Teksttreci"/>
        </w:rPr>
        <w:t>wykonawcach, których oferty zostały odrzucone (wraz z uzasadnieniem),</w:t>
      </w:r>
    </w:p>
    <w:p w14:paraId="4DAE72FB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jc w:val="both"/>
      </w:pPr>
      <w:r>
        <w:rPr>
          <w:rStyle w:val="Teksttreci"/>
        </w:rPr>
        <w:t xml:space="preserve">Zamawiający </w:t>
      </w:r>
      <w:r>
        <w:rPr>
          <w:rStyle w:val="Teksttreci"/>
          <w:b/>
          <w:bCs/>
        </w:rPr>
        <w:t xml:space="preserve">unieważnia </w:t>
      </w:r>
      <w:r>
        <w:rPr>
          <w:rStyle w:val="Teksttreci"/>
        </w:rPr>
        <w:t>postępowanie:</w:t>
      </w:r>
    </w:p>
    <w:p w14:paraId="387DF5EE" w14:textId="77777777" w:rsidR="00D4656F" w:rsidRDefault="00224021">
      <w:pPr>
        <w:pStyle w:val="Teksttreci0"/>
        <w:numPr>
          <w:ilvl w:val="0"/>
          <w:numId w:val="12"/>
        </w:numPr>
        <w:tabs>
          <w:tab w:val="left" w:pos="525"/>
        </w:tabs>
        <w:ind w:firstLine="280"/>
        <w:jc w:val="both"/>
      </w:pPr>
      <w:r>
        <w:rPr>
          <w:rStyle w:val="Teksttreci"/>
        </w:rPr>
        <w:t>jeżeli nie złożono żadnej oferty niepodlegającej odrzuceniu,</w:t>
      </w:r>
    </w:p>
    <w:p w14:paraId="535070C5" w14:textId="77777777" w:rsidR="00D4656F" w:rsidRDefault="00224021">
      <w:pPr>
        <w:pStyle w:val="Teksttreci0"/>
        <w:numPr>
          <w:ilvl w:val="0"/>
          <w:numId w:val="12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cena najkorzystniejszej oferty lub oferta z najniższą ceną przewyższa kwotę, którą Zamawiający zamierza przeznaczyć na sfinansowanie zamówienia, chyba, że Zamawiający może zwiększyć tę kwotę do ceny najkorzystniejszej oferty,</w:t>
      </w:r>
    </w:p>
    <w:p w14:paraId="50031014" w14:textId="77777777" w:rsidR="00D4656F" w:rsidRDefault="00224021">
      <w:pPr>
        <w:pStyle w:val="Teksttreci0"/>
        <w:numPr>
          <w:ilvl w:val="0"/>
          <w:numId w:val="12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>postępowanie obarczone jest wadą niemożliwą do usunięcia, powodującą sytuację, w której niemożliwym jest zawarcie umowy w sprawie zamówienia publicznego niepodlegającej unieważnieniu,</w:t>
      </w:r>
    </w:p>
    <w:p w14:paraId="208CB94B" w14:textId="77777777" w:rsidR="00D4656F" w:rsidRDefault="00224021">
      <w:pPr>
        <w:pStyle w:val="Teksttreci0"/>
        <w:numPr>
          <w:ilvl w:val="0"/>
          <w:numId w:val="12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dalsze prowadzenie postępowania nie leży w interesie zamawiającego, czego nie dało się przewidzieć na etapie ogłoszenia postępowania.</w:t>
      </w:r>
    </w:p>
    <w:p w14:paraId="51AD268C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Na wniosek wykonawcy, który złożył ofertę, Zamawiający udostępnia wnioskodawcy protokół postępowania o udzielenie zamówienia wraz z załącznikami, z wyłączeniem części ofert stanowiących tajemnicę przedsiębiorstwa.</w:t>
      </w:r>
    </w:p>
    <w:p w14:paraId="7AAC9A74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300" w:hanging="300"/>
        <w:jc w:val="both"/>
      </w:pPr>
      <w:r>
        <w:rPr>
          <w:rStyle w:val="Teksttreci"/>
        </w:rPr>
        <w:t>Wykonawca może poinformować Zamawiającego w trakcie trwania postępowania o czynności Zamawiającego niezgodnej z postanowieniami niniejszej instrukcji, zasadami opisanymi w Regulaminie ubiegania się i udzielania zamówień na Uniwersytecie Śląskim w Katowicach czy innymi przepisami powszechnie obowiązującego prawa. W przypadku uznania zasadności przekazanej informacji Zamawiający powtarza czynność albo dokonuje czynności zaniechanej, informując o tym wykonawców w sposób przewidziany dla tej czynności.</w:t>
      </w:r>
    </w:p>
    <w:p w14:paraId="4AAE4CED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>Z Wykonawcą, którego oferta zostanie uznana za najkorzystniejszą, zostanie zawarta umowa na warunkach podanych we wzorze umowy lub istotnych postanowieniach umowy stanowiących załącznik do ogłoszenia o zamiarze udzielenia zamówienia oraz w ofercie przedstawionej przez wykonawcę.</w:t>
      </w:r>
    </w:p>
    <w:p w14:paraId="1BC9F272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 xml:space="preserve">Jeżeli wykonawca, którego oferta została wybrana, uchyla się od zawarcia umowy, Zamawiający może wybrać ofertę najkorzystniejszą </w:t>
      </w:r>
      <w:r>
        <w:rPr>
          <w:rStyle w:val="Teksttreci"/>
        </w:rPr>
        <w:lastRenderedPageBreak/>
        <w:t>spośród pozostałych ofert bez przeprowadzania ich ponownego badania i oceny, chyba, że zachodzą przesłanki do unieważnienia postępowania, o których mowa w ust. 17.</w:t>
      </w:r>
    </w:p>
    <w:p w14:paraId="2D66CACB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>Zamówienie jest realizowane zgodnie z prawem obowiązującym w Rzeczypospolitej Polskiej. W sprawach nieuregulowanych niniejszym ogłoszeniem o udzielanym zamówieniu, będą miały zastosowanie przepisy ustawy z dnia 23 kwietnia 1964 r. - Kodeks cywilny i innych ustaw szczególnych powszechnie obowiązującego prawa.</w:t>
      </w:r>
    </w:p>
    <w:sectPr w:rsidR="00D4656F" w:rsidSect="00A248DE">
      <w:headerReference w:type="default" r:id="rId7"/>
      <w:footerReference w:type="default" r:id="rId8"/>
      <w:pgSz w:w="11900" w:h="16840"/>
      <w:pgMar w:top="1249" w:right="1347" w:bottom="1446" w:left="140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613E" w14:textId="77777777" w:rsidR="001A4ACC" w:rsidRDefault="00224021">
      <w:r>
        <w:separator/>
      </w:r>
    </w:p>
  </w:endnote>
  <w:endnote w:type="continuationSeparator" w:id="0">
    <w:p w14:paraId="431C9074" w14:textId="77777777" w:rsidR="001A4ACC" w:rsidRDefault="0022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81813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61D4064E" w14:textId="6B20D3D8" w:rsidR="00A248DE" w:rsidRPr="00A248DE" w:rsidRDefault="00A248DE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A248DE">
          <w:rPr>
            <w:rFonts w:ascii="Trebuchet MS" w:hAnsi="Trebuchet MS"/>
            <w:sz w:val="20"/>
            <w:szCs w:val="20"/>
          </w:rPr>
          <w:fldChar w:fldCharType="begin"/>
        </w:r>
        <w:r w:rsidRPr="00A248DE">
          <w:rPr>
            <w:rFonts w:ascii="Trebuchet MS" w:hAnsi="Trebuchet MS"/>
            <w:sz w:val="20"/>
            <w:szCs w:val="20"/>
          </w:rPr>
          <w:instrText>PAGE   \* MERGEFORMAT</w:instrText>
        </w:r>
        <w:r w:rsidRPr="00A248DE">
          <w:rPr>
            <w:rFonts w:ascii="Trebuchet MS" w:hAnsi="Trebuchet MS"/>
            <w:sz w:val="20"/>
            <w:szCs w:val="20"/>
          </w:rPr>
          <w:fldChar w:fldCharType="separate"/>
        </w:r>
        <w:r w:rsidRPr="00A248DE">
          <w:rPr>
            <w:rFonts w:ascii="Trebuchet MS" w:hAnsi="Trebuchet MS"/>
            <w:sz w:val="20"/>
            <w:szCs w:val="20"/>
          </w:rPr>
          <w:t>2</w:t>
        </w:r>
        <w:r w:rsidRPr="00A248DE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14:paraId="336EC4FD" w14:textId="77777777" w:rsidR="00A248DE" w:rsidRDefault="00A24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9D3E" w14:textId="77777777" w:rsidR="00D4656F" w:rsidRDefault="00D4656F"/>
  </w:footnote>
  <w:footnote w:type="continuationSeparator" w:id="0">
    <w:p w14:paraId="32F4CABD" w14:textId="77777777" w:rsidR="00D4656F" w:rsidRDefault="00D46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4626" w14:textId="77777777" w:rsidR="00D4656F" w:rsidRDefault="002240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749A24" wp14:editId="634A272D">
              <wp:simplePos x="0" y="0"/>
              <wp:positionH relativeFrom="page">
                <wp:posOffset>5978525</wp:posOffset>
              </wp:positionH>
              <wp:positionV relativeFrom="page">
                <wp:posOffset>488315</wp:posOffset>
              </wp:positionV>
              <wp:extent cx="66738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C80DD4" w14:textId="5A805914" w:rsidR="00D4656F" w:rsidRDefault="008A4D2B">
                          <w:pPr>
                            <w:pStyle w:val="Nagweklubstopka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</w:rPr>
                            <w:t>Z</w:t>
                          </w:r>
                          <w:r w:rsidRPr="00B642C5"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</w:rPr>
                            <w:t>ałącznik nr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9A2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0.75pt;margin-top:38.45pt;width:52.5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" filled="f" stroked="f">
              <v:textbox style="mso-fit-shape-to-text:t" inset="0,0,0,0">
                <w:txbxContent>
                  <w:p w14:paraId="65C80DD4" w14:textId="5A805914" w:rsidR="00D4656F" w:rsidRDefault="008A4D2B">
                    <w:pPr>
                      <w:pStyle w:val="Nagweklubstopka2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7"/>
                        <w:szCs w:val="17"/>
                      </w:rPr>
                      <w:t>Z</w:t>
                    </w:r>
                    <w:r w:rsidRPr="00B642C5">
                      <w:rPr>
                        <w:rFonts w:ascii="Arial" w:hAnsi="Arial" w:cs="Arial"/>
                        <w:color w:val="auto"/>
                        <w:sz w:val="17"/>
                        <w:szCs w:val="17"/>
                      </w:rPr>
                      <w:t>ałącznik nr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367B"/>
    <w:multiLevelType w:val="multilevel"/>
    <w:tmpl w:val="8C1A4C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A3C08"/>
    <w:multiLevelType w:val="multilevel"/>
    <w:tmpl w:val="5BEA83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E4334"/>
    <w:multiLevelType w:val="multilevel"/>
    <w:tmpl w:val="AC969ACA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524C0"/>
    <w:multiLevelType w:val="multilevel"/>
    <w:tmpl w:val="0D7A41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C7A25"/>
    <w:multiLevelType w:val="multilevel"/>
    <w:tmpl w:val="49A6CD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F937CE"/>
    <w:multiLevelType w:val="multilevel"/>
    <w:tmpl w:val="2DA681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8E144F"/>
    <w:multiLevelType w:val="multilevel"/>
    <w:tmpl w:val="8EC80588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588C"/>
    <w:multiLevelType w:val="multilevel"/>
    <w:tmpl w:val="67BE3A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9F4403"/>
    <w:multiLevelType w:val="multilevel"/>
    <w:tmpl w:val="D1ECE9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AF5117"/>
    <w:multiLevelType w:val="multilevel"/>
    <w:tmpl w:val="6338D7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943F1A"/>
    <w:multiLevelType w:val="multilevel"/>
    <w:tmpl w:val="0C9631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A10E54"/>
    <w:multiLevelType w:val="multilevel"/>
    <w:tmpl w:val="C9D205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NjdiYmRlYTktY2E0YS00MDg3LWJiZWItN2I1Y2I3ZjhjNjQ4Ig0KfQ=="/>
    <w:docVar w:name="GVData0" w:val="(end)"/>
  </w:docVars>
  <w:rsids>
    <w:rsidRoot w:val="00D4656F"/>
    <w:rsid w:val="001A4ACC"/>
    <w:rsid w:val="00224021"/>
    <w:rsid w:val="008431B9"/>
    <w:rsid w:val="008A4D2B"/>
    <w:rsid w:val="00A248DE"/>
    <w:rsid w:val="00D4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55383"/>
  <w15:docId w15:val="{B921BB17-0CF8-4AC0-8C14-0AC2FAD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pacing w:before="600" w:after="20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480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30">
    <w:name w:val="Nagłówek #3"/>
    <w:basedOn w:val="Normalny"/>
    <w:link w:val="Nagwek3"/>
    <w:pPr>
      <w:spacing w:after="16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pacing w:after="280" w:line="341" w:lineRule="auto"/>
      <w:ind w:left="360" w:firstLine="10"/>
    </w:pPr>
    <w:rPr>
      <w:rFonts w:ascii="Arial" w:eastAsia="Arial" w:hAnsi="Arial" w:cs="Arial"/>
      <w:i/>
      <w:iCs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pacing w:after="60" w:line="329" w:lineRule="auto"/>
    </w:pPr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pacing w:line="437" w:lineRule="auto"/>
    </w:pPr>
    <w:rPr>
      <w:rFonts w:ascii="Arial" w:eastAsia="Arial" w:hAnsi="Arial" w:cs="Arial"/>
      <w:sz w:val="15"/>
      <w:szCs w:val="15"/>
    </w:rPr>
  </w:style>
  <w:style w:type="paragraph" w:customStyle="1" w:styleId="Podpistabeli0">
    <w:name w:val="Podpis tabeli"/>
    <w:basedOn w:val="Normalny"/>
    <w:link w:val="Podpistabeli"/>
    <w:pPr>
      <w:spacing w:after="20"/>
      <w:ind w:firstLine="150"/>
    </w:pPr>
    <w:rPr>
      <w:rFonts w:ascii="Arial" w:eastAsia="Arial" w:hAnsi="Arial" w:cs="Arial"/>
      <w:sz w:val="17"/>
      <w:szCs w:val="17"/>
    </w:rPr>
  </w:style>
  <w:style w:type="paragraph" w:customStyle="1" w:styleId="Inne0">
    <w:name w:val="Inne"/>
    <w:basedOn w:val="Normalny"/>
    <w:link w:val="Inne"/>
    <w:pPr>
      <w:spacing w:line="437" w:lineRule="auto"/>
    </w:pPr>
    <w:rPr>
      <w:rFonts w:ascii="Arial" w:eastAsia="Arial" w:hAnsi="Arial" w:cs="Arial"/>
      <w:sz w:val="15"/>
      <w:szCs w:val="15"/>
    </w:rPr>
  </w:style>
  <w:style w:type="paragraph" w:customStyle="1" w:styleId="Nagwek20">
    <w:name w:val="Nagłówek #2"/>
    <w:basedOn w:val="Normalny"/>
    <w:link w:val="Nagwek2"/>
    <w:pPr>
      <w:spacing w:after="700"/>
      <w:jc w:val="center"/>
      <w:outlineLvl w:val="1"/>
    </w:pPr>
    <w:rPr>
      <w:rFonts w:ascii="Trebuchet MS" w:eastAsia="Trebuchet MS" w:hAnsi="Trebuchet MS" w:cs="Trebuchet MS"/>
      <w:b/>
      <w:bCs/>
      <w:color w:val="EBEBEB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4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D2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4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D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7992</Characters>
  <Application>Microsoft Office Word</Application>
  <DocSecurity>0</DocSecurity>
  <Lines>92</Lines>
  <Paragraphs>37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Komarek</dc:creator>
  <cp:lastModifiedBy>Maria Rylska</cp:lastModifiedBy>
  <cp:revision>2</cp:revision>
  <dcterms:created xsi:type="dcterms:W3CDTF">2024-06-25T12:15:00Z</dcterms:created>
  <dcterms:modified xsi:type="dcterms:W3CDTF">2024-06-25T12:15:00Z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ew0KICAiZG9jSUQiOiAiNjdiYmRlYTktY2E0YS00MDg3LWJiZWItN2I1Y2I3ZjhjNjQ4Ig0KfQ==</vt:lpwstr>
  </property>
  <property fmtid="{D5CDD505-2E9C-101B-9397-08002B2CF9AE}" pid="3" name="GVData0">
    <vt:lpwstr>(end)</vt:lpwstr>
  </property>
</Properties>
</file>