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D8C1" w14:textId="77777777" w:rsidR="00AE5E4E" w:rsidRDefault="00AE5E4E" w:rsidP="00EE3DFD">
      <w:pPr>
        <w:tabs>
          <w:tab w:val="left" w:pos="426"/>
          <w:tab w:val="left" w:pos="567"/>
        </w:tabs>
        <w:rPr>
          <w:rFonts w:ascii="Arial" w:hAnsi="Arial"/>
          <w:sz w:val="22"/>
          <w:szCs w:val="22"/>
        </w:rPr>
      </w:pPr>
    </w:p>
    <w:p w14:paraId="4F34AA61" w14:textId="51AD491E" w:rsidR="00AE5E4E" w:rsidRPr="00A42EFB" w:rsidRDefault="00F80546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Dotyczy: postępowania o udzielenie zamówienia publicznego, prowadzonego w trybie</w:t>
      </w:r>
    </w:p>
    <w:p w14:paraId="32792933" w14:textId="16D19C61" w:rsidR="00AE5E4E" w:rsidRPr="00A42EFB" w:rsidRDefault="00F80546" w:rsidP="001B0DC4">
      <w:pPr>
        <w:rPr>
          <w:color w:val="000000" w:themeColor="text1"/>
        </w:rPr>
      </w:pPr>
      <w:r>
        <w:rPr>
          <w:rFonts w:ascii="Arial" w:hAnsi="Arial"/>
          <w:color w:val="000000"/>
          <w:sz w:val="22"/>
          <w:szCs w:val="22"/>
        </w:rPr>
        <w:t>podstaw</w:t>
      </w:r>
      <w:r w:rsidRPr="00A42EFB">
        <w:rPr>
          <w:rFonts w:ascii="Arial" w:hAnsi="Arial"/>
          <w:color w:val="000000" w:themeColor="text1"/>
          <w:sz w:val="22"/>
          <w:szCs w:val="22"/>
        </w:rPr>
        <w:t xml:space="preserve">owym bez negocjacji pn. </w:t>
      </w:r>
      <w:r w:rsidR="001B0DC4" w:rsidRPr="00A42EFB">
        <w:rPr>
          <w:rFonts w:ascii="Arial" w:hAnsi="Arial"/>
          <w:color w:val="000000" w:themeColor="text1"/>
          <w:sz w:val="22"/>
          <w:szCs w:val="22"/>
        </w:rPr>
        <w:t xml:space="preserve">Dostawa </w:t>
      </w:r>
      <w:r w:rsidR="00D9452D" w:rsidRPr="00A42EFB">
        <w:rPr>
          <w:rFonts w:ascii="Arial" w:hAnsi="Arial"/>
          <w:color w:val="000000" w:themeColor="text1"/>
          <w:sz w:val="22"/>
          <w:szCs w:val="22"/>
        </w:rPr>
        <w:t>produktów farmaceutycznych</w:t>
      </w:r>
      <w:r w:rsidR="001B0DC4" w:rsidRPr="00A42EFB">
        <w:rPr>
          <w:rFonts w:ascii="Arial" w:hAnsi="Arial"/>
          <w:color w:val="000000" w:themeColor="text1"/>
          <w:sz w:val="22"/>
          <w:szCs w:val="22"/>
        </w:rPr>
        <w:t xml:space="preserve"> (na </w:t>
      </w:r>
      <w:r w:rsidR="00EE3DFD" w:rsidRPr="00A42EFB">
        <w:rPr>
          <w:rFonts w:ascii="Arial" w:hAnsi="Arial"/>
          <w:color w:val="000000" w:themeColor="text1"/>
          <w:sz w:val="22"/>
          <w:szCs w:val="22"/>
        </w:rPr>
        <w:t>12</w:t>
      </w:r>
      <w:r w:rsidR="001B0DC4" w:rsidRPr="00A42EFB">
        <w:rPr>
          <w:rFonts w:ascii="Arial" w:hAnsi="Arial"/>
          <w:color w:val="000000" w:themeColor="text1"/>
          <w:sz w:val="22"/>
          <w:szCs w:val="22"/>
        </w:rPr>
        <w:t xml:space="preserve"> miesięcy), </w:t>
      </w:r>
      <w:r w:rsidR="00EE6800" w:rsidRPr="00A42EFB">
        <w:rPr>
          <w:rFonts w:ascii="Arial" w:hAnsi="Arial"/>
          <w:color w:val="000000" w:themeColor="text1"/>
          <w:sz w:val="22"/>
          <w:szCs w:val="22"/>
        </w:rPr>
        <w:t>ZP.231.</w:t>
      </w:r>
      <w:r w:rsidR="00D9452D" w:rsidRPr="00A42EFB">
        <w:rPr>
          <w:rFonts w:ascii="Arial" w:hAnsi="Arial"/>
          <w:color w:val="000000" w:themeColor="text1"/>
          <w:sz w:val="22"/>
          <w:szCs w:val="22"/>
        </w:rPr>
        <w:t>10</w:t>
      </w:r>
      <w:r w:rsidR="00EE6800" w:rsidRPr="00A42EFB">
        <w:rPr>
          <w:rFonts w:ascii="Arial" w:hAnsi="Arial"/>
          <w:color w:val="000000" w:themeColor="text1"/>
          <w:sz w:val="22"/>
          <w:szCs w:val="22"/>
        </w:rPr>
        <w:t>/202</w:t>
      </w:r>
      <w:r w:rsidR="00EE3DFD" w:rsidRPr="00A42EFB">
        <w:rPr>
          <w:rFonts w:ascii="Arial" w:hAnsi="Arial"/>
          <w:color w:val="000000" w:themeColor="text1"/>
          <w:sz w:val="22"/>
          <w:szCs w:val="22"/>
        </w:rPr>
        <w:t>3</w:t>
      </w:r>
    </w:p>
    <w:p w14:paraId="6D2E5AD2" w14:textId="77777777" w:rsidR="00AE5E4E" w:rsidRDefault="00AE5E4E">
      <w:pPr>
        <w:rPr>
          <w:rFonts w:ascii="Arial" w:hAnsi="Arial"/>
          <w:color w:val="000000" w:themeColor="text1"/>
          <w:sz w:val="22"/>
          <w:szCs w:val="22"/>
        </w:rPr>
      </w:pPr>
    </w:p>
    <w:p w14:paraId="3057AC77" w14:textId="77777777" w:rsidR="00164F73" w:rsidRDefault="00164F73">
      <w:pPr>
        <w:rPr>
          <w:rFonts w:ascii="Arial" w:hAnsi="Arial"/>
          <w:color w:val="000000" w:themeColor="text1"/>
          <w:sz w:val="22"/>
          <w:szCs w:val="22"/>
        </w:rPr>
      </w:pPr>
    </w:p>
    <w:p w14:paraId="335710E6" w14:textId="77777777" w:rsidR="00164F73" w:rsidRDefault="00164F73">
      <w:pPr>
        <w:rPr>
          <w:rFonts w:ascii="Arial" w:hAnsi="Arial"/>
          <w:color w:val="000000" w:themeColor="text1"/>
          <w:sz w:val="22"/>
          <w:szCs w:val="22"/>
        </w:rPr>
      </w:pPr>
    </w:p>
    <w:p w14:paraId="03A11DDB" w14:textId="77777777" w:rsidR="00164F73" w:rsidRDefault="00164F73">
      <w:pPr>
        <w:rPr>
          <w:rFonts w:ascii="Arial" w:hAnsi="Arial"/>
          <w:color w:val="000000" w:themeColor="text1"/>
          <w:sz w:val="22"/>
          <w:szCs w:val="22"/>
        </w:rPr>
      </w:pPr>
    </w:p>
    <w:p w14:paraId="2AE804D3" w14:textId="77777777" w:rsidR="00164F73" w:rsidRDefault="00164F73">
      <w:pPr>
        <w:rPr>
          <w:rFonts w:ascii="Arial" w:hAnsi="Arial"/>
          <w:color w:val="000000" w:themeColor="text1"/>
          <w:sz w:val="22"/>
          <w:szCs w:val="22"/>
        </w:rPr>
      </w:pPr>
    </w:p>
    <w:p w14:paraId="06AD23B2" w14:textId="77777777" w:rsidR="00164F73" w:rsidRPr="00A42EFB" w:rsidRDefault="00164F73">
      <w:pPr>
        <w:rPr>
          <w:rFonts w:ascii="Arial" w:hAnsi="Arial"/>
          <w:color w:val="000000" w:themeColor="text1"/>
          <w:sz w:val="22"/>
          <w:szCs w:val="22"/>
        </w:rPr>
      </w:pPr>
    </w:p>
    <w:p w14:paraId="265F2D91" w14:textId="77777777" w:rsidR="00AE5E4E" w:rsidRPr="00A42EFB" w:rsidRDefault="00F80546">
      <w:pPr>
        <w:rPr>
          <w:rFonts w:ascii="Arial" w:hAnsi="Arial"/>
          <w:color w:val="000000" w:themeColor="text1"/>
          <w:sz w:val="22"/>
          <w:szCs w:val="22"/>
        </w:rPr>
      </w:pPr>
      <w:r w:rsidRPr="00A42EFB">
        <w:rPr>
          <w:rFonts w:ascii="Arial" w:hAnsi="Arial"/>
          <w:color w:val="000000" w:themeColor="text1"/>
          <w:sz w:val="22"/>
          <w:szCs w:val="22"/>
        </w:rPr>
        <w:t>WYJAŚNIENIE TREŚCI SWZ</w:t>
      </w:r>
    </w:p>
    <w:p w14:paraId="2C63D025" w14:textId="77777777" w:rsidR="00AE5E4E" w:rsidRDefault="00AE5E4E">
      <w:pPr>
        <w:rPr>
          <w:rFonts w:ascii="Arial" w:hAnsi="Arial"/>
          <w:color w:val="000000" w:themeColor="text1"/>
          <w:sz w:val="22"/>
          <w:szCs w:val="22"/>
        </w:rPr>
      </w:pPr>
    </w:p>
    <w:p w14:paraId="049F931F" w14:textId="77777777" w:rsidR="00164F73" w:rsidRDefault="00164F73">
      <w:pPr>
        <w:rPr>
          <w:rFonts w:ascii="Arial" w:hAnsi="Arial"/>
          <w:color w:val="000000" w:themeColor="text1"/>
          <w:sz w:val="22"/>
          <w:szCs w:val="22"/>
        </w:rPr>
      </w:pPr>
    </w:p>
    <w:p w14:paraId="227F9A03" w14:textId="77777777" w:rsidR="00164F73" w:rsidRPr="00A42EFB" w:rsidRDefault="00164F73">
      <w:pPr>
        <w:rPr>
          <w:rFonts w:ascii="Arial" w:hAnsi="Arial"/>
          <w:color w:val="000000" w:themeColor="text1"/>
          <w:sz w:val="22"/>
          <w:szCs w:val="22"/>
        </w:rPr>
      </w:pPr>
    </w:p>
    <w:p w14:paraId="0C34E553" w14:textId="77777777" w:rsidR="00AE5E4E" w:rsidRPr="00A42EFB" w:rsidRDefault="00F80546" w:rsidP="00A16436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Zamawiający działając na podstawie art. 284 ust. 2 ustawy z dnia 11 września 2019 r.</w:t>
      </w:r>
    </w:p>
    <w:p w14:paraId="644E585F" w14:textId="77777777" w:rsidR="00AE5E4E" w:rsidRPr="00A42EFB" w:rsidRDefault="00F80546" w:rsidP="00A16436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Prawo zamówień publicznych (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>. Dz. U. 2022 poz. 1710) wyjaśnia treść Specyfikacji</w:t>
      </w:r>
    </w:p>
    <w:p w14:paraId="2CA12FB2" w14:textId="05C7E23E" w:rsidR="00AE5E4E" w:rsidRPr="00A42EFB" w:rsidRDefault="00F80546" w:rsidP="00A16436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Warunków Zamówienia w odpowiedzi na złożone zapytania Wykonawców: </w:t>
      </w:r>
    </w:p>
    <w:p w14:paraId="18C1C70D" w14:textId="77777777" w:rsidR="00164F73" w:rsidRDefault="00164F73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5827E8C" w14:textId="77777777" w:rsidR="00164F73" w:rsidRDefault="00164F73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2073F48" w14:textId="5CFDF3E5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Czy w PAKIET NR 1 LEKI SOMATYCZNE poz. 92 i 93 poz. 1 i 2 Zamawiający wymaga, aby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dexamethasone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posiadał zarejestrowane i potwierdzone w karcie charakterystyki produktu leczniczego wskazania do profilaktyki nudności i wymiotów indukowanych chemio- lub radioterapią oraz innych działań niepożądanych i powikłań związanych z prowadzoną terapią przeciwnowotworową, a także wskazania do profilaktyki i leczenia powikłań zabiegów chirurgicznych, w tym głównie nudności i wymiotów, którym można zapobiec lub złagodzić poprzez podanie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glikokortykosteroidów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2B1395E8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Zamawiający wymaga aby zaoferowany produkt zawierał w charakterystyce produktu następujące wskazania do stosowania:</w:t>
      </w:r>
    </w:p>
    <w:p w14:paraId="296ABC93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-Leczenie ostrych stanów zagrożenia życia wymagających podania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glikokortykosteroidów</w:t>
      </w:r>
      <w:proofErr w:type="spellEnd"/>
    </w:p>
    <w:p w14:paraId="7ED11E54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-Sytuacje kliniczne wymagające zastosowania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glikokortykosteroidów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celem leczenia i (lub) łagodzenia objawów choroby.</w:t>
      </w:r>
    </w:p>
    <w:p w14:paraId="37856EEF" w14:textId="777B4403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139260274"/>
      <w:bookmarkStart w:id="1" w:name="_Hlk139263570"/>
      <w:r w:rsidRPr="00A42EFB">
        <w:rPr>
          <w:rFonts w:ascii="Arial" w:hAnsi="Arial" w:cs="Arial"/>
          <w:color w:val="000000" w:themeColor="text1"/>
          <w:sz w:val="22"/>
          <w:szCs w:val="22"/>
        </w:rPr>
        <w:t>Odp</w:t>
      </w:r>
      <w:bookmarkEnd w:id="0"/>
      <w:r w:rsidRPr="00A42EFB">
        <w:rPr>
          <w:rFonts w:ascii="Arial" w:hAnsi="Arial" w:cs="Arial"/>
          <w:color w:val="000000" w:themeColor="text1"/>
          <w:sz w:val="22"/>
          <w:szCs w:val="22"/>
        </w:rPr>
        <w:t>. Zamawiający wyraża zgodę na dopuszczenie produktu o szerszych wskazaniach m.in. zawartych w pytaniu.</w:t>
      </w:r>
    </w:p>
    <w:bookmarkEnd w:id="1"/>
    <w:p w14:paraId="14FD8864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04D2FC7" w14:textId="46520F2C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Dotyczy pakietów Pytanie 1 – Czy Zamawiający wyrazi zgodę na zmianę postaci proponowanych preparatów – tabletki na tabletki powlekane lub kapsułki lub drażetki i odwrotnie, fiolki na ampułki lub ampułko-strzykawki i odwrotnie? </w:t>
      </w:r>
    </w:p>
    <w:p w14:paraId="1C2EAD3A" w14:textId="67D093FB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Odp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>.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Zamawiający wyraża zgodę </w:t>
      </w:r>
    </w:p>
    <w:p w14:paraId="45B84BEF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530A6CD" w14:textId="371C7C58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Pytanie 2 - Czy Zamawiający wyrazi zgodę na zmianę wielkości opakowań (tabletek, ampułek, kilogramów itp.)? Jeśli tak to prosimy o podanie w jaki sposób przeliczyć ilość opakowań handlowych ekonomicznym (czy podać pełne ilości opakowań zaokrąglone w górę, czy ilość opakowań przeliczyć do dwóch miejsc po przecinku)?</w:t>
      </w:r>
    </w:p>
    <w:p w14:paraId="667BF643" w14:textId="47C9F121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Odp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>.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Zamawiający wyraża zgodę. </w:t>
      </w:r>
      <w:bookmarkStart w:id="2" w:name="_Hlk139264805"/>
      <w:r w:rsidRPr="00A42EFB">
        <w:rPr>
          <w:rFonts w:ascii="Arial" w:hAnsi="Arial" w:cs="Arial"/>
          <w:color w:val="000000" w:themeColor="text1"/>
          <w:sz w:val="22"/>
          <w:szCs w:val="22"/>
        </w:rPr>
        <w:t>Przy określaniu ilości opakowań, gdy wielkość produktu w opakowaniach nie przystaje do opisu wielkości w formularzu cenowym, Zamawiający wymaga, aby Wykonawca wycenił ułamkową ilość opakowań, zgodną z podaną wielkością w formularzu ofertowym, co spowoduje jednoznaczne podejście do oceny ofert a także spowoduje brak wątpliwości, co wyceny składanych ofert na leki, zaokrąglenia liczby ułamkowej opakowań należy dokonać do dwóch miejsc po przecinku według zasady, że trzecia cyfra po przecinku od 5 w górę powoduje zaokrąglenie drugiej cyfry po przecinku w górę o 1, a jeżeli trzecia cyfra po przecinku jest niższa od 5, to druga cyfra po przecinku nie ulega zmianie.</w:t>
      </w:r>
    </w:p>
    <w:bookmarkEnd w:id="2"/>
    <w:p w14:paraId="3CA368D8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3F9EDA6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Pytanie 3 - Prosimy o podanie, w jaki sposób prawidłowo przeliczyć ilość opakowań handlowych w przypadku występowania na rynku opakowań posiadających inną ilość sztuk (tabletek, ampułek, 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 </w:t>
      </w:r>
    </w:p>
    <w:p w14:paraId="061EE894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ACD1F20" w14:textId="3448CC40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Odp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>.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Zamawiający wymaga, aby Wykonawca wycenił ułamkową ilość opakowań, zgodną z podaną wielkością w formularzu ofertowym, co spowoduje jednoznaczne podejście do oceny ofert a także spowoduje brak wątpliwości, co wyceny składanych ofert na leki, zaokrąglenia liczby ułamkowej opakowań należy dokonać do dwóch miejsc po przecinku według zasady, że trzecia cyfra po przecinku od 5 w górę powoduje zaokrąglenie drugiej cyfry po przecinku w górę o 1, a jeżeli trzecia cyfra po przecinku jest niższa od 5, to druga cyfra po przecinku nie ulega zmianie.</w:t>
      </w:r>
    </w:p>
    <w:p w14:paraId="5A2FF2A7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D460E4F" w14:textId="551CEF3D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Pytanie 4 – Zwracamy się z prośbą o określenie w jaki sposób postąpić w przypadku zaprzestania lub braku produkcji danego preparatu. Czy Zamawiający wyrazi zgodę na podanie ostatniej ceny i informacji pod pakietem? </w:t>
      </w:r>
    </w:p>
    <w:p w14:paraId="639FC38A" w14:textId="78B0DE30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Odp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>.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Jeżeli żądany przez Zamawiającego lek nie jest już produkowany lub nastąpiło tymczasowe, przedłużające się w czasie, wstrzymanie produkcji, a nie ma innego leku równoważnego, którym można by było go zastąpić należy wycenić lek na podstawie ostatniej ceny rynkowej oraz dokonać adnotacji w formularzu cenowym o czasowym braku leku na rynku.</w:t>
      </w:r>
    </w:p>
    <w:p w14:paraId="031D72FB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3396430" w14:textId="5212D259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Pytanie 5 – Czy Zamawiający dopuści wycenę leku za opakowanie a nie za sztukę/ kilogram (Zgodnie z prawem Farmaceutycznym nie ma możliwości zakupu leku w innej formie niż dostępne na rynku opakowanie handlowe) w pozycjach gdzie w SIWZ występują sztuki lub mg?</w:t>
      </w:r>
    </w:p>
    <w:p w14:paraId="3BC55B9B" w14:textId="4EC863FE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Odp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>.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Zamawiający dopuszcza wycenę leku za opakowanie w odpowiednim przeliczeniu na dokładną ilość produktu zamawianą w załączniku Nr 2 do niniejszego postępowania. </w:t>
      </w:r>
    </w:p>
    <w:p w14:paraId="1D581ECE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Dla przykładu Zamawiający wyraża zgodę na zaoferowanie dwóch opakowań tego samego leku pakowanego po 30 tabletek zamiast jednego po 60 tabletek etc. </w:t>
      </w:r>
    </w:p>
    <w:p w14:paraId="58A281FA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W przypadku braku dostępności opakowania leku podzielnego na równe części , Zamawiający wymaga, aby Wykonawca wycenił ułamkową ilość opakowań, zgodną z podaną wielkością w formularzu ofertowym.</w:t>
      </w:r>
    </w:p>
    <w:p w14:paraId="6D61360D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5636F95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Pytanie 6 Czy Zamawiający zgodzi się na podanie cen jednostkowych za sztukę, mg, ml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etc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netto i brutto z dokładnością do 4 miejsc po przecinku? </w:t>
      </w:r>
    </w:p>
    <w:p w14:paraId="12BC7F79" w14:textId="177DC3AC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Odp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>.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Zamawiający nie wyraża zgody.</w:t>
      </w:r>
    </w:p>
    <w:p w14:paraId="6472FE5A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A94A1C8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Pytanie 7 – Czy Zamawiający dopuszcza wycenę preparatów dostępnych na jednorazowe zezwolenie MZ.? W sytuacji jeśli aktualnie tylko takie jest dostępne.</w:t>
      </w:r>
    </w:p>
    <w:p w14:paraId="230F3C64" w14:textId="2DB86EC2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Odp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>.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Zamawiający wyraża zgodę</w:t>
      </w:r>
    </w:p>
    <w:p w14:paraId="1A8C8DCA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D284079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Czy w pakiecie nr 1 Zamawiający dopuści lek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Tullex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w następujących dawkach? </w:t>
      </w:r>
    </w:p>
    <w:p w14:paraId="2C3E1D60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- pozycja 246 lek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Tullex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10 mg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amp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>. strz. o poj. 0,267 ml pakowany po 12 ampułkostrzykawki?</w:t>
      </w:r>
    </w:p>
    <w:p w14:paraId="65F9C749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- pozycja 247 lek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Tullex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15 mg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amp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>. strz. o poj. 0,400 ml pakowany po 12 ampułkostrzykawki?</w:t>
      </w:r>
    </w:p>
    <w:p w14:paraId="3A5F2C70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- pozycja 248 lek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Tullex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20 mg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amp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>. strz. o poj. 0,533 ml pakowany po 12 ampułkostrzykawki?</w:t>
      </w:r>
    </w:p>
    <w:p w14:paraId="70389442" w14:textId="5C290BD9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Odp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>.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Zamawiający dopuszcza, ale nie wymaga 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 xml:space="preserve">złożenia oferty na 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>zaproponowan</w:t>
      </w:r>
      <w:r w:rsidR="007B27EF">
        <w:rPr>
          <w:rFonts w:ascii="Arial" w:hAnsi="Arial" w:cs="Arial"/>
          <w:color w:val="000000" w:themeColor="text1"/>
          <w:sz w:val="22"/>
          <w:szCs w:val="22"/>
        </w:rPr>
        <w:t>e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produkt</w:t>
      </w:r>
      <w:r w:rsidR="007B27EF">
        <w:rPr>
          <w:rFonts w:ascii="Arial" w:hAnsi="Arial" w:cs="Arial"/>
          <w:color w:val="000000" w:themeColor="text1"/>
          <w:sz w:val="22"/>
          <w:szCs w:val="22"/>
        </w:rPr>
        <w:t>y</w:t>
      </w:r>
    </w:p>
    <w:p w14:paraId="3AD41582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2017562" w14:textId="3D57EC9E" w:rsidR="00D9452D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BE0D126" w14:textId="77777777" w:rsidR="00164F73" w:rsidRPr="00A42EFB" w:rsidRDefault="00164F73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D00FBC0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lastRenderedPageBreak/>
        <w:t>Poniższe pytania dotyczą opisu przedmiotu zamówienia w Pakiecie nr 1 poz. 31 w przedmiotowym postępowaniu:</w:t>
      </w:r>
    </w:p>
    <w:p w14:paraId="29C6FC12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Czy w Pakiecie nr 1 poz. 31 Zamawiający dopuści zaoferowanie produktu konfekcjonowanego w opakowaniach x 40 tabl. – po przeliczeniu na odpowiednią ilość opakowań i zaokrągleniu uzyskanego wyniku w górę?</w:t>
      </w:r>
    </w:p>
    <w:p w14:paraId="51C11A2D" w14:textId="6B2939D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Odp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>.</w:t>
      </w:r>
      <w:r w:rsidR="00DF75E7"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30D6" w:rsidRPr="00BD30D6">
        <w:rPr>
          <w:rFonts w:ascii="Arial" w:hAnsi="Arial" w:cs="Arial"/>
          <w:color w:val="000000" w:themeColor="text1"/>
          <w:sz w:val="22"/>
          <w:szCs w:val="22"/>
        </w:rPr>
        <w:t>Przy określaniu ilości opakowań, gdy wielkość produktu w opakowaniach nie przystaje do opisu wielkości w formularzu cenowym, Zamawiający wymaga, aby Wykonawca wycenił ułamkową ilość opakowań, zgodną z podaną wielkością w formularzu ofertowym, co spowoduje jednoznaczne podejście do oceny ofert a także spowoduje brak wątpliwości, co wyceny składanych ofert na leki, zaokrąglenia liczby ułamkowej opakowań należy dokonać do dwóch miejsc po przecinku według zasady, że trzecia cyfra po przecinku od 5 w górę powoduje zaokrąglenie drugiej cyfry po przecinku w górę o 1, a jeżeli trzecia cyfra po przecinku jest niższa od 5, to druga cyfra po przecinku nie ulega zmianie.</w:t>
      </w:r>
    </w:p>
    <w:p w14:paraId="6679E8FE" w14:textId="77777777" w:rsidR="00DF75E7" w:rsidRPr="00A42EFB" w:rsidRDefault="00DF75E7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8160FCE" w14:textId="72B009EE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Poniższe pytania dotyczą opisu przedmiotu zamówienia w Pakiecie nr 1 poz. 201 w przedmiotowym postępowaniu:</w:t>
      </w:r>
    </w:p>
    <w:p w14:paraId="01693B6A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2. Czy w Pakiecie nr 1 poz. 201 Zamawiający dopuści zaoferowanie produktu o składzie: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Aqua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Zinc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Oxide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Paraffinum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Liquidum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Dicocoyl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Pentaerythrityl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Distearyl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Citrate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Sorbitan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Sesquioleate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Cera Alba,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Aluminum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Stearates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Lanolin,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Glycerin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Magnesium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Sulfate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Paraffin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C10-C18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Triglyceride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Stearic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Acid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Cera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Microcristallina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Benzyl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Alcohol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Potassium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Sorbate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Sodium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Benzoate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Citric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Acid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Lavandula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Angustifolia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Oil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Limonene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Linalool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>, BHA?</w:t>
      </w:r>
    </w:p>
    <w:p w14:paraId="59ABE9FD" w14:textId="279CD2DC" w:rsidR="00DF75E7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Odp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>..</w:t>
      </w:r>
      <w:r w:rsidR="00DF75E7"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30D6" w:rsidRPr="00BD30D6">
        <w:rPr>
          <w:rFonts w:ascii="Arial" w:hAnsi="Arial" w:cs="Arial"/>
          <w:color w:val="000000" w:themeColor="text1"/>
          <w:sz w:val="22"/>
          <w:szCs w:val="22"/>
        </w:rPr>
        <w:t>Zamawiający dopuszcza, ale nie wymaga złożenia oferty na zaproponowan</w:t>
      </w:r>
      <w:r w:rsidR="00BD30D6">
        <w:rPr>
          <w:rFonts w:ascii="Arial" w:hAnsi="Arial" w:cs="Arial"/>
          <w:color w:val="000000" w:themeColor="text1"/>
          <w:sz w:val="22"/>
          <w:szCs w:val="22"/>
        </w:rPr>
        <w:t xml:space="preserve">y </w:t>
      </w:r>
      <w:r w:rsidR="00BD30D6" w:rsidRPr="00BD30D6">
        <w:rPr>
          <w:rFonts w:ascii="Arial" w:hAnsi="Arial" w:cs="Arial"/>
          <w:color w:val="000000" w:themeColor="text1"/>
          <w:sz w:val="22"/>
          <w:szCs w:val="22"/>
        </w:rPr>
        <w:t>produkt</w:t>
      </w:r>
    </w:p>
    <w:p w14:paraId="1192B43E" w14:textId="77777777" w:rsidR="00BD30D6" w:rsidRPr="00A42EFB" w:rsidRDefault="00BD30D6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8F5E853" w14:textId="4419782E" w:rsidR="00DF75E7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Poniższe pytania dotyczą opisu przedmiotu zamówienia w Pakiecie nr 1 poz. 331 w przedmiotowym postępowaniu:</w:t>
      </w:r>
    </w:p>
    <w:p w14:paraId="45D17DEA" w14:textId="77777777" w:rsidR="00D9452D" w:rsidRPr="00A42EFB" w:rsidRDefault="00D9452D" w:rsidP="00D9452D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3. Czy w Pakiecie nr 1 poz. 331 Zamawiający dopuści zaoferowanie produktu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TribioDr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zawierającego 1,6 mld CFU kultur 3 różnych szczepów bakterii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probiotycznych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Lactobacillus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acidophilus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Lactobacillus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delbrueckii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subsp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bulgaricus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Bifidobacterium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lactis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>)?</w:t>
      </w:r>
    </w:p>
    <w:p w14:paraId="6A0BA704" w14:textId="26C15E0B" w:rsidR="00DF75E7" w:rsidRPr="00A42EFB" w:rsidRDefault="00D9452D" w:rsidP="00DF75E7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Odp.</w:t>
      </w:r>
      <w:r w:rsidR="00DF75E7" w:rsidRPr="00A42EF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D30D6" w:rsidRPr="00BD30D6">
        <w:rPr>
          <w:rFonts w:ascii="Arial" w:hAnsi="Arial" w:cs="Arial"/>
          <w:color w:val="000000" w:themeColor="text1"/>
          <w:sz w:val="22"/>
          <w:szCs w:val="22"/>
        </w:rPr>
        <w:t>Zamawiający dopuszcza, ale nie wymaga złożenia oferty na zaproponowany produkt</w:t>
      </w:r>
    </w:p>
    <w:p w14:paraId="4B21DBF0" w14:textId="5C133D50" w:rsidR="001B0DC4" w:rsidRPr="00A42EFB" w:rsidRDefault="001B0DC4" w:rsidP="00D9452D">
      <w:pPr>
        <w:pStyle w:val="Akapitzlist"/>
        <w:ind w:left="0"/>
        <w:rPr>
          <w:rFonts w:ascii="Arial" w:hAnsi="Arial"/>
          <w:color w:val="000000" w:themeColor="text1"/>
          <w:sz w:val="22"/>
          <w:szCs w:val="22"/>
        </w:rPr>
      </w:pPr>
    </w:p>
    <w:p w14:paraId="1DCE6A4D" w14:textId="77777777" w:rsidR="001B0DC4" w:rsidRPr="00A42EFB" w:rsidRDefault="001B0DC4" w:rsidP="00D9452D">
      <w:pPr>
        <w:pStyle w:val="Akapitzlist"/>
        <w:ind w:left="0"/>
        <w:rPr>
          <w:rFonts w:ascii="Arial" w:hAnsi="Arial"/>
          <w:color w:val="000000" w:themeColor="text1"/>
          <w:sz w:val="22"/>
          <w:szCs w:val="22"/>
        </w:rPr>
      </w:pPr>
    </w:p>
    <w:p w14:paraId="69527BED" w14:textId="6CFF6B90" w:rsidR="00AE5E4E" w:rsidRPr="00A42EFB" w:rsidRDefault="00F80546">
      <w:pPr>
        <w:pStyle w:val="Akapitzlist"/>
        <w:rPr>
          <w:rFonts w:ascii="Arial" w:hAnsi="Arial" w:cstheme="minorHAnsi"/>
          <w:color w:val="000000" w:themeColor="text1"/>
          <w:sz w:val="22"/>
          <w:szCs w:val="22"/>
        </w:rPr>
      </w:pP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</w: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</w: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</w: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  <w:t>Z poważaniem</w:t>
      </w:r>
    </w:p>
    <w:p w14:paraId="1C691674" w14:textId="77777777" w:rsidR="00AE5E4E" w:rsidRDefault="00AE5E4E">
      <w:pPr>
        <w:pStyle w:val="Akapitzlist"/>
        <w:ind w:left="360"/>
        <w:jc w:val="both"/>
      </w:pPr>
    </w:p>
    <w:sectPr w:rsidR="00AE5E4E">
      <w:pgSz w:w="11906" w:h="16838"/>
      <w:pgMar w:top="1134" w:right="1121" w:bottom="1134" w:left="1155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04A"/>
    <w:multiLevelType w:val="hybridMultilevel"/>
    <w:tmpl w:val="7FCE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B38"/>
    <w:multiLevelType w:val="hybridMultilevel"/>
    <w:tmpl w:val="A6963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11664"/>
    <w:multiLevelType w:val="multilevel"/>
    <w:tmpl w:val="6E289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84EA1"/>
    <w:multiLevelType w:val="multilevel"/>
    <w:tmpl w:val="79C29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74F1E"/>
    <w:multiLevelType w:val="hybridMultilevel"/>
    <w:tmpl w:val="10DC0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72415">
    <w:abstractNumId w:val="2"/>
  </w:num>
  <w:num w:numId="2" w16cid:durableId="1608195413">
    <w:abstractNumId w:val="3"/>
  </w:num>
  <w:num w:numId="3" w16cid:durableId="72974100">
    <w:abstractNumId w:val="4"/>
  </w:num>
  <w:num w:numId="4" w16cid:durableId="60905499">
    <w:abstractNumId w:val="0"/>
  </w:num>
  <w:num w:numId="5" w16cid:durableId="74685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E"/>
    <w:rsid w:val="00164F73"/>
    <w:rsid w:val="001B0DC4"/>
    <w:rsid w:val="00336A6D"/>
    <w:rsid w:val="005E3868"/>
    <w:rsid w:val="007B27EF"/>
    <w:rsid w:val="00837155"/>
    <w:rsid w:val="00927FB4"/>
    <w:rsid w:val="00A16436"/>
    <w:rsid w:val="00A42EFB"/>
    <w:rsid w:val="00AE5E4E"/>
    <w:rsid w:val="00BD30D6"/>
    <w:rsid w:val="00D9452D"/>
    <w:rsid w:val="00DF75E7"/>
    <w:rsid w:val="00EE3DFD"/>
    <w:rsid w:val="00EE6800"/>
    <w:rsid w:val="00F80546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6D6D"/>
  <w15:docId w15:val="{17A6D010-F76E-4776-9B1B-0A2B4932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AF3"/>
    <w:pPr>
      <w:spacing w:line="271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b/>
      <w:sz w:val="20"/>
    </w:rPr>
  </w:style>
  <w:style w:type="character" w:customStyle="1" w:styleId="ListLabel2">
    <w:name w:val="ListLabel 2"/>
    <w:qFormat/>
    <w:rPr>
      <w:rFonts w:eastAsia="Calibri"/>
      <w:b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F10AF3"/>
    <w:pPr>
      <w:ind w:left="720"/>
      <w:contextualSpacing/>
    </w:pPr>
    <w:rPr>
      <w:rFonts w:cs="Mangal"/>
      <w:szCs w:val="21"/>
    </w:rPr>
  </w:style>
  <w:style w:type="paragraph" w:styleId="Bezodstpw">
    <w:name w:val="No Spacing"/>
    <w:qFormat/>
    <w:rPr>
      <w:color w:val="00000A"/>
      <w:sz w:val="24"/>
    </w:rPr>
  </w:style>
  <w:style w:type="paragraph" w:styleId="NormalnyWeb">
    <w:name w:val="Normal (Web)"/>
    <w:basedOn w:val="Normalny"/>
    <w:uiPriority w:val="99"/>
    <w:semiHidden/>
    <w:unhideWhenUsed/>
    <w:rsid w:val="00336A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5</cp:revision>
  <cp:lastPrinted>2023-07-03T07:41:00Z</cp:lastPrinted>
  <dcterms:created xsi:type="dcterms:W3CDTF">2023-07-03T06:10:00Z</dcterms:created>
  <dcterms:modified xsi:type="dcterms:W3CDTF">2023-07-03T07:42:00Z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