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1EDACDD2" w:rsidR="00AD2627" w:rsidRPr="00042E5D" w:rsidRDefault="00AD2627" w:rsidP="00042E5D">
      <w:pPr>
        <w:tabs>
          <w:tab w:val="left" w:pos="540"/>
        </w:tabs>
        <w:jc w:val="both"/>
        <w:rPr>
          <w:rFonts w:ascii="Verdana" w:hAnsi="Verdana"/>
          <w:b/>
          <w:sz w:val="20"/>
          <w:szCs w:val="20"/>
        </w:rPr>
      </w:pPr>
      <w:r w:rsidRPr="00042E5D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042E5D">
        <w:rPr>
          <w:rFonts w:ascii="Verdana" w:hAnsi="Verdana" w:cs="Arial"/>
          <w:sz w:val="18"/>
          <w:szCs w:val="18"/>
        </w:rPr>
        <w:t xml:space="preserve">Dz. U. z 2022 r. poz. 1710 </w:t>
      </w:r>
      <w:proofErr w:type="spellStart"/>
      <w:r w:rsidR="00CA390E" w:rsidRPr="00042E5D">
        <w:rPr>
          <w:rFonts w:ascii="Verdana" w:hAnsi="Verdana" w:cs="Arial"/>
          <w:sz w:val="18"/>
          <w:szCs w:val="18"/>
        </w:rPr>
        <w:t>t.j</w:t>
      </w:r>
      <w:proofErr w:type="spellEnd"/>
      <w:r w:rsidR="00CA390E" w:rsidRPr="00042E5D">
        <w:rPr>
          <w:rFonts w:ascii="Verdana" w:hAnsi="Verdana" w:cs="Arial"/>
          <w:sz w:val="18"/>
          <w:szCs w:val="18"/>
        </w:rPr>
        <w:t>.</w:t>
      </w:r>
      <w:r w:rsidRPr="00042E5D">
        <w:rPr>
          <w:rFonts w:ascii="Verdana" w:hAnsi="Verdana" w:cs="Arial"/>
          <w:sz w:val="18"/>
          <w:szCs w:val="18"/>
        </w:rPr>
        <w:t xml:space="preserve">) na </w:t>
      </w:r>
      <w:r w:rsidR="00D351FC" w:rsidRPr="00042E5D">
        <w:rPr>
          <w:rFonts w:ascii="Verdana" w:hAnsi="Verdana" w:cs="Arial"/>
          <w:sz w:val="18"/>
          <w:szCs w:val="18"/>
        </w:rPr>
        <w:t>dostawy</w:t>
      </w:r>
      <w:r w:rsidRPr="00042E5D">
        <w:rPr>
          <w:rFonts w:ascii="Verdana" w:hAnsi="Verdana" w:cs="Arial"/>
          <w:sz w:val="18"/>
          <w:szCs w:val="18"/>
        </w:rPr>
        <w:t xml:space="preserve"> pn.: „</w:t>
      </w:r>
      <w:r w:rsidR="005C334B" w:rsidRPr="005C334B">
        <w:rPr>
          <w:rFonts w:ascii="Verdana" w:hAnsi="Verdana" w:cs="Calibri"/>
          <w:b/>
          <w:bCs/>
          <w:sz w:val="18"/>
          <w:szCs w:val="18"/>
          <w:lang w:bidi="pl-PL"/>
        </w:rPr>
        <w:t>Zakup medycznego sprzętu jednorazowego, akcesoriów medycznych, środków do dezynfekcji - część 1 - glukometry i paski oraz część 2 - cewniki jednorazowe i drobny sprzęt medyczny</w:t>
      </w:r>
      <w:r w:rsidRPr="00042E5D">
        <w:rPr>
          <w:rFonts w:ascii="Verdana" w:hAnsi="Verdana" w:cs="Arial"/>
          <w:sz w:val="18"/>
          <w:szCs w:val="18"/>
        </w:rPr>
        <w:t>”, oświadczam, co następuje</w:t>
      </w:r>
      <w:r w:rsidRPr="00042E5D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57CCC1AE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1C4698">
        <w:rPr>
          <w:rFonts w:ascii="Verdana" w:hAnsi="Verdana" w:cs="Arial"/>
          <w:sz w:val="18"/>
          <w:szCs w:val="18"/>
        </w:rPr>
        <w:t>.</w:t>
      </w:r>
      <w:bookmarkStart w:id="1" w:name="_GoBack"/>
      <w:bookmarkEnd w:id="1"/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9"/>
          <w:footerReference w:type="first" r:id="rId10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44850B87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 xml:space="preserve">pn. </w:t>
      </w:r>
      <w:r w:rsidR="005C334B" w:rsidRPr="005C334B">
        <w:rPr>
          <w:rFonts w:ascii="Verdana" w:hAnsi="Verdana" w:cs="Arial"/>
          <w:b/>
          <w:bCs/>
          <w:sz w:val="20"/>
          <w:szCs w:val="21"/>
        </w:rPr>
        <w:t>Zakup medycznego sprzętu jednorazowego, akcesoriów medycznych, środków do dezynfekcji - część 1 - glukometry i paski oraz część 2 - cewniki jednorazowe i drobny sprzęt medyczny</w:t>
      </w:r>
      <w:r w:rsidR="00477106">
        <w:rPr>
          <w:rFonts w:ascii="Verdana" w:hAnsi="Verdana" w:cs="Arial"/>
          <w:sz w:val="18"/>
          <w:szCs w:val="20"/>
        </w:rPr>
        <w:t xml:space="preserve">, </w:t>
      </w:r>
      <w:r w:rsidRPr="00D036D1">
        <w:rPr>
          <w:rFonts w:ascii="Verdana" w:hAnsi="Verdana" w:cs="Arial"/>
          <w:sz w:val="20"/>
          <w:szCs w:val="21"/>
        </w:rPr>
        <w:t xml:space="preserve">prowadzonego przez </w:t>
      </w:r>
      <w:r w:rsidR="00477106">
        <w:rPr>
          <w:rFonts w:ascii="Verdana" w:hAnsi="Verdana" w:cs="Arial"/>
          <w:sz w:val="20"/>
          <w:szCs w:val="21"/>
        </w:rPr>
        <w:t xml:space="preserve">Pogotowie </w:t>
      </w:r>
      <w:r w:rsidR="002F2166">
        <w:rPr>
          <w:rFonts w:ascii="Verdana" w:hAnsi="Verdana" w:cs="Arial"/>
          <w:sz w:val="20"/>
          <w:szCs w:val="21"/>
        </w:rPr>
        <w:t>R</w:t>
      </w:r>
      <w:r w:rsidR="00477106">
        <w:rPr>
          <w:rFonts w:ascii="Verdana" w:hAnsi="Verdana" w:cs="Arial"/>
          <w:sz w:val="20"/>
          <w:szCs w:val="21"/>
        </w:rPr>
        <w:t>atunkowe we Wrocławiu</w:t>
      </w:r>
      <w:r w:rsidRPr="00D036D1">
        <w:rPr>
          <w:rFonts w:ascii="Verdana" w:hAnsi="Verdana" w:cs="Arial"/>
          <w:i/>
          <w:sz w:val="14"/>
          <w:szCs w:val="16"/>
        </w:rPr>
        <w:t>),</w:t>
      </w:r>
      <w:r w:rsidRPr="00D036D1">
        <w:rPr>
          <w:rFonts w:ascii="Verdana" w:hAnsi="Verdana" w:cs="Arial"/>
          <w:i/>
          <w:sz w:val="16"/>
          <w:szCs w:val="18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036D1">
        <w:rPr>
          <w:rFonts w:ascii="Verdana" w:hAnsi="Verdana" w:cs="Arial"/>
          <w:sz w:val="20"/>
          <w:szCs w:val="21"/>
        </w:rPr>
        <w:lastRenderedPageBreak/>
        <w:t>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3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3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5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5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lastRenderedPageBreak/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6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6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1"/>
      <w:headerReference w:type="first" r:id="rId12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B120A" w14:textId="627140F6" w:rsidR="002F2166" w:rsidRDefault="00920253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Zakup medycznego sprzętu jednorazowego, akcesoriów medycznych, środków do dezynfekcji </w:t>
    </w:r>
    <w:r w:rsidR="002F2166">
      <w:rPr>
        <w:rFonts w:ascii="Verdana" w:hAnsi="Verdana"/>
        <w:sz w:val="16"/>
        <w:szCs w:val="16"/>
      </w:rPr>
      <w:t xml:space="preserve"> </w:t>
    </w:r>
    <w:r w:rsidR="002F2166" w:rsidRPr="00187C08">
      <w:rPr>
        <w:rFonts w:ascii="Verdana" w:hAnsi="Verdana"/>
        <w:sz w:val="16"/>
        <w:szCs w:val="16"/>
      </w:rPr>
      <w:t xml:space="preserve"> </w:t>
    </w:r>
    <w:r w:rsidR="002F2166">
      <w:rPr>
        <w:rFonts w:ascii="Verdana" w:hAnsi="Verdana"/>
        <w:sz w:val="16"/>
        <w:szCs w:val="16"/>
      </w:rPr>
      <w:br/>
    </w:r>
  </w:p>
  <w:p w14:paraId="7958B998" w14:textId="5934EC16" w:rsidR="002F2166" w:rsidRPr="0021748D" w:rsidRDefault="002F2166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1C4698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15224A4F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292EB6">
      <w:rPr>
        <w:rFonts w:ascii="Verdana" w:hAnsi="Verdana"/>
        <w:color w:val="7F7F7F" w:themeColor="text1" w:themeTint="80"/>
        <w:sz w:val="18"/>
      </w:rPr>
      <w:t>14</w:t>
    </w:r>
    <w:r w:rsidRPr="00A547BC">
      <w:rPr>
        <w:rFonts w:ascii="Verdana" w:hAnsi="Verdana"/>
        <w:color w:val="7F7F7F" w:themeColor="text1" w:themeTint="80"/>
        <w:sz w:val="18"/>
      </w:rPr>
      <w:t>/202</w:t>
    </w:r>
    <w:r>
      <w:rPr>
        <w:rFonts w:ascii="Verdana" w:hAnsi="Verdana"/>
        <w:color w:val="7F7F7F" w:themeColor="text1" w:themeTint="80"/>
        <w:sz w:val="18"/>
      </w:rPr>
      <w:t>3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2"/>
  </w:num>
  <w:num w:numId="5">
    <w:abstractNumId w:val="21"/>
  </w:num>
  <w:num w:numId="6">
    <w:abstractNumId w:val="29"/>
  </w:num>
  <w:num w:numId="7">
    <w:abstractNumId w:val="2"/>
  </w:num>
  <w:num w:numId="8">
    <w:abstractNumId w:val="15"/>
  </w:num>
  <w:num w:numId="9">
    <w:abstractNumId w:val="30"/>
  </w:num>
  <w:num w:numId="10">
    <w:abstractNumId w:val="4"/>
  </w:num>
  <w:num w:numId="11">
    <w:abstractNumId w:val="18"/>
  </w:num>
  <w:num w:numId="12">
    <w:abstractNumId w:val="39"/>
  </w:num>
  <w:num w:numId="13">
    <w:abstractNumId w:val="28"/>
  </w:num>
  <w:num w:numId="14">
    <w:abstractNumId w:val="10"/>
  </w:num>
  <w:num w:numId="15">
    <w:abstractNumId w:val="26"/>
  </w:num>
  <w:num w:numId="16">
    <w:abstractNumId w:val="7"/>
  </w:num>
  <w:num w:numId="17">
    <w:abstractNumId w:val="27"/>
  </w:num>
  <w:num w:numId="18">
    <w:abstractNumId w:val="34"/>
  </w:num>
  <w:num w:numId="19">
    <w:abstractNumId w:val="0"/>
  </w:num>
  <w:num w:numId="20">
    <w:abstractNumId w:val="37"/>
  </w:num>
  <w:num w:numId="21">
    <w:abstractNumId w:val="19"/>
  </w:num>
  <w:num w:numId="22">
    <w:abstractNumId w:val="31"/>
  </w:num>
  <w:num w:numId="23">
    <w:abstractNumId w:val="13"/>
  </w:num>
  <w:num w:numId="24">
    <w:abstractNumId w:val="12"/>
  </w:num>
  <w:num w:numId="25">
    <w:abstractNumId w:val="23"/>
  </w:num>
  <w:num w:numId="26">
    <w:abstractNumId w:val="35"/>
  </w:num>
  <w:num w:numId="27">
    <w:abstractNumId w:val="8"/>
  </w:num>
  <w:num w:numId="28">
    <w:abstractNumId w:val="36"/>
  </w:num>
  <w:num w:numId="29">
    <w:abstractNumId w:val="14"/>
  </w:num>
  <w:num w:numId="30">
    <w:abstractNumId w:val="6"/>
  </w:num>
  <w:num w:numId="31">
    <w:abstractNumId w:val="11"/>
  </w:num>
  <w:num w:numId="32">
    <w:abstractNumId w:val="38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33"/>
  </w:num>
  <w:num w:numId="38">
    <w:abstractNumId w:val="24"/>
  </w:num>
  <w:num w:numId="39">
    <w:abstractNumId w:val="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2E5D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698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EB6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60B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34B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041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542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0253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2D06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9360-9D4E-4D19-BBB6-ABA2BF94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6960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2023-08-24T06:51:00Z</dcterms:modified>
</cp:coreProperties>
</file>