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72"/>
        <w:ind w:left="0" w:right="0"/>
        <w:jc w:val="right"/>
        <w:rPr>
          <w:color w:val="000000"/>
        </w:rPr>
      </w:pPr>
      <w:r>
        <w:rPr>
          <w:color w:val="000000"/>
        </w:rPr>
        <w:t>Załącznik Nr 4</w:t>
      </w:r>
    </w:p>
    <w:p>
      <w:pPr>
        <w:pStyle w:val="5"/>
        <w:ind w:left="0" w:leftChars="0" w:firstLine="0" w:firstLineChars="0"/>
      </w:pPr>
    </w:p>
    <w:p>
      <w:pPr>
        <w:pStyle w:val="5"/>
        <w:ind w:left="0" w:leftChars="0" w:firstLine="0" w:firstLineChars="0"/>
      </w:pPr>
    </w:p>
    <w:p>
      <w:pPr>
        <w:pStyle w:val="5"/>
        <w:ind w:left="0" w:leftChars="0" w:firstLine="0" w:firstLineChars="0"/>
      </w:pPr>
    </w:p>
    <w:p>
      <w:pPr>
        <w:pStyle w:val="2"/>
        <w:spacing w:before="72"/>
        <w:ind w:left="0" w:right="108"/>
        <w:rPr>
          <w:color w:val="000000"/>
        </w:rPr>
      </w:pPr>
      <w:r>
        <w:rPr>
          <w:color w:val="000000"/>
        </w:rPr>
        <w:t>PROJEKT UMOWY</w:t>
      </w:r>
    </w:p>
    <w:p>
      <w:pPr>
        <w:pStyle w:val="5"/>
        <w:ind w:left="0"/>
        <w:jc w:val="left"/>
        <w:rPr>
          <w:color w:val="000000"/>
        </w:rPr>
      </w:pPr>
    </w:p>
    <w:p>
      <w:pPr>
        <w:pStyle w:val="5"/>
        <w:spacing w:line="276" w:lineRule="auto"/>
        <w:ind w:left="0"/>
        <w:jc w:val="left"/>
        <w:rPr>
          <w:color w:val="000000"/>
        </w:rPr>
      </w:pPr>
    </w:p>
    <w:p>
      <w:pPr>
        <w:pStyle w:val="5"/>
        <w:spacing w:line="276" w:lineRule="auto"/>
        <w:ind w:left="0"/>
        <w:jc w:val="left"/>
      </w:pPr>
      <w:r>
        <w:rPr>
          <w:color w:val="000000"/>
        </w:rPr>
        <w:t>zawarta w dniu …………....................r. pomiędzy:</w:t>
      </w:r>
    </w:p>
    <w:p>
      <w:pPr>
        <w:pStyle w:val="5"/>
        <w:spacing w:line="276" w:lineRule="auto"/>
        <w:ind w:left="0"/>
        <w:rPr>
          <w:color w:val="000000"/>
        </w:rPr>
      </w:pPr>
      <w:r>
        <w:rPr>
          <w:color w:val="000000"/>
        </w:rPr>
        <w:t>Gminą Nowy Staw, z siedzibą przy ul. Gen. J. Bema 1, 82-230 Nowy Staw, NIP: 579-204-67-81</w:t>
      </w:r>
    </w:p>
    <w:p>
      <w:pPr>
        <w:pStyle w:val="5"/>
        <w:spacing w:line="276" w:lineRule="auto"/>
        <w:ind w:left="0"/>
        <w:jc w:val="left"/>
        <w:rPr>
          <w:color w:val="000000"/>
        </w:rPr>
      </w:pPr>
      <w:r>
        <w:rPr>
          <w:color w:val="000000"/>
        </w:rPr>
        <w:t>reprezentowaną przez:</w:t>
      </w:r>
    </w:p>
    <w:p>
      <w:pPr>
        <w:pStyle w:val="5"/>
        <w:spacing w:line="276" w:lineRule="auto"/>
        <w:ind w:left="0"/>
        <w:jc w:val="left"/>
        <w:rPr>
          <w:color w:val="000000"/>
        </w:rPr>
      </w:pPr>
      <w:r>
        <w:rPr>
          <w:b/>
          <w:bCs/>
          <w:color w:val="000000"/>
        </w:rPr>
        <w:t>Burmistrza Nowego Stawu – Jerzego Szałacha</w:t>
      </w:r>
      <w:r>
        <w:rPr>
          <w:color w:val="000000"/>
        </w:rPr>
        <w:t>,</w:t>
      </w:r>
    </w:p>
    <w:p>
      <w:pPr>
        <w:pStyle w:val="5"/>
        <w:spacing w:line="276" w:lineRule="auto"/>
        <w:ind w:left="0"/>
        <w:jc w:val="left"/>
        <w:rPr>
          <w:color w:val="000000"/>
        </w:rPr>
      </w:pPr>
      <w:r>
        <w:rPr>
          <w:color w:val="000000"/>
        </w:rPr>
        <w:t xml:space="preserve">przy kontrasygnacie </w:t>
      </w:r>
      <w:r>
        <w:rPr>
          <w:b/>
          <w:bCs/>
          <w:color w:val="000000"/>
        </w:rPr>
        <w:t>Skarbnika Gminy – Hanny Gil</w:t>
      </w:r>
      <w:r>
        <w:rPr>
          <w:color w:val="000000"/>
        </w:rPr>
        <w:t>,</w:t>
      </w:r>
    </w:p>
    <w:p>
      <w:pPr>
        <w:spacing w:line="276" w:lineRule="auto"/>
      </w:pPr>
      <w:r>
        <w:rPr>
          <w:color w:val="000000"/>
        </w:rPr>
        <w:t xml:space="preserve">zwaną w dalszej części umowy </w:t>
      </w:r>
      <w:r>
        <w:rPr>
          <w:b/>
          <w:bCs/>
          <w:color w:val="000000"/>
        </w:rPr>
        <w:t xml:space="preserve">,,Zamawiającym" </w:t>
      </w:r>
    </w:p>
    <w:p>
      <w:pPr>
        <w:spacing w:line="276" w:lineRule="auto"/>
        <w:rPr>
          <w:color w:val="000000"/>
        </w:rPr>
      </w:pPr>
      <w:r>
        <w:rPr>
          <w:color w:val="000000"/>
        </w:rPr>
        <w:t>a</w:t>
      </w:r>
    </w:p>
    <w:p>
      <w:pPr>
        <w:spacing w:line="276" w:lineRule="auto"/>
      </w:pPr>
      <w:r>
        <w:rPr>
          <w:color w:val="000000"/>
        </w:rPr>
        <w:t xml:space="preserve">(Firma, siedziba, </w:t>
      </w:r>
      <w:r>
        <w:rPr>
          <w:color w:val="000000"/>
          <w:spacing w:val="-13"/>
        </w:rPr>
        <w:t>NIP),</w:t>
      </w:r>
    </w:p>
    <w:p>
      <w:pPr>
        <w:pStyle w:val="5"/>
        <w:spacing w:line="276" w:lineRule="auto"/>
        <w:ind w:left="0"/>
        <w:jc w:val="left"/>
      </w:pPr>
      <w:r>
        <w:rPr>
          <w:color w:val="000000"/>
        </w:rPr>
        <w:t xml:space="preserve">reprezentowaną </w:t>
      </w:r>
      <w:r>
        <w:rPr>
          <w:color w:val="000000"/>
          <w:spacing w:val="-8"/>
        </w:rPr>
        <w:t xml:space="preserve">przez: </w:t>
      </w:r>
    </w:p>
    <w:p>
      <w:pPr>
        <w:pStyle w:val="5"/>
        <w:spacing w:before="1" w:line="276" w:lineRule="auto"/>
        <w:ind w:left="0"/>
        <w:jc w:val="left"/>
        <w:rPr>
          <w:color w:val="000000"/>
        </w:rPr>
      </w:pPr>
      <w:r>
        <w:rPr>
          <w:color w:val="000000"/>
        </w:rPr>
        <w:t>............................…………....…</w:t>
      </w:r>
    </w:p>
    <w:p>
      <w:pPr>
        <w:pStyle w:val="5"/>
        <w:spacing w:line="276" w:lineRule="auto"/>
        <w:ind w:left="0"/>
        <w:jc w:val="left"/>
      </w:pPr>
      <w:r>
        <w:rPr>
          <w:color w:val="000000"/>
        </w:rPr>
        <w:t>zwaną dalej</w:t>
      </w:r>
      <w:r>
        <w:rPr>
          <w:b/>
          <w:bCs/>
          <w:color w:val="000000"/>
        </w:rPr>
        <w:t xml:space="preserve"> „Wykonawcą”</w:t>
      </w:r>
      <w:r>
        <w:rPr>
          <w:color w:val="000000"/>
        </w:rPr>
        <w:t xml:space="preserve">, </w:t>
      </w:r>
    </w:p>
    <w:p>
      <w:pPr>
        <w:pStyle w:val="5"/>
        <w:spacing w:line="276" w:lineRule="auto"/>
        <w:jc w:val="left"/>
        <w:rPr>
          <w:color w:val="000000"/>
        </w:rPr>
      </w:pPr>
    </w:p>
    <w:p>
      <w:pPr>
        <w:pStyle w:val="5"/>
        <w:spacing w:line="276" w:lineRule="auto"/>
        <w:ind w:left="0" w:right="3515"/>
        <w:jc w:val="left"/>
      </w:pPr>
      <w:r>
        <w:rPr>
          <w:color w:val="000000"/>
        </w:rPr>
        <w:t xml:space="preserve">zwanymi dalej łącznie </w:t>
      </w:r>
      <w:r>
        <w:rPr>
          <w:b/>
          <w:bCs/>
          <w:color w:val="000000"/>
        </w:rPr>
        <w:t>„Stronami”.</w:t>
      </w:r>
    </w:p>
    <w:p>
      <w:pPr>
        <w:pStyle w:val="5"/>
        <w:spacing w:line="276" w:lineRule="auto"/>
        <w:ind w:left="0"/>
        <w:rPr>
          <w:color w:val="000000"/>
        </w:rPr>
      </w:pPr>
    </w:p>
    <w:p>
      <w:pPr>
        <w:pStyle w:val="5"/>
        <w:spacing w:line="276" w:lineRule="auto"/>
        <w:ind w:left="0"/>
        <w:rPr>
          <w:color w:val="000000"/>
        </w:rPr>
      </w:pPr>
      <w:r>
        <w:rPr>
          <w:color w:val="000000"/>
        </w:rPr>
        <w:t>na podstawie dokonanego przez Zamawiającego wyboru oferty Wykonawcy w postępowaniu o udzielenie zamówienia publicznego prowadzonego w trybie podstawowym zgodnie z art. 275 pkt 2 ustawy  z dnia 11 września 2019 r. Prawo Zamówień Publicznych (</w:t>
      </w:r>
      <w:r>
        <w:rPr>
          <w:color w:val="000000"/>
          <w:highlight w:val="white"/>
        </w:rPr>
        <w:t xml:space="preserve">Dz. U. </w:t>
      </w:r>
      <w:r>
        <w:rPr>
          <w:rFonts w:eastAsia="NSimSun"/>
          <w:color w:val="000000"/>
          <w:kern w:val="2"/>
          <w:highlight w:val="white"/>
          <w:lang w:eastAsia="zh-CN" w:bidi="hi-IN"/>
        </w:rPr>
        <w:t>z</w:t>
      </w:r>
      <w:r>
        <w:rPr>
          <w:color w:val="000000"/>
          <w:highlight w:val="white"/>
        </w:rPr>
        <w:t xml:space="preserve"> 2022 r., poz. 1710 z późn. zm.</w:t>
      </w:r>
      <w:r>
        <w:rPr>
          <w:color w:val="000000"/>
        </w:rPr>
        <w:t>), została zawarta umowa o następującej treści:</w:t>
      </w:r>
    </w:p>
    <w:p>
      <w:pPr>
        <w:pStyle w:val="5"/>
        <w:spacing w:line="276" w:lineRule="auto"/>
        <w:ind w:left="0"/>
        <w:rPr>
          <w:color w:val="000000"/>
        </w:rPr>
      </w:pPr>
    </w:p>
    <w:p>
      <w:pPr>
        <w:pStyle w:val="5"/>
        <w:spacing w:line="276" w:lineRule="auto"/>
        <w:ind w:left="0"/>
        <w:rPr>
          <w:color w:val="000000"/>
        </w:rPr>
      </w:pPr>
    </w:p>
    <w:p>
      <w:pPr>
        <w:pStyle w:val="5"/>
        <w:spacing w:line="276" w:lineRule="auto"/>
        <w:ind w:left="0"/>
        <w:jc w:val="center"/>
        <w:rPr>
          <w:b/>
          <w:bCs/>
          <w:color w:val="000000"/>
        </w:rPr>
      </w:pPr>
      <w:r>
        <w:rPr>
          <w:b/>
          <w:bCs/>
          <w:color w:val="000000"/>
        </w:rPr>
        <w:t>§ 1</w:t>
      </w:r>
    </w:p>
    <w:p>
      <w:pPr>
        <w:pStyle w:val="5"/>
        <w:spacing w:line="276" w:lineRule="auto"/>
        <w:ind w:left="0"/>
        <w:jc w:val="center"/>
        <w:rPr>
          <w:b/>
          <w:bCs/>
          <w:color w:val="000000"/>
        </w:rPr>
      </w:pPr>
      <w:r>
        <w:rPr>
          <w:b/>
          <w:bCs/>
          <w:color w:val="000000"/>
        </w:rPr>
        <w:t>Słownik użytych pojęć</w:t>
      </w:r>
    </w:p>
    <w:p>
      <w:pPr>
        <w:pStyle w:val="5"/>
        <w:spacing w:line="276" w:lineRule="auto"/>
        <w:ind w:left="0"/>
        <w:jc w:val="center"/>
        <w:rPr>
          <w:b/>
          <w:bCs/>
          <w:color w:val="000000"/>
        </w:rPr>
      </w:pPr>
    </w:p>
    <w:p>
      <w:pPr>
        <w:pStyle w:val="5"/>
        <w:spacing w:line="276" w:lineRule="auto"/>
        <w:ind w:left="0"/>
        <w:rPr>
          <w:color w:val="000000"/>
        </w:rPr>
      </w:pPr>
      <w:r>
        <w:rPr>
          <w:color w:val="000000"/>
        </w:rPr>
        <w:t>Na potrzeby niniejszej Umowy Strony zgodnie przyjmują następujące definicje:</w:t>
      </w:r>
    </w:p>
    <w:p>
      <w:pPr>
        <w:pStyle w:val="5"/>
        <w:numPr>
          <w:ilvl w:val="0"/>
          <w:numId w:val="2"/>
        </w:numPr>
        <w:spacing w:line="276" w:lineRule="auto"/>
        <w:rPr>
          <w:color w:val="000000"/>
        </w:rPr>
      </w:pPr>
      <w:r>
        <w:rPr>
          <w:b/>
          <w:bCs/>
          <w:color w:val="000000"/>
        </w:rPr>
        <w:t>Umowa/Zamówienie</w:t>
      </w:r>
      <w:r>
        <w:rPr>
          <w:color w:val="000000"/>
        </w:rPr>
        <w:t xml:space="preserve"> – niniejsza Umowa zawarta między Zamawiającym a Wykonawcą zgodnie z przepisami Pzp,</w:t>
      </w:r>
    </w:p>
    <w:p>
      <w:pPr>
        <w:pStyle w:val="5"/>
        <w:numPr>
          <w:ilvl w:val="0"/>
          <w:numId w:val="2"/>
        </w:numPr>
        <w:spacing w:line="276" w:lineRule="auto"/>
        <w:rPr>
          <w:color w:val="000000"/>
        </w:rPr>
      </w:pPr>
      <w:r>
        <w:rPr>
          <w:b/>
          <w:bCs/>
          <w:color w:val="000000"/>
        </w:rPr>
        <w:t>Strona</w:t>
      </w:r>
      <w:r>
        <w:rPr>
          <w:color w:val="000000"/>
        </w:rPr>
        <w:t xml:space="preserve"> – Zamawiający lub Wykonawca,</w:t>
      </w:r>
    </w:p>
    <w:p>
      <w:pPr>
        <w:pStyle w:val="5"/>
        <w:numPr>
          <w:ilvl w:val="0"/>
          <w:numId w:val="2"/>
        </w:numPr>
        <w:spacing w:line="276" w:lineRule="auto"/>
        <w:rPr>
          <w:color w:val="000000"/>
        </w:rPr>
      </w:pPr>
      <w:r>
        <w:rPr>
          <w:b/>
          <w:bCs/>
          <w:color w:val="000000"/>
        </w:rPr>
        <w:t xml:space="preserve">Specyfikacja Warunków Zamówienia, </w:t>
      </w:r>
      <w:r>
        <w:rPr>
          <w:color w:val="000000"/>
        </w:rPr>
        <w:t>w skr. SWZ – Specyfikacja Warunków Zamówienia w przeprowadzonym przez Zamawiającego postępowaniu o udzielenie Zamówienia wraz z wszelkimi wyjaśnieniami, zmianami oraz załącznikami,</w:t>
      </w:r>
    </w:p>
    <w:p>
      <w:pPr>
        <w:pStyle w:val="5"/>
        <w:numPr>
          <w:ilvl w:val="0"/>
          <w:numId w:val="2"/>
        </w:numPr>
        <w:spacing w:line="276" w:lineRule="auto"/>
        <w:rPr>
          <w:color w:val="000000"/>
        </w:rPr>
      </w:pPr>
      <w:r>
        <w:rPr>
          <w:b/>
          <w:bCs/>
          <w:color w:val="000000"/>
        </w:rPr>
        <w:t>Opis przedmiotu zamówienia</w:t>
      </w:r>
      <w:r>
        <w:rPr>
          <w:color w:val="000000"/>
        </w:rPr>
        <w:t xml:space="preserve"> – przedmiot Zamówienia opisany przez Zamawiającego w postanowieniach rozdziału III SWZ oraz załącznikach nr 1A oraz 1B,</w:t>
      </w:r>
    </w:p>
    <w:p>
      <w:pPr>
        <w:pStyle w:val="5"/>
        <w:numPr>
          <w:ilvl w:val="0"/>
          <w:numId w:val="2"/>
        </w:numPr>
        <w:spacing w:line="276" w:lineRule="auto"/>
        <w:rPr>
          <w:color w:val="000000"/>
        </w:rPr>
      </w:pPr>
      <w:r>
        <w:rPr>
          <w:b/>
          <w:bCs/>
          <w:color w:val="000000"/>
        </w:rPr>
        <w:t>Dokumentacja projektow</w:t>
      </w:r>
      <w:r>
        <w:rPr>
          <w:color w:val="000000"/>
        </w:rPr>
        <w:t>a – dokumentacja projektowa stanowiąca Załącznik nr 1A - Opis zamówienia,</w:t>
      </w:r>
    </w:p>
    <w:p>
      <w:pPr>
        <w:pStyle w:val="5"/>
        <w:numPr>
          <w:ilvl w:val="0"/>
          <w:numId w:val="2"/>
        </w:numPr>
        <w:spacing w:line="276" w:lineRule="auto"/>
        <w:rPr>
          <w:color w:val="000000"/>
        </w:rPr>
      </w:pPr>
      <w:r>
        <w:rPr>
          <w:b/>
          <w:bCs/>
          <w:color w:val="000000"/>
        </w:rPr>
        <w:t>STWiORB</w:t>
      </w:r>
      <w:r>
        <w:rPr>
          <w:color w:val="000000"/>
        </w:rPr>
        <w:t xml:space="preserve"> (Specyfikacje Techniczne Wykonania i Odbioru Robót Budowlanych, SST) – zawarte w Załączniku 1A opracowania zawierające w szczególności zbiory wymagań Zamawiającego określających standard i jakość wykonania przez Wykonawcę Robót, w zakresie sposobu wykonania robót budowlanych, właściwości wyrobów budowlanych oraz oceny przez Zamawiającego prawidłowości wykonania przez Wykonawcę poszczególnych Robót,</w:t>
      </w:r>
    </w:p>
    <w:p>
      <w:pPr>
        <w:pStyle w:val="5"/>
        <w:numPr>
          <w:ilvl w:val="0"/>
          <w:numId w:val="2"/>
        </w:numPr>
        <w:spacing w:line="276" w:lineRule="auto"/>
        <w:rPr>
          <w:color w:val="000000"/>
        </w:rPr>
      </w:pPr>
      <w:r>
        <w:rPr>
          <w:b/>
          <w:bCs/>
          <w:color w:val="000000"/>
        </w:rPr>
        <w:t>Roboty –</w:t>
      </w:r>
      <w:r>
        <w:rPr>
          <w:color w:val="000000"/>
        </w:rPr>
        <w:t xml:space="preserve"> ogół robót budowlanych oraz koniecznych do ich wykonania usług, dostaw, montażu lub instalacji i innych czynności, zgodnych z opisem przedmiotu Zamówienia oraz pozwoleniem na budowę, wykonanych przez Wykonawcę zgodnie ze STWiORB oraz postanowieniami Umowy w celu jej wykonania,</w:t>
      </w:r>
    </w:p>
    <w:p>
      <w:pPr>
        <w:pStyle w:val="5"/>
        <w:numPr>
          <w:ilvl w:val="0"/>
          <w:numId w:val="2"/>
        </w:numPr>
        <w:spacing w:line="276" w:lineRule="auto"/>
        <w:rPr>
          <w:color w:val="000000"/>
        </w:rPr>
      </w:pPr>
      <w:r>
        <w:rPr>
          <w:b/>
          <w:bCs/>
          <w:color w:val="000000"/>
        </w:rPr>
        <w:t>Inspektor nadzoru inwestorskiego</w:t>
      </w:r>
      <w:r>
        <w:rPr>
          <w:color w:val="000000"/>
        </w:rPr>
        <w:t xml:space="preserve"> – odpowiedni członek zespołu inspektorów nadzoru inwestorskiego; ilekroć w dokumentach postępowania jest mowa o Inżynierze, należy przez to rozumieć koordynatora czynności zespołu inspektorów nadzoru inwestorskiego, </w:t>
      </w:r>
    </w:p>
    <w:p>
      <w:pPr>
        <w:pStyle w:val="5"/>
        <w:numPr>
          <w:ilvl w:val="0"/>
          <w:numId w:val="2"/>
        </w:numPr>
        <w:spacing w:line="276" w:lineRule="auto"/>
        <w:rPr>
          <w:color w:val="000000"/>
        </w:rPr>
      </w:pPr>
      <w:r>
        <w:rPr>
          <w:b/>
          <w:bCs/>
          <w:color w:val="000000"/>
        </w:rPr>
        <w:t>Umowa o podwykonawstwo</w:t>
      </w:r>
      <w:r>
        <w:rPr>
          <w:color w:val="000000"/>
        </w:rPr>
        <w:t xml:space="preserve"> – umowa w formie pisemnej o charakterze odpłatnym, której przedmiotem są usługi, dostawy lub roboty budowlane stanowiące część Zamówienia, zawarta między Wykonawcą a innym podmiotem (podwykonawcą), a także między podwykonawcą a dalszym podwykonawcą lub między dalszymi podwykonawcami,</w:t>
      </w:r>
    </w:p>
    <w:p>
      <w:pPr>
        <w:pStyle w:val="5"/>
        <w:numPr>
          <w:ilvl w:val="0"/>
          <w:numId w:val="2"/>
        </w:numPr>
        <w:spacing w:line="276" w:lineRule="auto"/>
        <w:rPr>
          <w:color w:val="000000"/>
        </w:rPr>
      </w:pPr>
      <w:r>
        <w:rPr>
          <w:b/>
          <w:bCs/>
          <w:color w:val="000000"/>
        </w:rPr>
        <w:t xml:space="preserve">Pzp </w:t>
      </w:r>
      <w:r>
        <w:rPr>
          <w:color w:val="000000"/>
        </w:rPr>
        <w:t>– ustawa z dnia 11 września 2019 r. Prawo zamówień publicznych (tekst jedn.: Dz.U. z 2022 r., poz. 1710 z poźn. zm.).</w:t>
      </w:r>
    </w:p>
    <w:p>
      <w:pPr>
        <w:pStyle w:val="5"/>
        <w:numPr>
          <w:ilvl w:val="0"/>
          <w:numId w:val="2"/>
        </w:numPr>
        <w:spacing w:line="276" w:lineRule="auto"/>
        <w:rPr>
          <w:color w:val="000000"/>
        </w:rPr>
      </w:pPr>
      <w:r>
        <w:rPr>
          <w:b/>
          <w:bCs/>
          <w:color w:val="000000"/>
        </w:rPr>
        <w:t>Wstępna promesa</w:t>
      </w:r>
      <w:r>
        <w:rPr>
          <w:color w:val="000000"/>
        </w:rPr>
        <w:t xml:space="preserve"> – wstępne zapewnienie finansowania przez Bank Gospodarstwa Krajowego inwestycji pn. „Budowa infrastruktury sportowej i rozbudowa infrastruktury edukacyjnej Zespołu Szkolno-Przedszkolnego w Nowym Stawie” w ramach Programu - Rządowy Fundusz Polski Ład – Program Inwestycji Strategicznych – Edycja 2 – na zasadach określonych we wstępnej promesie nr Edycja2/2021/7076/PolskiLad.</w:t>
      </w:r>
    </w:p>
    <w:p>
      <w:pPr>
        <w:pStyle w:val="5"/>
        <w:numPr>
          <w:ilvl w:val="0"/>
          <w:numId w:val="2"/>
        </w:numPr>
        <w:spacing w:line="276" w:lineRule="auto"/>
        <w:rPr>
          <w:color w:val="000000"/>
        </w:rPr>
      </w:pPr>
      <w:r>
        <w:rPr>
          <w:b/>
          <w:bCs/>
          <w:color w:val="000000"/>
        </w:rPr>
        <w:t>Promesa</w:t>
      </w:r>
      <w:r>
        <w:rPr>
          <w:color w:val="000000"/>
        </w:rPr>
        <w:t xml:space="preserve"> – zapewnienie finansowania przez Bank Gospodarstwa Krajowego inwestycji pn. „Budowa infrastruktury sportowej i rozbudowa infrastruktury edukacyjnej Zespołu Szkolno-Przedszkolnego w Nowym Stawie” w ramach Programu - Rządowy Fundusz Polski Ład – Program Inwestycji Strategicznych – Edycja 2 – na zasadach określonych we wstępnej promesie nr Edycja2/2021/7076/PolskiLad.</w:t>
      </w:r>
    </w:p>
    <w:p>
      <w:pPr>
        <w:pStyle w:val="5"/>
        <w:numPr>
          <w:ilvl w:val="0"/>
          <w:numId w:val="2"/>
        </w:numPr>
        <w:spacing w:line="276" w:lineRule="auto"/>
        <w:rPr>
          <w:b/>
          <w:bCs/>
          <w:color w:val="000000"/>
        </w:rPr>
      </w:pPr>
      <w:r>
        <w:rPr>
          <w:b/>
          <w:bCs/>
          <w:color w:val="000000"/>
        </w:rPr>
        <w:t>Fundusz Rozwoju Kultury Fizycznej zadania inwestycyjnego w ramach programu Sportowa Polska – program rozwoju lokalnej infrastruktury sportowej – edycja 2021 –</w:t>
      </w:r>
      <w:r>
        <w:rPr>
          <w:color w:val="000000"/>
        </w:rPr>
        <w:t xml:space="preserve"> program dofinansowujący inwestycję infrastruktury sportowej na podstawie umowy nr 2021/0186/3154/SubA/DIS/SP/.</w:t>
      </w:r>
    </w:p>
    <w:p>
      <w:pPr>
        <w:pStyle w:val="5"/>
        <w:numPr>
          <w:ilvl w:val="0"/>
          <w:numId w:val="2"/>
        </w:numPr>
        <w:spacing w:line="276" w:lineRule="auto"/>
        <w:rPr>
          <w:color w:val="000000"/>
        </w:rPr>
      </w:pPr>
      <w:r>
        <w:rPr>
          <w:b/>
          <w:bCs/>
          <w:color w:val="000000"/>
        </w:rPr>
        <w:t xml:space="preserve">Rządowy Funduszu Inwestycji Lokalnych (RFIL) </w:t>
      </w:r>
      <w:r>
        <w:rPr>
          <w:color w:val="000000"/>
        </w:rPr>
        <w:t>– program przeznaczony dla inwestycji lokalnych, środki pochodzą z Funduszu Przeciwdziałania COVID-19.</w:t>
      </w:r>
    </w:p>
    <w:p>
      <w:pPr>
        <w:pStyle w:val="5"/>
        <w:numPr>
          <w:ilvl w:val="0"/>
          <w:numId w:val="2"/>
        </w:numPr>
        <w:spacing w:line="276" w:lineRule="auto"/>
        <w:rPr>
          <w:color w:val="000000"/>
        </w:rPr>
      </w:pPr>
      <w:r>
        <w:rPr>
          <w:b/>
          <w:bCs/>
          <w:color w:val="000000"/>
        </w:rPr>
        <w:t xml:space="preserve">Środki własne </w:t>
      </w:r>
      <w:r>
        <w:rPr>
          <w:color w:val="000000"/>
        </w:rPr>
        <w:t>– zasoby finansowe Zamawiającego przeznaczone, jako wkład własny do przedmiotowej inwestycji.</w:t>
      </w:r>
    </w:p>
    <w:p>
      <w:pPr>
        <w:spacing w:line="276" w:lineRule="auto"/>
        <w:jc w:val="center"/>
        <w:rPr>
          <w:b/>
          <w:color w:val="000000"/>
        </w:rPr>
      </w:pPr>
    </w:p>
    <w:p>
      <w:pPr>
        <w:spacing w:line="276" w:lineRule="auto"/>
        <w:jc w:val="center"/>
        <w:rPr>
          <w:b/>
          <w:color w:val="000000"/>
        </w:rPr>
      </w:pPr>
      <w:r>
        <w:rPr>
          <w:b/>
          <w:color w:val="000000"/>
        </w:rPr>
        <w:t>§ 2</w:t>
      </w:r>
    </w:p>
    <w:p>
      <w:pPr>
        <w:spacing w:line="276" w:lineRule="auto"/>
        <w:jc w:val="center"/>
        <w:rPr>
          <w:b/>
          <w:color w:val="000000"/>
        </w:rPr>
      </w:pPr>
      <w:r>
        <w:rPr>
          <w:b/>
          <w:color w:val="000000"/>
        </w:rPr>
        <w:t>Przedmiot umowy</w:t>
      </w:r>
    </w:p>
    <w:p>
      <w:pPr>
        <w:spacing w:line="276" w:lineRule="auto"/>
        <w:jc w:val="center"/>
        <w:rPr>
          <w:b/>
          <w:color w:val="000000"/>
        </w:rPr>
      </w:pPr>
    </w:p>
    <w:p>
      <w:pPr>
        <w:numPr>
          <w:ilvl w:val="0"/>
          <w:numId w:val="3"/>
        </w:numPr>
        <w:tabs>
          <w:tab w:val="left" w:pos="335"/>
          <w:tab w:val="clear" w:pos="720"/>
        </w:tabs>
        <w:spacing w:line="276" w:lineRule="auto"/>
        <w:ind w:left="340" w:hanging="340"/>
        <w:jc w:val="both"/>
      </w:pPr>
      <w:r>
        <w:rPr>
          <w:color w:val="000000"/>
        </w:rPr>
        <w:t xml:space="preserve">Zamawiający zamawia a Wykonawca zobowiązuje się do wykonania </w:t>
      </w:r>
      <w:r>
        <w:rPr>
          <w:rStyle w:val="121"/>
          <w:b w:val="0"/>
          <w:color w:val="000000"/>
        </w:rPr>
        <w:t xml:space="preserve">zadania inwestycyjnego pn. </w:t>
      </w:r>
      <w:bookmarkStart w:id="0" w:name="_Hlk125369417"/>
      <w:r>
        <w:rPr>
          <w:rStyle w:val="121"/>
          <w:rFonts w:eastAsia="NSimSun"/>
          <w:bCs/>
          <w:color w:val="000000"/>
          <w:kern w:val="2"/>
          <w:lang w:eastAsia="zh-CN" w:bidi="hi-IN"/>
        </w:rPr>
        <w:t>„Budowa infrastruktury sportowej i rozbudowa infrastruktury edukacyjnej Zespołu Szkolno-Przedszkolnego w Nowym Stawie”</w:t>
      </w:r>
      <w:r>
        <w:rPr>
          <w:rStyle w:val="121"/>
          <w:b w:val="0"/>
          <w:color w:val="000000"/>
        </w:rPr>
        <w:t xml:space="preserve"> </w:t>
      </w:r>
      <w:bookmarkEnd w:id="0"/>
      <w:r>
        <w:rPr>
          <w:color w:val="000000"/>
        </w:rPr>
        <w:t>zgodnie z wymaganiami określonymi przez Zamawiającego i zasadami wiedzy technicznej, na warunkach wskazanych w ofercie Wykonawcy.</w:t>
      </w:r>
    </w:p>
    <w:p>
      <w:pPr>
        <w:numPr>
          <w:ilvl w:val="0"/>
          <w:numId w:val="3"/>
        </w:numPr>
        <w:tabs>
          <w:tab w:val="left" w:pos="335"/>
          <w:tab w:val="clear" w:pos="720"/>
        </w:tabs>
        <w:spacing w:line="276" w:lineRule="auto"/>
        <w:ind w:left="340" w:hanging="340"/>
        <w:jc w:val="both"/>
        <w:rPr>
          <w:color w:val="000000"/>
        </w:rPr>
      </w:pPr>
      <w:r>
        <w:rPr>
          <w:color w:val="000000"/>
        </w:rPr>
        <w:t>Szczegółowy zakres robót opisany został w SWZ, w szczególności: w opisie przedmiotu zamówienia, w dokumentacji projektowej, specyfikacji technicznej wykonania i odbioru robót oraz przedmiarach robót.</w:t>
      </w:r>
    </w:p>
    <w:p>
      <w:pPr>
        <w:numPr>
          <w:ilvl w:val="0"/>
          <w:numId w:val="3"/>
        </w:numPr>
        <w:tabs>
          <w:tab w:val="left" w:pos="335"/>
          <w:tab w:val="clear" w:pos="720"/>
        </w:tabs>
        <w:spacing w:line="276" w:lineRule="auto"/>
        <w:ind w:left="340" w:hanging="340"/>
        <w:jc w:val="both"/>
      </w:pPr>
      <w:r>
        <w:rPr>
          <w:color w:val="000000"/>
        </w:rPr>
        <w:t>Wykonawca zobowiązuje się wykonać roboty zgodnie z niniejszą umową, w zakresie określonym w złożonej ofercie, z zachowaniem należytej staranności, zasad bezpieczeństwa, zasad wiedzy technicznej i sztuki budowlanej, dokumentacją projektową, specyfikacją techniczną wykonania i odbioru robót, obowiązujących przepisów oraz do oddania przedmiotu niniejszej umowy Zamawiającemu w terminie w niej uzgodnionym.</w:t>
      </w:r>
    </w:p>
    <w:p>
      <w:pPr>
        <w:numPr>
          <w:numId w:val="0"/>
        </w:numPr>
        <w:tabs>
          <w:tab w:val="left" w:pos="335"/>
        </w:tabs>
        <w:suppressAutoHyphens/>
        <w:spacing w:line="276" w:lineRule="auto"/>
        <w:jc w:val="both"/>
        <w:rPr>
          <w:color w:val="000000"/>
        </w:rPr>
      </w:pPr>
    </w:p>
    <w:p>
      <w:pPr>
        <w:numPr>
          <w:numId w:val="0"/>
        </w:numPr>
        <w:tabs>
          <w:tab w:val="left" w:pos="335"/>
        </w:tabs>
        <w:suppressAutoHyphens/>
        <w:spacing w:line="276" w:lineRule="auto"/>
        <w:jc w:val="both"/>
        <w:rPr>
          <w:color w:val="000000"/>
        </w:rPr>
      </w:pPr>
    </w:p>
    <w:p>
      <w:pPr>
        <w:numPr>
          <w:numId w:val="0"/>
        </w:numPr>
        <w:tabs>
          <w:tab w:val="left" w:pos="335"/>
        </w:tabs>
        <w:suppressAutoHyphens/>
        <w:spacing w:line="276" w:lineRule="auto"/>
        <w:jc w:val="both"/>
        <w:rPr>
          <w:color w:val="000000"/>
        </w:rPr>
      </w:pPr>
    </w:p>
    <w:p>
      <w:pPr>
        <w:numPr>
          <w:numId w:val="0"/>
        </w:numPr>
        <w:tabs>
          <w:tab w:val="left" w:pos="335"/>
        </w:tabs>
        <w:suppressAutoHyphens/>
        <w:spacing w:line="276" w:lineRule="auto"/>
        <w:jc w:val="both"/>
        <w:rPr>
          <w:color w:val="000000"/>
        </w:rPr>
      </w:pPr>
    </w:p>
    <w:p>
      <w:pPr>
        <w:spacing w:line="276" w:lineRule="auto"/>
        <w:jc w:val="both"/>
        <w:rPr>
          <w:b/>
          <w:color w:val="000000"/>
        </w:rPr>
      </w:pPr>
    </w:p>
    <w:p>
      <w:pPr>
        <w:spacing w:line="276" w:lineRule="auto"/>
        <w:jc w:val="center"/>
        <w:rPr>
          <w:b/>
          <w:color w:val="000000"/>
        </w:rPr>
      </w:pPr>
      <w:r>
        <w:rPr>
          <w:b/>
          <w:color w:val="000000"/>
        </w:rPr>
        <w:t>§ 3</w:t>
      </w:r>
    </w:p>
    <w:p>
      <w:pPr>
        <w:spacing w:line="276" w:lineRule="auto"/>
        <w:jc w:val="center"/>
        <w:rPr>
          <w:b/>
          <w:color w:val="000000"/>
        </w:rPr>
      </w:pPr>
      <w:r>
        <w:rPr>
          <w:b/>
          <w:color w:val="000000"/>
        </w:rPr>
        <w:t>Termin wykonania</w:t>
      </w:r>
    </w:p>
    <w:p>
      <w:pPr>
        <w:spacing w:line="276" w:lineRule="auto"/>
        <w:jc w:val="center"/>
        <w:rPr>
          <w:b/>
          <w:color w:val="000000"/>
        </w:rPr>
      </w:pPr>
    </w:p>
    <w:p>
      <w:pPr>
        <w:numPr>
          <w:ilvl w:val="0"/>
          <w:numId w:val="4"/>
        </w:numPr>
        <w:tabs>
          <w:tab w:val="left" w:pos="335"/>
          <w:tab w:val="clear" w:pos="720"/>
        </w:tabs>
        <w:spacing w:line="276" w:lineRule="auto"/>
        <w:ind w:left="340" w:hanging="340"/>
        <w:jc w:val="both"/>
      </w:pPr>
      <w:r>
        <w:rPr>
          <w:color w:val="000000"/>
        </w:rPr>
        <w:t>Termin rozpoczęcia wykonywania przedmiotu umowy rozpoczyna się z dniem protokolarnego przekazania terenu budowy.</w:t>
      </w:r>
    </w:p>
    <w:p>
      <w:pPr>
        <w:numPr>
          <w:ilvl w:val="0"/>
          <w:numId w:val="4"/>
        </w:numPr>
        <w:tabs>
          <w:tab w:val="left" w:pos="335"/>
          <w:tab w:val="clear" w:pos="720"/>
        </w:tabs>
        <w:spacing w:line="276" w:lineRule="auto"/>
        <w:ind w:left="340" w:hanging="340"/>
        <w:jc w:val="both"/>
        <w:rPr>
          <w:color w:val="000000"/>
        </w:rPr>
      </w:pPr>
      <w:r>
        <w:rPr>
          <w:color w:val="000000"/>
        </w:rPr>
        <w:t xml:space="preserve">Termin wykonania zamówienia </w:t>
      </w:r>
      <w:r>
        <w:rPr>
          <w:b/>
          <w:bCs/>
          <w:color w:val="000000"/>
        </w:rPr>
        <w:t>do 24 miesięcy</w:t>
      </w:r>
      <w:r>
        <w:rPr>
          <w:color w:val="000000"/>
        </w:rPr>
        <w:t xml:space="preserve"> </w:t>
      </w:r>
      <w:r>
        <w:rPr>
          <w:color w:val="000000"/>
          <w:kern w:val="2"/>
          <w:lang w:bidi="ar-SA"/>
        </w:rPr>
        <w:t xml:space="preserve">od dnia rozpoczęcia wykonywania przedmiotu umowy </w:t>
      </w:r>
      <w:r>
        <w:rPr>
          <w:color w:val="000000"/>
          <w:kern w:val="2"/>
          <w:lang w:bidi="ar-SA"/>
        </w:rPr>
        <w:br w:type="textWrapping"/>
      </w:r>
      <w:r>
        <w:rPr>
          <w:color w:val="000000"/>
          <w:kern w:val="2"/>
          <w:lang w:bidi="ar-SA"/>
        </w:rPr>
        <w:t>z uwzględnieniem § 3 ust. 1 pkt 1) niniejszej umowy.</w:t>
      </w:r>
    </w:p>
    <w:p>
      <w:pPr>
        <w:tabs>
          <w:tab w:val="left" w:pos="335"/>
        </w:tabs>
        <w:spacing w:line="276" w:lineRule="auto"/>
        <w:jc w:val="both"/>
        <w:rPr>
          <w:color w:val="000000"/>
          <w:kern w:val="2"/>
          <w:lang w:bidi="ar-SA"/>
        </w:rPr>
      </w:pPr>
    </w:p>
    <w:p>
      <w:pPr>
        <w:spacing w:line="276" w:lineRule="auto"/>
        <w:rPr>
          <w:color w:val="000000"/>
        </w:rPr>
      </w:pPr>
    </w:p>
    <w:p>
      <w:pPr>
        <w:spacing w:line="276" w:lineRule="auto"/>
        <w:jc w:val="center"/>
        <w:rPr>
          <w:b/>
          <w:color w:val="000000"/>
        </w:rPr>
      </w:pPr>
      <w:r>
        <w:rPr>
          <w:b/>
          <w:color w:val="000000"/>
        </w:rPr>
        <w:t>§ 4</w:t>
      </w:r>
    </w:p>
    <w:p>
      <w:pPr>
        <w:spacing w:line="276" w:lineRule="auto"/>
        <w:jc w:val="center"/>
        <w:rPr>
          <w:b/>
          <w:color w:val="000000"/>
        </w:rPr>
      </w:pPr>
      <w:r>
        <w:rPr>
          <w:b/>
          <w:color w:val="000000"/>
        </w:rPr>
        <w:t>Obowiązki Zamawiającego</w:t>
      </w:r>
    </w:p>
    <w:p>
      <w:pPr>
        <w:spacing w:line="276" w:lineRule="auto"/>
        <w:jc w:val="center"/>
        <w:rPr>
          <w:b/>
          <w:color w:val="000000"/>
        </w:rPr>
      </w:pPr>
    </w:p>
    <w:p>
      <w:pPr>
        <w:numPr>
          <w:ilvl w:val="0"/>
          <w:numId w:val="5"/>
        </w:numPr>
        <w:tabs>
          <w:tab w:val="left" w:pos="335"/>
          <w:tab w:val="clear" w:pos="720"/>
        </w:tabs>
        <w:spacing w:line="276" w:lineRule="auto"/>
        <w:ind w:left="340" w:hanging="340"/>
        <w:jc w:val="both"/>
        <w:rPr>
          <w:color w:val="000000"/>
        </w:rPr>
      </w:pPr>
      <w:r>
        <w:rPr>
          <w:color w:val="000000"/>
        </w:rPr>
        <w:t>Do obowiązków Zamawiającego należy:</w:t>
      </w:r>
    </w:p>
    <w:p>
      <w:pPr>
        <w:numPr>
          <w:ilvl w:val="0"/>
          <w:numId w:val="6"/>
        </w:numPr>
        <w:tabs>
          <w:tab w:val="left" w:pos="682"/>
          <w:tab w:val="clear" w:pos="720"/>
        </w:tabs>
        <w:spacing w:line="276" w:lineRule="auto"/>
        <w:ind w:left="680" w:hanging="340"/>
        <w:jc w:val="both"/>
      </w:pPr>
      <w:r>
        <w:rPr>
          <w:color w:val="000000"/>
        </w:rPr>
        <w:t>wprowadzenie i protokolarne przekazanie Wykonawcy terenu budowy wraz z dziennikiem budowy oraz dokumentacją projektową, na każde jego wezwanie, nie późnie</w:t>
      </w:r>
      <w:r>
        <w:rPr>
          <w:color w:val="000000"/>
          <w:highlight w:val="none"/>
        </w:rPr>
        <w:t xml:space="preserve">j </w:t>
      </w:r>
      <w:r>
        <w:rPr>
          <w:b/>
          <w:bCs/>
          <w:color w:val="000000"/>
          <w:highlight w:val="none"/>
        </w:rPr>
        <w:t>niż w terminie do 21 dni</w:t>
      </w:r>
      <w:r>
        <w:rPr>
          <w:b/>
          <w:bCs/>
          <w:color w:val="000000"/>
        </w:rPr>
        <w:t xml:space="preserve"> </w:t>
      </w:r>
      <w:r>
        <w:rPr>
          <w:color w:val="000000"/>
        </w:rPr>
        <w:t>od dnia podpisania umowy;</w:t>
      </w:r>
    </w:p>
    <w:p>
      <w:pPr>
        <w:numPr>
          <w:ilvl w:val="0"/>
          <w:numId w:val="6"/>
        </w:numPr>
        <w:tabs>
          <w:tab w:val="left" w:pos="682"/>
          <w:tab w:val="clear" w:pos="720"/>
        </w:tabs>
        <w:spacing w:line="276" w:lineRule="auto"/>
        <w:ind w:left="680" w:hanging="340"/>
        <w:jc w:val="both"/>
        <w:rPr>
          <w:color w:val="000000"/>
        </w:rPr>
      </w:pPr>
      <w:r>
        <w:rPr>
          <w:color w:val="000000"/>
        </w:rPr>
        <w:t>odbiór robót i ich części;</w:t>
      </w:r>
    </w:p>
    <w:p>
      <w:pPr>
        <w:numPr>
          <w:ilvl w:val="0"/>
          <w:numId w:val="6"/>
        </w:numPr>
        <w:tabs>
          <w:tab w:val="left" w:pos="682"/>
          <w:tab w:val="clear" w:pos="720"/>
        </w:tabs>
        <w:spacing w:line="276" w:lineRule="auto"/>
        <w:ind w:left="680" w:hanging="340"/>
        <w:jc w:val="both"/>
        <w:rPr>
          <w:color w:val="000000"/>
        </w:rPr>
      </w:pPr>
      <w:r>
        <w:rPr>
          <w:color w:val="000000"/>
        </w:rPr>
        <w:t>terminowa zapłata umówionego wynagrodzenia za wykonane roboty zgodnie z postanowieniami niniejszej umowy.</w:t>
      </w:r>
    </w:p>
    <w:p>
      <w:pPr>
        <w:numPr>
          <w:ilvl w:val="0"/>
          <w:numId w:val="7"/>
        </w:numPr>
        <w:tabs>
          <w:tab w:val="left" w:pos="335"/>
          <w:tab w:val="clear" w:pos="720"/>
        </w:tabs>
        <w:spacing w:line="276" w:lineRule="auto"/>
        <w:ind w:left="340" w:hanging="340"/>
        <w:jc w:val="both"/>
      </w:pPr>
      <w:r>
        <w:rPr>
          <w:color w:val="000000"/>
        </w:rPr>
        <w:t>Nadzór nad robotami przewidzianymi niniejszą umową ze strony Zamawiającego, prowadzić będzie Inspektor Nadzoru wraz z Inspektorem Robót Branżowych, którzy są upoważnieni do przeprowadzania kontroli realizacji robót, dokonywania odbioru robót zanikających i ulegających zakryciu i wydawania poleceń w tym zakresie, wynikających z ustawy Prawo Budowlane oraz kontrolowania rozliczeń robót (upoważniony również do podpisywania protokołów).</w:t>
      </w:r>
    </w:p>
    <w:p>
      <w:pPr>
        <w:numPr>
          <w:ilvl w:val="0"/>
          <w:numId w:val="7"/>
        </w:numPr>
        <w:tabs>
          <w:tab w:val="left" w:pos="335"/>
          <w:tab w:val="clear" w:pos="720"/>
        </w:tabs>
        <w:spacing w:line="276" w:lineRule="auto"/>
        <w:ind w:left="340" w:hanging="340"/>
        <w:jc w:val="both"/>
      </w:pPr>
      <w:r>
        <w:rPr>
          <w:color w:val="000000"/>
        </w:rPr>
        <w:t>Inspektor Nadzoru oraz Inspektor Robót Branżowych są upoważnieni do inspekcji wszystkich robót i kontroli wszystkich materiałów dostarczonych na budowę lub na niej produkowanych, włączając przygotowanie i produkcję materiałów. Inspektorowie odrzucą wszystkie te materiały i roboty, które nie spełniają wymagań jakościowych określonych w dokumentacji projektowej i STWIORB.</w:t>
      </w:r>
    </w:p>
    <w:p>
      <w:pPr>
        <w:pStyle w:val="5"/>
        <w:spacing w:line="276" w:lineRule="auto"/>
        <w:rPr>
          <w:color w:val="000000"/>
        </w:rPr>
      </w:pPr>
    </w:p>
    <w:p>
      <w:pPr>
        <w:spacing w:line="276" w:lineRule="auto"/>
        <w:jc w:val="center"/>
        <w:rPr>
          <w:b/>
          <w:color w:val="000000"/>
        </w:rPr>
      </w:pPr>
      <w:r>
        <w:rPr>
          <w:b/>
          <w:color w:val="000000"/>
        </w:rPr>
        <w:t>§ 5</w:t>
      </w:r>
    </w:p>
    <w:p>
      <w:pPr>
        <w:spacing w:line="276" w:lineRule="auto"/>
        <w:jc w:val="center"/>
        <w:rPr>
          <w:b/>
          <w:color w:val="000000"/>
        </w:rPr>
      </w:pPr>
      <w:r>
        <w:rPr>
          <w:b/>
          <w:color w:val="000000"/>
        </w:rPr>
        <w:t>Obowiązki Wykonawcy</w:t>
      </w:r>
    </w:p>
    <w:p>
      <w:pPr>
        <w:spacing w:line="276" w:lineRule="auto"/>
        <w:jc w:val="center"/>
        <w:rPr>
          <w:b/>
          <w:color w:val="000000"/>
        </w:rPr>
      </w:pPr>
    </w:p>
    <w:p>
      <w:pPr>
        <w:numPr>
          <w:ilvl w:val="0"/>
          <w:numId w:val="8"/>
        </w:numPr>
        <w:tabs>
          <w:tab w:val="left" w:pos="335"/>
          <w:tab w:val="clear" w:pos="720"/>
        </w:tabs>
        <w:spacing w:line="276" w:lineRule="auto"/>
        <w:ind w:left="340" w:hanging="340"/>
        <w:rPr>
          <w:color w:val="000000"/>
        </w:rPr>
      </w:pPr>
      <w:r>
        <w:rPr>
          <w:color w:val="000000"/>
        </w:rPr>
        <w:t>Do obowiązków Wykonawcy należy:</w:t>
      </w:r>
    </w:p>
    <w:p>
      <w:pPr>
        <w:numPr>
          <w:ilvl w:val="0"/>
          <w:numId w:val="9"/>
        </w:numPr>
        <w:tabs>
          <w:tab w:val="left" w:pos="683"/>
          <w:tab w:val="clear" w:pos="720"/>
        </w:tabs>
        <w:spacing w:line="276" w:lineRule="auto"/>
        <w:ind w:left="680" w:hanging="340"/>
        <w:jc w:val="both"/>
      </w:pPr>
      <w:r>
        <w:rPr>
          <w:color w:val="000000"/>
        </w:rPr>
        <w:t>przejęcie terenu budowy;</w:t>
      </w:r>
    </w:p>
    <w:p>
      <w:pPr>
        <w:numPr>
          <w:ilvl w:val="0"/>
          <w:numId w:val="9"/>
        </w:numPr>
        <w:tabs>
          <w:tab w:val="left" w:pos="683"/>
          <w:tab w:val="clear" w:pos="720"/>
        </w:tabs>
        <w:spacing w:line="276" w:lineRule="auto"/>
        <w:ind w:left="680" w:hanging="340"/>
        <w:jc w:val="both"/>
        <w:rPr>
          <w:color w:val="000000"/>
        </w:rPr>
      </w:pPr>
      <w:r>
        <w:rPr>
          <w:color w:val="000000"/>
        </w:rPr>
        <w:t>przestrzeganie wszystkich aktualnych przepisów prawa (ustawy, rozporządzenia, aktualne polskie normy i normy branżowe itp.), zarządzenia władz samorządowych, inne przepisy, które są związane  z realizacją robót lub mogą wpływać na sposób ich wykonania i prowadzenia;</w:t>
      </w:r>
    </w:p>
    <w:p>
      <w:pPr>
        <w:numPr>
          <w:ilvl w:val="0"/>
          <w:numId w:val="9"/>
        </w:numPr>
        <w:tabs>
          <w:tab w:val="left" w:pos="683"/>
          <w:tab w:val="clear" w:pos="720"/>
        </w:tabs>
        <w:spacing w:line="276" w:lineRule="auto"/>
        <w:ind w:left="680" w:hanging="340"/>
        <w:jc w:val="both"/>
      </w:pPr>
      <w:r>
        <w:rPr>
          <w:color w:val="000000"/>
        </w:rPr>
        <w:t xml:space="preserve">realizowanie przedmiotu umowy zgodnie z harmonogramem rzeczowo-finansowym robót, który zapewniał będzie wykonanie przedmiotu umowy w terminie, sporządzonym przez Wykonawcę, i przedłożonym Zamawiającemu do zatwierdzenia </w:t>
      </w:r>
      <w:r>
        <w:rPr>
          <w:b/>
          <w:bCs/>
          <w:color w:val="000000"/>
          <w:highlight w:val="none"/>
        </w:rPr>
        <w:t xml:space="preserve">w terminie do 21 dni </w:t>
      </w:r>
      <w:r>
        <w:rPr>
          <w:color w:val="000000"/>
        </w:rPr>
        <w:t>po podpisaniu niniejszej umowy; Zamawiający ma obowiązek zatwierdzić bądź wnieść poprawki do harmonogramu tylko wtedy, gdy harmonogram nie będzie zapewniał realizacji przedmiotu umowy w terminie; brak zgody na wniesienie poprawek wskazanych przez Zamawiającego może skutkować naliczeniem kary umownej, o które</w:t>
      </w:r>
      <w:r>
        <w:rPr>
          <w:b w:val="0"/>
          <w:bCs w:val="0"/>
          <w:color w:val="000000"/>
          <w:highlight w:val="none"/>
        </w:rPr>
        <w:t>j mowa w §1</w:t>
      </w:r>
      <w:r>
        <w:rPr>
          <w:rFonts w:hint="default"/>
          <w:b w:val="0"/>
          <w:bCs w:val="0"/>
          <w:color w:val="000000"/>
          <w:highlight w:val="none"/>
          <w:lang w:val="pl-PL"/>
        </w:rPr>
        <w:t>3</w:t>
      </w:r>
      <w:r>
        <w:rPr>
          <w:b w:val="0"/>
          <w:bCs w:val="0"/>
          <w:color w:val="000000"/>
          <w:highlight w:val="none"/>
        </w:rPr>
        <w:t xml:space="preserve"> ust. 2 pkt. 5);</w:t>
      </w:r>
    </w:p>
    <w:p>
      <w:pPr>
        <w:numPr>
          <w:ilvl w:val="0"/>
          <w:numId w:val="9"/>
        </w:numPr>
        <w:tabs>
          <w:tab w:val="left" w:pos="683"/>
          <w:tab w:val="clear" w:pos="720"/>
        </w:tabs>
        <w:spacing w:line="276" w:lineRule="auto"/>
        <w:ind w:left="680" w:hanging="340"/>
        <w:jc w:val="both"/>
      </w:pPr>
      <w:r>
        <w:rPr>
          <w:color w:val="000000"/>
        </w:rPr>
        <w:t>organizacja, odpowiednie oznakowanie, utrzymanie i zabezpieczenie na własny koszt terenu i zaplecza robót, zabezpieczenie miejsca wykonywania robót przed dostępem osób postronnych oraz organizacja ochrony mienia na terenie budowy, do czasu przekazania go do eksploatacji; Wykonawca dostarczy, zainstaluje i będzie utrzymywać tymczasowe urządzenia zabezpieczające w tym: ogrodzenia, poręcze, oświetlenie, sygnały i znaki ostrzegawcze, dozorców, wszelkie inne środki niezbędne do ochrony robót, wygody społeczności i innych;</w:t>
      </w:r>
    </w:p>
    <w:p>
      <w:pPr>
        <w:numPr>
          <w:ilvl w:val="0"/>
          <w:numId w:val="9"/>
        </w:numPr>
        <w:tabs>
          <w:tab w:val="left" w:pos="683"/>
          <w:tab w:val="clear" w:pos="720"/>
        </w:tabs>
        <w:spacing w:line="276" w:lineRule="auto"/>
        <w:ind w:left="680" w:hanging="340"/>
        <w:jc w:val="both"/>
        <w:rPr>
          <w:color w:val="000000"/>
        </w:rPr>
      </w:pPr>
      <w:r>
        <w:rPr>
          <w:color w:val="000000"/>
        </w:rPr>
        <w:t>zapewnienie materiałów i urządzeń niezbędnych do wykonania przedmiotu umowy, posiadających aktualne dokumenty, certyfikaty na znak bezpieczeństwa deklaracje zgodności z odpowiednimi normami, aprobaty techniczne i atesty, pozwalające na ich stosowanie w budownictwie, zgodnie z przepisami obowiązującymi w tym zakresie; przedmiotowe dokumenty należy przedstawić na każde żądanie Zamawiającego i załączyć do dokumentacji odbiorowej; transport materiałów na teren budowy oraz dostarczenie i eksploatacja maszyn i urządzeń na koszt Wykonawcy;</w:t>
      </w:r>
    </w:p>
    <w:p>
      <w:pPr>
        <w:numPr>
          <w:ilvl w:val="0"/>
          <w:numId w:val="9"/>
        </w:numPr>
        <w:tabs>
          <w:tab w:val="left" w:pos="683"/>
          <w:tab w:val="clear" w:pos="720"/>
        </w:tabs>
        <w:spacing w:line="276" w:lineRule="auto"/>
        <w:ind w:left="680" w:hanging="340"/>
        <w:jc w:val="both"/>
        <w:rPr>
          <w:color w:val="000000"/>
        </w:rPr>
      </w:pPr>
      <w:r>
        <w:rPr>
          <w:color w:val="000000"/>
        </w:rPr>
        <w:t>zapewnienie odpowiedniego zabezpieczenia tymczasowo składowanych materiałów do czasu gdy będą one potrzebne do robót; Wykonawca zapewni aby materiały te były zabezpieczone przed zanieczyszczeniem, zachowały swoją jakość i właściwości oraz były dostępne do kontroli dla Inspektora Nadzoru; miejsca czasowego składowania będą zlokalizowane w obrębie terenu budowy  w miejscach uzgodnionych z Inspektorem Nadzoru lub poza terenem budowy w miejscach zorganizowanych przez Wykonawcę;</w:t>
      </w:r>
    </w:p>
    <w:p>
      <w:pPr>
        <w:numPr>
          <w:ilvl w:val="0"/>
          <w:numId w:val="9"/>
        </w:numPr>
        <w:tabs>
          <w:tab w:val="left" w:pos="683"/>
          <w:tab w:val="clear" w:pos="720"/>
        </w:tabs>
        <w:spacing w:line="276" w:lineRule="auto"/>
        <w:ind w:left="680" w:hanging="340"/>
        <w:jc w:val="both"/>
      </w:pPr>
      <w:r>
        <w:rPr>
          <w:color w:val="000000"/>
        </w:rPr>
        <w:t>materiały wykorzystywane do wykonania inwestycji powinny być nowe i dopuszczone do stosowania w budownictwie, w szczególności spełniające warunki określone w ustawie o wyrobach budowlanych z dnia 16 kwietnia 2004 r. (t.j. Dz. U. z 2021 r., poz. 1213 z późn. zm.) oraz przepisach wykonawczych do tej ustawy z uwzględnieniem przepisów państw członkowskich UE;</w:t>
      </w:r>
    </w:p>
    <w:p>
      <w:pPr>
        <w:numPr>
          <w:ilvl w:val="0"/>
          <w:numId w:val="9"/>
        </w:numPr>
        <w:tabs>
          <w:tab w:val="left" w:pos="683"/>
          <w:tab w:val="clear" w:pos="720"/>
        </w:tabs>
        <w:spacing w:line="276" w:lineRule="auto"/>
        <w:ind w:left="680" w:hanging="340"/>
        <w:jc w:val="both"/>
        <w:rPr>
          <w:color w:val="000000"/>
        </w:rPr>
      </w:pPr>
      <w:r>
        <w:rPr>
          <w:color w:val="000000"/>
        </w:rPr>
        <w:t>używanie tylko takiego sprzętu, który nie spowoduje niekorzystnego wpływu na jakość i środowisko wykonywanych robót - musi być on zgodny z normami ochrony środowiska i przepisami dotyczącymi jego użytkowania; sprzęt używany do robót powinien być sprawny techniczne, powinien posiadać aktualne przeglądy i badania oraz odpowiadać pod względem typów i ilości wskazaniom zawartym w dokumentacji projektowej; w przypadku braku ustaleń w takich dokumentach sprzęt powinien być uzgodniony i zaakceptowany przez Inspektora Nadzoru; sprzęt musi być utrzymywany w dobrym stanie i gotowości do pracy;</w:t>
      </w:r>
    </w:p>
    <w:p>
      <w:pPr>
        <w:numPr>
          <w:ilvl w:val="0"/>
          <w:numId w:val="9"/>
        </w:numPr>
        <w:tabs>
          <w:tab w:val="left" w:pos="683"/>
          <w:tab w:val="clear" w:pos="720"/>
        </w:tabs>
        <w:spacing w:line="276" w:lineRule="auto"/>
        <w:ind w:left="680" w:hanging="340"/>
        <w:jc w:val="both"/>
        <w:rPr>
          <w:color w:val="000000"/>
        </w:rPr>
      </w:pPr>
      <w:r>
        <w:rPr>
          <w:color w:val="000000"/>
        </w:rPr>
        <w:t>stosowanie jedynie takich środków transportu, które nie wpłyną niekorzystnie na jakość wykonywanych robót i właściwości przewożonych materiałów;</w:t>
      </w:r>
    </w:p>
    <w:p>
      <w:pPr>
        <w:numPr>
          <w:ilvl w:val="0"/>
          <w:numId w:val="9"/>
        </w:numPr>
        <w:tabs>
          <w:tab w:val="left" w:pos="683"/>
          <w:tab w:val="clear" w:pos="720"/>
        </w:tabs>
        <w:spacing w:line="276" w:lineRule="auto"/>
        <w:ind w:left="680" w:hanging="340"/>
        <w:jc w:val="both"/>
        <w:rPr>
          <w:color w:val="000000"/>
        </w:rPr>
      </w:pPr>
      <w:r>
        <w:rPr>
          <w:color w:val="000000"/>
        </w:rPr>
        <w:t>technologia wbudowywania wyrobów powinna być zgodna z wymogami producentów oraz dokumentacją i odnośnymi przepisami branżowymi;</w:t>
      </w:r>
    </w:p>
    <w:p>
      <w:pPr>
        <w:numPr>
          <w:ilvl w:val="0"/>
          <w:numId w:val="9"/>
        </w:numPr>
        <w:tabs>
          <w:tab w:val="left" w:pos="683"/>
          <w:tab w:val="clear" w:pos="720"/>
        </w:tabs>
        <w:spacing w:line="276" w:lineRule="auto"/>
        <w:ind w:left="680" w:hanging="340"/>
        <w:jc w:val="both"/>
        <w:rPr>
          <w:color w:val="000000"/>
        </w:rPr>
      </w:pPr>
      <w:r>
        <w:rPr>
          <w:color w:val="000000"/>
        </w:rPr>
        <w:t>zorganizowanie we własnym zakresie powierzchni składowych i magazynowych w miejscach udostępnionych przez administrację obiektu;</w:t>
      </w:r>
    </w:p>
    <w:p>
      <w:pPr>
        <w:numPr>
          <w:ilvl w:val="0"/>
          <w:numId w:val="9"/>
        </w:numPr>
        <w:tabs>
          <w:tab w:val="left" w:pos="683"/>
          <w:tab w:val="clear" w:pos="720"/>
        </w:tabs>
        <w:spacing w:line="276" w:lineRule="auto"/>
        <w:ind w:left="680" w:hanging="340"/>
        <w:jc w:val="both"/>
        <w:rPr>
          <w:color w:val="000000"/>
        </w:rPr>
      </w:pPr>
      <w:r>
        <w:rPr>
          <w:color w:val="000000"/>
        </w:rPr>
        <w:t xml:space="preserve">składowanie gruzu i odpadów budowlanych w pojemnikach ustawionych w miejscach uzgodnionych </w:t>
      </w:r>
      <w:r>
        <w:rPr>
          <w:color w:val="000000"/>
        </w:rPr>
        <w:br w:type="textWrapping"/>
      </w:r>
      <w:r>
        <w:rPr>
          <w:color w:val="000000"/>
        </w:rPr>
        <w:t>z Inspektorem Nadzoru;</w:t>
      </w:r>
    </w:p>
    <w:p>
      <w:pPr>
        <w:numPr>
          <w:ilvl w:val="0"/>
          <w:numId w:val="9"/>
        </w:numPr>
        <w:tabs>
          <w:tab w:val="left" w:pos="683"/>
          <w:tab w:val="clear" w:pos="720"/>
        </w:tabs>
        <w:spacing w:line="276" w:lineRule="auto"/>
        <w:ind w:left="680" w:hanging="340"/>
        <w:jc w:val="both"/>
        <w:rPr>
          <w:color w:val="000000"/>
        </w:rPr>
      </w:pPr>
      <w:r>
        <w:rPr>
          <w:color w:val="000000"/>
        </w:rPr>
        <w:t>zapewnienie we własnym zakresie wywozu i utylizacji odpadów budowlanych (śmieci, gruz i inne);</w:t>
      </w:r>
    </w:p>
    <w:p>
      <w:pPr>
        <w:numPr>
          <w:ilvl w:val="0"/>
          <w:numId w:val="9"/>
        </w:numPr>
        <w:tabs>
          <w:tab w:val="left" w:pos="683"/>
          <w:tab w:val="clear" w:pos="720"/>
        </w:tabs>
        <w:spacing w:line="276" w:lineRule="auto"/>
        <w:ind w:left="680" w:hanging="340"/>
        <w:jc w:val="both"/>
        <w:rPr>
          <w:color w:val="000000"/>
        </w:rPr>
      </w:pPr>
      <w:r>
        <w:rPr>
          <w:color w:val="000000"/>
        </w:rPr>
        <w:t>prowadzenie robót z zachowaniem należytej ostrożności, zgodnie z obowiązującymi w tym zakresie normami i przepisami prawnymi;</w:t>
      </w:r>
    </w:p>
    <w:p>
      <w:pPr>
        <w:numPr>
          <w:ilvl w:val="0"/>
          <w:numId w:val="9"/>
        </w:numPr>
        <w:tabs>
          <w:tab w:val="left" w:pos="683"/>
          <w:tab w:val="clear" w:pos="720"/>
        </w:tabs>
        <w:spacing w:line="276" w:lineRule="auto"/>
        <w:ind w:left="680" w:hanging="340"/>
        <w:jc w:val="both"/>
        <w:rPr>
          <w:color w:val="000000"/>
        </w:rPr>
      </w:pPr>
      <w:r>
        <w:rPr>
          <w:color w:val="000000"/>
        </w:rPr>
        <w:t>zapewnienie wykonywania robót budowlanych przy zachowaniu przepisów BHP i p.poż oraz przy maksymalnym ograniczeniu uciążliwości prowadzenia robót na otaczające środowisko</w:t>
      </w:r>
      <w:r>
        <w:rPr>
          <w:color w:val="000000"/>
        </w:rPr>
        <w:br w:type="textWrapping"/>
      </w:r>
      <w:r>
        <w:rPr>
          <w:color w:val="000000"/>
        </w:rPr>
        <w:t>i mieszkańców;</w:t>
      </w:r>
    </w:p>
    <w:p>
      <w:pPr>
        <w:numPr>
          <w:ilvl w:val="0"/>
          <w:numId w:val="9"/>
        </w:numPr>
        <w:tabs>
          <w:tab w:val="left" w:pos="683"/>
          <w:tab w:val="clear" w:pos="720"/>
        </w:tabs>
        <w:spacing w:line="276" w:lineRule="auto"/>
        <w:ind w:left="680" w:hanging="340"/>
        <w:jc w:val="both"/>
      </w:pPr>
      <w:r>
        <w:rPr>
          <w:color w:val="000000"/>
        </w:rPr>
        <w:t>ponoszenia pełnej odpowiedzialności za bezpieczeństwo swoich pracowników oraz innych osób znajdujących się w obrębie przekazanego terenu budowy z tytułu prowadzonych robót, jak i za wszelkie szkody oraz następstwa nieszczęśliwych wypadków pracowników i osób trzecich w trakcie trwania robót; Wykonawca musi sporządzić plan bezpieczeństwa i ochrony zdrowia na budowie (BIOZ) na podstawie zaleceń zawartych w dokumentacji projektowej oraz odpowiednio przeszkolić w tym zakresie swoich pracowników;</w:t>
      </w:r>
    </w:p>
    <w:p>
      <w:pPr>
        <w:numPr>
          <w:ilvl w:val="0"/>
          <w:numId w:val="9"/>
        </w:numPr>
        <w:tabs>
          <w:tab w:val="left" w:pos="683"/>
          <w:tab w:val="clear" w:pos="720"/>
        </w:tabs>
        <w:spacing w:line="276" w:lineRule="auto"/>
        <w:ind w:left="680" w:hanging="340"/>
        <w:jc w:val="both"/>
      </w:pPr>
      <w:r>
        <w:rPr>
          <w:color w:val="000000"/>
        </w:rPr>
        <w:t>ponoszenia wyłącznej odpowiedzialności za zniszczenia i szkody powstałe wskutek wykonywania robót niezgodnie z technologią przewidzianą sztuką budowlaną, za uszkodzenia urządzeń widocznych zewnętrznie, znajdujących się na terenie budowy i urządzeń i instalacji podziemnych oraz za uszkodzenia znaków geodezyjnych widocznych na terenie budowy; o fakcie przypadkowego uszkodzenia tych instalacji i urządzeń Wykonawca bezzwłocznie powiadomi Inspektora Nadzoru i Zamawiającego oraz będzie współpracował dostarczając wszelkiej pomocy potrzebnej przy dokonywaniu napraw;</w:t>
      </w:r>
    </w:p>
    <w:p>
      <w:pPr>
        <w:numPr>
          <w:ilvl w:val="0"/>
          <w:numId w:val="9"/>
        </w:numPr>
        <w:tabs>
          <w:tab w:val="left" w:pos="683"/>
          <w:tab w:val="clear" w:pos="720"/>
        </w:tabs>
        <w:spacing w:line="276" w:lineRule="auto"/>
        <w:ind w:left="680" w:hanging="340"/>
        <w:jc w:val="both"/>
      </w:pPr>
      <w:r>
        <w:rPr>
          <w:color w:val="000000"/>
        </w:rPr>
        <w:t>terminowe wykonanie i przekazanie do eksploatacji przedmiotu umowy oraz oświadczenia, że roboty ukończone przez niego są całkowicie zgodne z umową, dokumentacją projektową i opisem przedmiotu zamówienia;</w:t>
      </w:r>
    </w:p>
    <w:p>
      <w:pPr>
        <w:numPr>
          <w:ilvl w:val="0"/>
          <w:numId w:val="9"/>
        </w:numPr>
        <w:tabs>
          <w:tab w:val="left" w:pos="683"/>
          <w:tab w:val="clear" w:pos="720"/>
        </w:tabs>
        <w:spacing w:line="276" w:lineRule="auto"/>
        <w:ind w:left="680" w:hanging="340"/>
        <w:jc w:val="both"/>
      </w:pPr>
      <w:r>
        <w:rPr>
          <w:color w:val="000000"/>
        </w:rPr>
        <w:t>dbanie o porządek oraz utrzymywanie terenu budowy w należytym stanie, a po zakończeniu robót uporządkowanie terenu budowy i zaplecza budowy, jak również terenów sąsiadujących zajętych lub użytkowanych przez Wykonawcę w tym dokonania na własny koszt renowacji zniszczonych lub uszkodzonych w wyniku prowadzenia prac obiektów, terenów dróg lub nawierzchni;</w:t>
      </w:r>
    </w:p>
    <w:p>
      <w:pPr>
        <w:numPr>
          <w:ilvl w:val="0"/>
          <w:numId w:val="9"/>
        </w:numPr>
        <w:tabs>
          <w:tab w:val="left" w:pos="683"/>
          <w:tab w:val="clear" w:pos="720"/>
        </w:tabs>
        <w:spacing w:line="276" w:lineRule="auto"/>
        <w:ind w:left="680" w:hanging="340"/>
        <w:jc w:val="both"/>
        <w:rPr>
          <w:color w:val="000000"/>
        </w:rPr>
      </w:pPr>
      <w:r>
        <w:rPr>
          <w:color w:val="000000"/>
        </w:rPr>
        <w:t>kompletowanie wszelkiej dokumentacji zgodnie z obowiązującymi przepisami i dokumentacją projektową i udostępnianie ich na każde żądanie Zamawiającego; zaginięcie któregokolwiek z dokumentów budowy spowoduje jego natychmiastowe odtworzenie w formie przewidzianej prawem;</w:t>
      </w:r>
    </w:p>
    <w:p>
      <w:pPr>
        <w:numPr>
          <w:ilvl w:val="0"/>
          <w:numId w:val="9"/>
        </w:numPr>
        <w:tabs>
          <w:tab w:val="left" w:pos="683"/>
          <w:tab w:val="clear" w:pos="720"/>
        </w:tabs>
        <w:spacing w:line="276" w:lineRule="auto"/>
        <w:ind w:left="680" w:hanging="340"/>
        <w:jc w:val="both"/>
      </w:pPr>
      <w:r>
        <w:rPr>
          <w:color w:val="000000"/>
        </w:rPr>
        <w:t>ubezpieczenie budowy od szkód i nagłych zdarzeń losowych oraz odpowiedzialności cywilnej, obejmujące ludzi, materiały, roboty oraz sprzęt na sumę nie mniejszą niż kwota wynagrodzenia określonego w niniejszej umowie; na każde żądanie Zamawiającego Wykonawca jest zobowiązany okazać aktualną opłaconą polisę ubezpieczeniową lub inny dokument potwierdzający posiadanie aktualnego ubezpieczenia;</w:t>
      </w:r>
    </w:p>
    <w:p>
      <w:pPr>
        <w:numPr>
          <w:ilvl w:val="0"/>
          <w:numId w:val="9"/>
        </w:numPr>
        <w:tabs>
          <w:tab w:val="left" w:pos="683"/>
          <w:tab w:val="clear" w:pos="720"/>
        </w:tabs>
        <w:spacing w:line="276" w:lineRule="auto"/>
        <w:ind w:left="680" w:hanging="340"/>
        <w:jc w:val="both"/>
        <w:rPr>
          <w:color w:val="000000"/>
        </w:rPr>
      </w:pPr>
      <w:r>
        <w:rPr>
          <w:color w:val="000000"/>
        </w:rPr>
        <w:t>usuwanie wszelkich wad i usterek lub niezgodności robót z dokumentacją wskazanych przez Nadzór Inwestorski;</w:t>
      </w:r>
    </w:p>
    <w:p>
      <w:pPr>
        <w:numPr>
          <w:ilvl w:val="0"/>
          <w:numId w:val="9"/>
        </w:numPr>
        <w:tabs>
          <w:tab w:val="left" w:pos="683"/>
          <w:tab w:val="clear" w:pos="720"/>
        </w:tabs>
        <w:spacing w:line="276" w:lineRule="auto"/>
        <w:ind w:left="680" w:hanging="340"/>
        <w:jc w:val="both"/>
        <w:rPr>
          <w:color w:val="000000"/>
        </w:rPr>
      </w:pPr>
      <w:r>
        <w:rPr>
          <w:color w:val="000000"/>
        </w:rPr>
        <w:t>koordynacja robót podwykonawców;</w:t>
      </w:r>
    </w:p>
    <w:p>
      <w:pPr>
        <w:numPr>
          <w:ilvl w:val="0"/>
          <w:numId w:val="9"/>
        </w:numPr>
        <w:tabs>
          <w:tab w:val="left" w:pos="683"/>
          <w:tab w:val="clear" w:pos="720"/>
        </w:tabs>
        <w:spacing w:line="276" w:lineRule="auto"/>
        <w:ind w:left="680" w:hanging="340"/>
        <w:jc w:val="both"/>
        <w:rPr>
          <w:color w:val="000000"/>
        </w:rPr>
      </w:pPr>
      <w:r>
        <w:rPr>
          <w:color w:val="000000"/>
        </w:rPr>
        <w:t>przygotowanie od strony technicznej i udział w odbiorach technicznych robót zanikających i ulegających zakryciu, odbiorach częściowych, odbiorach końcowych robót i odbiorach pogwarancyjnych;</w:t>
      </w:r>
    </w:p>
    <w:p>
      <w:pPr>
        <w:numPr>
          <w:ilvl w:val="0"/>
          <w:numId w:val="9"/>
        </w:numPr>
        <w:tabs>
          <w:tab w:val="left" w:pos="683"/>
          <w:tab w:val="clear" w:pos="720"/>
        </w:tabs>
        <w:spacing w:line="276" w:lineRule="auto"/>
        <w:ind w:left="680" w:hanging="340"/>
        <w:jc w:val="both"/>
        <w:rPr>
          <w:color w:val="000000"/>
        </w:rPr>
      </w:pPr>
      <w:r>
        <w:rPr>
          <w:color w:val="000000"/>
        </w:rPr>
        <w:t>usuwanie usterek i wad w ramach gwarancji i rękojmi, w terminie wskazanym przez Zamawiającego;</w:t>
      </w:r>
    </w:p>
    <w:p>
      <w:pPr>
        <w:numPr>
          <w:ilvl w:val="0"/>
          <w:numId w:val="9"/>
        </w:numPr>
        <w:tabs>
          <w:tab w:val="left" w:pos="683"/>
          <w:tab w:val="clear" w:pos="720"/>
        </w:tabs>
        <w:spacing w:line="276" w:lineRule="auto"/>
        <w:ind w:left="680" w:hanging="340"/>
        <w:jc w:val="both"/>
        <w:rPr>
          <w:color w:val="000000"/>
        </w:rPr>
      </w:pPr>
      <w:r>
        <w:rPr>
          <w:color w:val="000000"/>
        </w:rPr>
        <w:t>wykonanie na własny koszt wszelkich badań wymaganych odrębnymi przepisami, oraz badań laboratoryjnych w przypadku wątpliwości Zamawiającego co do jakości stosowanych materiałów;</w:t>
      </w:r>
    </w:p>
    <w:p>
      <w:pPr>
        <w:numPr>
          <w:ilvl w:val="0"/>
          <w:numId w:val="9"/>
        </w:numPr>
        <w:tabs>
          <w:tab w:val="left" w:pos="683"/>
          <w:tab w:val="clear" w:pos="720"/>
        </w:tabs>
        <w:spacing w:line="276" w:lineRule="auto"/>
        <w:ind w:left="680" w:hanging="340"/>
        <w:jc w:val="both"/>
        <w:rPr>
          <w:color w:val="000000"/>
        </w:rPr>
      </w:pPr>
      <w:r>
        <w:rPr>
          <w:color w:val="000000"/>
        </w:rPr>
        <w:t>uzgadnianie z Inspektorem Nadzoru zamiennych rozwiązań w zakresie technologii wykonania, zastosowanych materiałów lub wyrobów wskazanych w dokumentacji, w przypadku ich zaproponowania;</w:t>
      </w:r>
    </w:p>
    <w:p>
      <w:pPr>
        <w:numPr>
          <w:ilvl w:val="0"/>
          <w:numId w:val="9"/>
        </w:numPr>
        <w:tabs>
          <w:tab w:val="left" w:pos="683"/>
          <w:tab w:val="clear" w:pos="720"/>
        </w:tabs>
        <w:spacing w:line="276" w:lineRule="auto"/>
        <w:ind w:left="680" w:hanging="340"/>
        <w:jc w:val="both"/>
        <w:rPr>
          <w:color w:val="000000"/>
        </w:rPr>
      </w:pPr>
      <w:r>
        <w:rPr>
          <w:color w:val="000000"/>
        </w:rPr>
        <w:t>niezwłoczne informowanie Inspektora Nadzoru o problemach technicznych lub okolicznościach, które mogą wpłynąć na jakość robót lub termin zakończenia robót.</w:t>
      </w:r>
    </w:p>
    <w:p>
      <w:pPr>
        <w:numPr>
          <w:ilvl w:val="0"/>
          <w:numId w:val="10"/>
        </w:numPr>
        <w:tabs>
          <w:tab w:val="left" w:pos="335"/>
          <w:tab w:val="clear" w:pos="720"/>
        </w:tabs>
        <w:spacing w:line="276" w:lineRule="auto"/>
        <w:ind w:left="340" w:hanging="340"/>
        <w:jc w:val="both"/>
      </w:pPr>
      <w:r>
        <w:rPr>
          <w:color w:val="000000"/>
        </w:rPr>
        <w:t>Gdziekolwiek w umowie i dokumentacji projektowej powołane są konkretne normy lub przepisy, które spełniać mają materiały, sprzęt i inne dostarczane towary, oraz wykonane i zbadane roboty, będą obowiązywać postanowienia najnowszego wydania lub poprawionego wydania powołanych norm i przepisów, o ile nie postanowiono inaczej. W przypadku gdy, powołane normy i przepisy są państwowe lub odnoszą się do konkretnego kraju lub regionu, mogą być również stosowane inne odpowiednie normy zapewniające zasadniczo równy lub wyższy poziom wykonania niż powołane normy i przepisy, pod warunkiem ich uprzedniego sprawdzenia i pisemnego zatwierdzenia przez Inspektora Nadzoru.</w:t>
      </w:r>
    </w:p>
    <w:p>
      <w:pPr>
        <w:numPr>
          <w:ilvl w:val="0"/>
          <w:numId w:val="10"/>
        </w:numPr>
        <w:tabs>
          <w:tab w:val="left" w:pos="335"/>
          <w:tab w:val="clear" w:pos="720"/>
        </w:tabs>
        <w:spacing w:line="276" w:lineRule="auto"/>
        <w:ind w:left="340" w:hanging="340"/>
        <w:jc w:val="both"/>
      </w:pPr>
      <w:r>
        <w:rPr>
          <w:color w:val="000000"/>
        </w:rPr>
        <w:t>Wykonawca zobowiązany jest zapewnić wykonanie i kierowanie robotami objętymi umową przez osoby posiadające stosowne kwalifikacje zawodowe i uprawnienia budowlane.</w:t>
      </w:r>
    </w:p>
    <w:p>
      <w:pPr>
        <w:numPr>
          <w:ilvl w:val="0"/>
          <w:numId w:val="10"/>
        </w:numPr>
        <w:tabs>
          <w:tab w:val="left" w:pos="335"/>
          <w:tab w:val="clear" w:pos="720"/>
        </w:tabs>
        <w:spacing w:line="276" w:lineRule="auto"/>
        <w:ind w:left="340" w:hanging="340"/>
        <w:jc w:val="both"/>
        <w:rPr>
          <w:color w:val="000000"/>
        </w:rPr>
      </w:pPr>
      <w:r>
        <w:rPr>
          <w:color w:val="000000"/>
        </w:rPr>
        <w:t>Wykonawca jest odpowiedzialny za prowadzenie robót zgodnie z umową i ścisłe przestrzeganie harmonogramu rzeczowo-finansowego robót oraz za jakość zastosowanych materiałów i wykonywanych robót, za ich zgodność z dokumentacją projektową, wymaganiami specyfikacji technicznej oraz poleceniami Inspektora Nadzoru.</w:t>
      </w:r>
    </w:p>
    <w:p>
      <w:pPr>
        <w:numPr>
          <w:ilvl w:val="0"/>
          <w:numId w:val="10"/>
        </w:numPr>
        <w:tabs>
          <w:tab w:val="left" w:pos="335"/>
          <w:tab w:val="clear" w:pos="720"/>
        </w:tabs>
        <w:spacing w:line="276" w:lineRule="auto"/>
        <w:ind w:left="340" w:hanging="340"/>
        <w:jc w:val="both"/>
        <w:rPr>
          <w:color w:val="000000"/>
        </w:rPr>
      </w:pPr>
      <w:r>
        <w:rPr>
          <w:color w:val="000000"/>
        </w:rPr>
        <w:t>Roboty należy prowadzić w taki sposób, aby nie stanowiły znaczącego utrudnienia i zagrożenia dla mieszkańców, w szczególności, w sąsiedztwie zabudowy mieszkalnej nie prowadzić prac w porze nocnej, w godz. 22-6. Szczególną uwagę Wykonawca będzie musiał zwrócić na zabezpieczenie własności publicznej oraz prawnej. Odpowiedzialność za wszelkie uszkodzenia i zniszczenia ponosi Wykonawca.</w:t>
      </w:r>
    </w:p>
    <w:p>
      <w:pPr>
        <w:numPr>
          <w:ilvl w:val="0"/>
          <w:numId w:val="10"/>
        </w:numPr>
        <w:tabs>
          <w:tab w:val="left" w:pos="335"/>
          <w:tab w:val="clear" w:pos="720"/>
        </w:tabs>
        <w:spacing w:line="276" w:lineRule="auto"/>
        <w:ind w:left="340" w:hanging="340"/>
        <w:jc w:val="both"/>
        <w:rPr>
          <w:color w:val="000000"/>
        </w:rPr>
      </w:pPr>
      <w:r>
        <w:rPr>
          <w:b/>
          <w:bCs/>
          <w:color w:val="000000"/>
        </w:rPr>
        <w:t>Funkcje Kierownika Budowy sprawować będzie</w:t>
      </w:r>
      <w:r>
        <w:rPr>
          <w:color w:val="000000"/>
        </w:rPr>
        <w:t>:……………………………………………….................</w:t>
      </w:r>
    </w:p>
    <w:p>
      <w:pPr>
        <w:numPr>
          <w:ilvl w:val="0"/>
          <w:numId w:val="10"/>
        </w:numPr>
        <w:tabs>
          <w:tab w:val="left" w:pos="335"/>
          <w:tab w:val="clear" w:pos="720"/>
        </w:tabs>
        <w:spacing w:line="276" w:lineRule="auto"/>
        <w:ind w:left="340" w:hanging="340"/>
        <w:jc w:val="both"/>
      </w:pPr>
      <w:r>
        <w:rPr>
          <w:color w:val="000000"/>
        </w:rPr>
        <w:t>Kierownik Budowy działa zgodnie z przepisami Prawa Budowlanego (t.j. Dz. U. z 2021 r., poz. 2351 z późn. zm.) i zobowiązany jest do prowadzenia dziennika budowy, a także odpowiada za jakość i zgodność  z wymogami techniczno-prawnymi wykonywanych zabezpieczeń, jak również za ich stałą sprawność techniczną.</w:t>
      </w:r>
    </w:p>
    <w:p>
      <w:pPr>
        <w:numPr>
          <w:ilvl w:val="0"/>
          <w:numId w:val="10"/>
        </w:numPr>
        <w:tabs>
          <w:tab w:val="left" w:pos="335"/>
          <w:tab w:val="clear" w:pos="720"/>
        </w:tabs>
        <w:spacing w:line="276" w:lineRule="auto"/>
        <w:ind w:left="340" w:hanging="340"/>
        <w:jc w:val="both"/>
        <w:rPr>
          <w:color w:val="000000"/>
        </w:rPr>
      </w:pPr>
      <w:r>
        <w:rPr>
          <w:color w:val="000000"/>
        </w:rPr>
        <w:t>We wszystkich sprawach nie objętych niniejszą umową będą obowiązywały zapisy i zalecenia dokumentacji projektowej i specyfikacji technicznej wykonania i odbioru robót budowlanych.</w:t>
      </w:r>
    </w:p>
    <w:p>
      <w:pPr>
        <w:numPr>
          <w:ilvl w:val="0"/>
          <w:numId w:val="10"/>
        </w:numPr>
        <w:tabs>
          <w:tab w:val="left" w:pos="335"/>
          <w:tab w:val="clear" w:pos="720"/>
        </w:tabs>
        <w:spacing w:line="276" w:lineRule="auto"/>
        <w:ind w:left="340" w:hanging="340"/>
        <w:jc w:val="both"/>
      </w:pPr>
      <w:r>
        <w:rPr>
          <w:b/>
          <w:color w:val="000000"/>
        </w:rPr>
        <w:t>Wykonawca ponosi pełną odpowiedzialność za teren budowy od chwili jego przejęcia.</w:t>
      </w:r>
    </w:p>
    <w:p>
      <w:pPr>
        <w:numPr>
          <w:ilvl w:val="0"/>
          <w:numId w:val="10"/>
        </w:numPr>
        <w:tabs>
          <w:tab w:val="left" w:pos="335"/>
          <w:tab w:val="clear" w:pos="720"/>
        </w:tabs>
        <w:spacing w:line="276" w:lineRule="auto"/>
        <w:ind w:left="340" w:hanging="340"/>
        <w:jc w:val="both"/>
        <w:rPr>
          <w:highlight w:val="none"/>
        </w:rPr>
      </w:pPr>
      <w:r>
        <w:rPr>
          <w:color w:val="000000"/>
          <w:highlight w:val="none"/>
        </w:rPr>
        <w:t xml:space="preserve">Wykonawca jest zobowiązany do przedłożenia harmonogramu rzeczowo-finansowego </w:t>
      </w:r>
      <w:r>
        <w:rPr>
          <w:b/>
          <w:bCs/>
          <w:color w:val="000000"/>
          <w:highlight w:val="none"/>
        </w:rPr>
        <w:t xml:space="preserve">w </w:t>
      </w:r>
      <w:r>
        <w:rPr>
          <w:rFonts w:hint="default"/>
          <w:b/>
          <w:bCs/>
          <w:color w:val="000000"/>
          <w:highlight w:val="none"/>
          <w:lang w:val="pl-PL"/>
        </w:rPr>
        <w:t>terminie do</w:t>
      </w:r>
      <w:r>
        <w:rPr>
          <w:b/>
          <w:bCs/>
          <w:color w:val="000000"/>
          <w:highlight w:val="none"/>
        </w:rPr>
        <w:t xml:space="preserve"> 21 dni od momentu </w:t>
      </w:r>
      <w:r>
        <w:rPr>
          <w:rFonts w:hint="default"/>
          <w:b/>
          <w:bCs/>
          <w:color w:val="000000"/>
          <w:highlight w:val="none"/>
          <w:lang w:val="pl-PL"/>
        </w:rPr>
        <w:t>podpisania umowy</w:t>
      </w:r>
      <w:r>
        <w:rPr>
          <w:b/>
          <w:bCs/>
          <w:color w:val="000000"/>
          <w:highlight w:val="none"/>
        </w:rPr>
        <w:t>.</w:t>
      </w:r>
      <w:r>
        <w:rPr>
          <w:color w:val="000000"/>
          <w:highlight w:val="none"/>
        </w:rPr>
        <w:t xml:space="preserve"> Warunkiem koniecznym przekazania placu budowy jest posiadanie harmonogramu rzeczowo finansowego przez Wykonawcę i dostarczenie jego Zamawiającemu.</w:t>
      </w:r>
    </w:p>
    <w:p>
      <w:pPr>
        <w:pStyle w:val="5"/>
        <w:spacing w:line="276" w:lineRule="auto"/>
        <w:rPr>
          <w:color w:val="000000"/>
        </w:rPr>
      </w:pPr>
    </w:p>
    <w:p>
      <w:pPr>
        <w:pStyle w:val="5"/>
        <w:spacing w:line="276" w:lineRule="auto"/>
        <w:rPr>
          <w:color w:val="000000"/>
        </w:rPr>
      </w:pPr>
    </w:p>
    <w:p>
      <w:pPr>
        <w:spacing w:line="276" w:lineRule="auto"/>
        <w:jc w:val="center"/>
        <w:rPr>
          <w:b/>
          <w:bCs/>
          <w:color w:val="000000"/>
        </w:rPr>
      </w:pPr>
      <w:r>
        <w:rPr>
          <w:b/>
          <w:bCs/>
          <w:color w:val="000000"/>
        </w:rPr>
        <w:t>§ 6</w:t>
      </w:r>
    </w:p>
    <w:p>
      <w:pPr>
        <w:spacing w:line="276" w:lineRule="auto"/>
        <w:jc w:val="center"/>
        <w:rPr>
          <w:b/>
          <w:color w:val="000000"/>
        </w:rPr>
      </w:pPr>
      <w:r>
        <w:rPr>
          <w:b/>
          <w:color w:val="000000"/>
        </w:rPr>
        <w:t>Podwykonawcy</w:t>
      </w:r>
    </w:p>
    <w:p>
      <w:pPr>
        <w:spacing w:line="276" w:lineRule="auto"/>
        <w:jc w:val="center"/>
        <w:rPr>
          <w:b/>
          <w:color w:val="000000"/>
        </w:rPr>
      </w:pPr>
    </w:p>
    <w:p>
      <w:pPr>
        <w:numPr>
          <w:ilvl w:val="0"/>
          <w:numId w:val="11"/>
        </w:numPr>
        <w:tabs>
          <w:tab w:val="left" w:pos="335"/>
          <w:tab w:val="left" w:pos="339"/>
          <w:tab w:val="clear" w:pos="720"/>
        </w:tabs>
        <w:spacing w:line="276" w:lineRule="auto"/>
        <w:ind w:left="340" w:hanging="340"/>
        <w:jc w:val="both"/>
        <w:rPr>
          <w:color w:val="000000"/>
        </w:rPr>
      </w:pPr>
      <w:r>
        <w:rPr>
          <w:color w:val="000000"/>
        </w:rPr>
        <w:t>Wykonawca może powierzyć wykonanie części niniejszego zamówienia podwykonawcom.</w:t>
      </w:r>
    </w:p>
    <w:p>
      <w:pPr>
        <w:numPr>
          <w:ilvl w:val="0"/>
          <w:numId w:val="5"/>
        </w:numPr>
        <w:tabs>
          <w:tab w:val="left" w:pos="335"/>
          <w:tab w:val="left" w:pos="339"/>
          <w:tab w:val="clear" w:pos="720"/>
        </w:tabs>
        <w:spacing w:line="276" w:lineRule="auto"/>
        <w:ind w:left="340" w:hanging="340"/>
        <w:jc w:val="both"/>
        <w:rPr>
          <w:color w:val="000000"/>
          <w:highlight w:val="none"/>
        </w:rPr>
      </w:pPr>
      <w:r>
        <w:rPr>
          <w:color w:val="00000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w:t>
      </w:r>
      <w:r>
        <w:rPr>
          <w:color w:val="000000"/>
          <w:highlight w:val="none"/>
        </w:rPr>
        <w:t>a zawarcie umowy o podwykonawstwo o treści zgodnej z projektem umowy. Jeżeli Zamawiający w terminie 14 dni od doręczenia mu projektu umowy, nie zgłosi w formie pisemnej, pod rygorem nieważności, zastrzeżeń do projektu umowy, uważać się będzie, że wyraził zgodę na projekt umowy o podwykonawstwo, której przedmiotem są roboty budowlane.</w:t>
      </w:r>
    </w:p>
    <w:p>
      <w:pPr>
        <w:numPr>
          <w:ilvl w:val="0"/>
          <w:numId w:val="5"/>
        </w:numPr>
        <w:tabs>
          <w:tab w:val="left" w:pos="335"/>
          <w:tab w:val="left" w:pos="339"/>
          <w:tab w:val="clear" w:pos="720"/>
        </w:tabs>
        <w:spacing w:line="276" w:lineRule="auto"/>
        <w:ind w:left="340" w:hanging="340"/>
        <w:jc w:val="both"/>
        <w:rPr>
          <w:color w:val="000000"/>
          <w:highlight w:val="none"/>
        </w:rPr>
      </w:pPr>
      <w:r>
        <w:rPr>
          <w:color w:val="000000"/>
          <w:highlight w:val="none"/>
        </w:rPr>
        <w:t>Wykonawca, podwykonawca lub dalszy podwykonawca zamówienia na roboty budowlane przedkłada Zamawiającemu poświadczoną za zgodność z oryginałem kopię zawartej umowy o podwykonawstwo, której przedmiotem są roboty budowlane, o treści zgodnej z uprzednio zaakceptowanym przez Zamawiającego projektem umowy, w terminie 7 dni od dnia jej zawarcia. Jeżeli Zamawiający w terminie 14 dni od doręczenia mu poświadczonej za zgodność z oryginałem kopii umowy nie zgłosi w formie pisemnej, pod rygorem nieważności, sprzeciwu, uważać się będzie, że wyraził zgodę na umowę o podwykonawstwo, której przedmiotem są roboty budowlane.</w:t>
      </w:r>
    </w:p>
    <w:p>
      <w:pPr>
        <w:numPr>
          <w:ilvl w:val="0"/>
          <w:numId w:val="5"/>
        </w:numPr>
        <w:tabs>
          <w:tab w:val="left" w:pos="335"/>
          <w:tab w:val="left" w:pos="339"/>
          <w:tab w:val="clear" w:pos="720"/>
        </w:tabs>
        <w:spacing w:line="276" w:lineRule="auto"/>
        <w:ind w:left="340" w:hanging="340"/>
        <w:jc w:val="both"/>
      </w:pPr>
      <w:r>
        <w:rPr>
          <w:color w:val="000000"/>
          <w:highlight w:val="none"/>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w:t>
      </w:r>
      <w:r>
        <w:rPr>
          <w:color w:val="000000"/>
        </w:rPr>
        <w:t xml:space="preserve">stał wskazany przez Zamawiającego w </w:t>
      </w:r>
      <w:r>
        <w:rPr>
          <w:color w:val="000000"/>
          <w:lang w:eastAsia="zh-CN" w:bidi="ar-SA"/>
        </w:rPr>
        <w:t>dokumentach</w:t>
      </w:r>
      <w:r>
        <w:rPr>
          <w:color w:val="000000"/>
        </w:rPr>
        <w:t xml:space="preserve"> zamówienia, jako nie podlegający niniejszemu obowiązkowi. Umowy o podwykonawstwo, których przedmiotem są dostawy oraz usługi, nie podlegające obowiązkowi przedłożenia Zamawiającemu (niezwiązane bezpośrednio z realizacją przedmiotu zamówienia) takie jak:</w:t>
      </w:r>
    </w:p>
    <w:p>
      <w:pPr>
        <w:numPr>
          <w:ilvl w:val="0"/>
          <w:numId w:val="12"/>
        </w:numPr>
        <w:tabs>
          <w:tab w:val="left" w:pos="679"/>
          <w:tab w:val="clear" w:pos="720"/>
        </w:tabs>
        <w:spacing w:line="276" w:lineRule="auto"/>
        <w:ind w:left="1220" w:hanging="340"/>
        <w:jc w:val="both"/>
        <w:rPr>
          <w:color w:val="000000"/>
        </w:rPr>
      </w:pPr>
      <w:r>
        <w:rPr>
          <w:color w:val="000000"/>
        </w:rPr>
        <w:t>Umowy na dostawy energii elektrycznej;</w:t>
      </w:r>
    </w:p>
    <w:p>
      <w:pPr>
        <w:numPr>
          <w:ilvl w:val="0"/>
          <w:numId w:val="12"/>
        </w:numPr>
        <w:tabs>
          <w:tab w:val="left" w:pos="679"/>
          <w:tab w:val="clear" w:pos="720"/>
        </w:tabs>
        <w:spacing w:line="276" w:lineRule="auto"/>
        <w:ind w:left="1220" w:hanging="340"/>
        <w:jc w:val="both"/>
        <w:rPr>
          <w:color w:val="000000"/>
        </w:rPr>
      </w:pPr>
      <w:r>
        <w:rPr>
          <w:color w:val="000000"/>
        </w:rPr>
        <w:t>Umowy na dostawy gazu;</w:t>
      </w:r>
    </w:p>
    <w:p>
      <w:pPr>
        <w:numPr>
          <w:ilvl w:val="0"/>
          <w:numId w:val="12"/>
        </w:numPr>
        <w:tabs>
          <w:tab w:val="left" w:pos="679"/>
          <w:tab w:val="clear" w:pos="720"/>
        </w:tabs>
        <w:spacing w:line="276" w:lineRule="auto"/>
        <w:ind w:left="1220" w:hanging="340"/>
        <w:jc w:val="both"/>
        <w:rPr>
          <w:color w:val="000000"/>
        </w:rPr>
      </w:pPr>
      <w:r>
        <w:rPr>
          <w:color w:val="000000"/>
        </w:rPr>
        <w:t>Umowy na dostawę wody;</w:t>
      </w:r>
    </w:p>
    <w:p>
      <w:pPr>
        <w:numPr>
          <w:ilvl w:val="0"/>
          <w:numId w:val="12"/>
        </w:numPr>
        <w:tabs>
          <w:tab w:val="left" w:pos="679"/>
          <w:tab w:val="clear" w:pos="720"/>
        </w:tabs>
        <w:spacing w:line="276" w:lineRule="auto"/>
        <w:ind w:left="1220" w:hanging="340"/>
        <w:jc w:val="both"/>
        <w:rPr>
          <w:color w:val="000000"/>
        </w:rPr>
      </w:pPr>
      <w:r>
        <w:rPr>
          <w:color w:val="000000"/>
        </w:rPr>
        <w:t>Umowy na odprowadzanie ścieków;</w:t>
      </w:r>
    </w:p>
    <w:p>
      <w:pPr>
        <w:numPr>
          <w:ilvl w:val="0"/>
          <w:numId w:val="12"/>
        </w:numPr>
        <w:tabs>
          <w:tab w:val="left" w:pos="679"/>
          <w:tab w:val="clear" w:pos="720"/>
        </w:tabs>
        <w:spacing w:line="276" w:lineRule="auto"/>
        <w:ind w:left="1220" w:hanging="340"/>
        <w:jc w:val="both"/>
        <w:rPr>
          <w:color w:val="000000"/>
        </w:rPr>
      </w:pPr>
      <w:r>
        <w:rPr>
          <w:color w:val="000000"/>
        </w:rPr>
        <w:t>Umowy świadczenia usług finansowych;</w:t>
      </w:r>
    </w:p>
    <w:p>
      <w:pPr>
        <w:numPr>
          <w:ilvl w:val="0"/>
          <w:numId w:val="12"/>
        </w:numPr>
        <w:tabs>
          <w:tab w:val="left" w:pos="679"/>
          <w:tab w:val="clear" w:pos="720"/>
        </w:tabs>
        <w:spacing w:line="276" w:lineRule="auto"/>
        <w:ind w:left="1220" w:hanging="340"/>
        <w:jc w:val="both"/>
        <w:rPr>
          <w:color w:val="000000"/>
          <w:highlight w:val="none"/>
        </w:rPr>
      </w:pPr>
      <w:r>
        <w:rPr>
          <w:color w:val="000000"/>
        </w:rPr>
        <w:t>Umowy ubezpieczen</w:t>
      </w:r>
      <w:r>
        <w:rPr>
          <w:color w:val="000000"/>
          <w:highlight w:val="none"/>
        </w:rPr>
        <w:t>iowe;</w:t>
      </w:r>
    </w:p>
    <w:p>
      <w:pPr>
        <w:numPr>
          <w:ilvl w:val="0"/>
          <w:numId w:val="12"/>
        </w:numPr>
        <w:tabs>
          <w:tab w:val="left" w:pos="679"/>
          <w:tab w:val="clear" w:pos="720"/>
        </w:tabs>
        <w:spacing w:line="276" w:lineRule="auto"/>
        <w:ind w:left="1220" w:hanging="340"/>
        <w:jc w:val="both"/>
        <w:rPr>
          <w:color w:val="000000"/>
          <w:highlight w:val="none"/>
        </w:rPr>
      </w:pPr>
      <w:r>
        <w:rPr>
          <w:color w:val="000000"/>
          <w:highlight w:val="none"/>
        </w:rPr>
        <w:t>Umowy telekomunikacyjne;</w:t>
      </w:r>
    </w:p>
    <w:p>
      <w:pPr>
        <w:numPr>
          <w:ilvl w:val="0"/>
          <w:numId w:val="12"/>
        </w:numPr>
        <w:tabs>
          <w:tab w:val="left" w:pos="679"/>
          <w:tab w:val="clear" w:pos="720"/>
        </w:tabs>
        <w:spacing w:line="276" w:lineRule="auto"/>
        <w:ind w:left="1220" w:hanging="340"/>
        <w:jc w:val="both"/>
        <w:rPr>
          <w:color w:val="000000"/>
          <w:highlight w:val="none"/>
        </w:rPr>
      </w:pPr>
      <w:r>
        <w:rPr>
          <w:color w:val="000000"/>
          <w:highlight w:val="none"/>
        </w:rPr>
        <w:t>Umowy ochrony mienia.</w:t>
      </w:r>
    </w:p>
    <w:p>
      <w:pPr>
        <w:tabs>
          <w:tab w:val="left" w:pos="720"/>
        </w:tabs>
        <w:spacing w:line="276" w:lineRule="auto"/>
        <w:ind w:left="340"/>
        <w:jc w:val="both"/>
        <w:rPr>
          <w:color w:val="000000"/>
          <w:highlight w:val="none"/>
        </w:rPr>
      </w:pPr>
      <w:r>
        <w:rPr>
          <w:color w:val="000000"/>
          <w:highlight w:val="none"/>
        </w:rPr>
        <w:t xml:space="preserve">Wyłączenie, o którym mowa w zdaniu pierwszym, nie dotyczy umów o podwykonawstwo o wartości większej niż 50.000 zł. </w:t>
      </w:r>
    </w:p>
    <w:p>
      <w:pPr>
        <w:numPr>
          <w:ilvl w:val="0"/>
          <w:numId w:val="13"/>
        </w:numPr>
        <w:tabs>
          <w:tab w:val="left" w:pos="342"/>
          <w:tab w:val="clear" w:pos="720"/>
        </w:tabs>
        <w:spacing w:line="276" w:lineRule="auto"/>
        <w:ind w:left="340" w:hanging="340"/>
        <w:jc w:val="both"/>
        <w:rPr>
          <w:color w:val="000000"/>
          <w:highlight w:val="none"/>
        </w:rPr>
      </w:pPr>
      <w:r>
        <w:rPr>
          <w:color w:val="000000"/>
          <w:highlight w:val="none"/>
        </w:rPr>
        <w:t>W przypadkach, o których mowa w ust. 3 i ust. 4, przedkładający może poświadczyć za zgodność z oryginałem kopię umowy o podwykonawstwo.</w:t>
      </w:r>
    </w:p>
    <w:p>
      <w:pPr>
        <w:numPr>
          <w:ilvl w:val="0"/>
          <w:numId w:val="13"/>
        </w:numPr>
        <w:tabs>
          <w:tab w:val="left" w:pos="342"/>
          <w:tab w:val="clear" w:pos="720"/>
        </w:tabs>
        <w:spacing w:line="276" w:lineRule="auto"/>
        <w:ind w:left="340" w:hanging="340"/>
        <w:jc w:val="both"/>
        <w:rPr>
          <w:highlight w:val="none"/>
        </w:rPr>
      </w:pPr>
      <w:r>
        <w:rPr>
          <w:color w:val="000000"/>
          <w:highlight w:val="none"/>
        </w:rPr>
        <w:t xml:space="preserve">W przypadku, o którym mowa w ust. </w:t>
      </w:r>
      <w:r>
        <w:rPr>
          <w:color w:val="000000"/>
          <w:highlight w:val="none"/>
          <w:lang w:eastAsia="zh-CN" w:bidi="ar-SA"/>
        </w:rPr>
        <w:t>4</w:t>
      </w:r>
      <w:r>
        <w:rPr>
          <w:color w:val="000000"/>
          <w:highlight w:val="none"/>
        </w:rPr>
        <w:t xml:space="preserve">, podwykonawca lub dalszy podwykonawca, przedkłada poświadczoną za zgodność z oryginałem kopię umowy również Wykonawcy. </w:t>
      </w:r>
    </w:p>
    <w:p>
      <w:pPr>
        <w:numPr>
          <w:ilvl w:val="0"/>
          <w:numId w:val="13"/>
        </w:numPr>
        <w:tabs>
          <w:tab w:val="left" w:pos="342"/>
          <w:tab w:val="clear" w:pos="720"/>
        </w:tabs>
        <w:spacing w:line="276" w:lineRule="auto"/>
        <w:ind w:left="340" w:hanging="340"/>
        <w:jc w:val="both"/>
        <w:rPr>
          <w:highlight w:val="none"/>
        </w:rPr>
      </w:pPr>
      <w:r>
        <w:rPr>
          <w:color w:val="000000"/>
          <w:highlight w:val="none"/>
        </w:rPr>
        <w:t>Umowy o podwykonawstwo, których przedmiotem będą roboty budowlane muszą zawierać</w:t>
      </w:r>
      <w:r>
        <w:rPr>
          <w:color w:val="000000"/>
          <w:highlight w:val="none"/>
        </w:rPr>
        <w:br w:type="textWrapping"/>
      </w:r>
      <w:r>
        <w:rPr>
          <w:color w:val="000000"/>
          <w:highlight w:val="none"/>
        </w:rPr>
        <w:t xml:space="preserve">w szczególności następujące postanowienia: </w:t>
      </w:r>
    </w:p>
    <w:p>
      <w:pPr>
        <w:numPr>
          <w:ilvl w:val="0"/>
          <w:numId w:val="14"/>
        </w:numPr>
        <w:tabs>
          <w:tab w:val="left" w:pos="675"/>
          <w:tab w:val="clear" w:pos="720"/>
        </w:tabs>
        <w:spacing w:line="276" w:lineRule="auto"/>
        <w:ind w:left="680" w:hanging="340"/>
        <w:jc w:val="both"/>
        <w:rPr>
          <w:color w:val="000000"/>
          <w:highlight w:val="none"/>
        </w:rPr>
      </w:pPr>
      <w:r>
        <w:rPr>
          <w:color w:val="000000"/>
          <w:highlight w:val="none"/>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oraz uzależniony od zapłaty przez Zamawiającego wynagrodzenia na rzecz Wykonawcy;</w:t>
      </w:r>
    </w:p>
    <w:p>
      <w:pPr>
        <w:numPr>
          <w:ilvl w:val="0"/>
          <w:numId w:val="14"/>
        </w:numPr>
        <w:tabs>
          <w:tab w:val="left" w:pos="675"/>
          <w:tab w:val="clear" w:pos="720"/>
        </w:tabs>
        <w:spacing w:line="276" w:lineRule="auto"/>
        <w:ind w:left="680" w:hanging="340"/>
        <w:jc w:val="both"/>
        <w:rPr>
          <w:color w:val="000000"/>
          <w:highlight w:val="none"/>
        </w:rPr>
      </w:pPr>
      <w:r>
        <w:rPr>
          <w:color w:val="000000"/>
          <w:highlight w:val="none"/>
        </w:rPr>
        <w:t>że Zamawiający zapłaci bezpośrednio podwykonawcy kwotę należnego wynagrodzenia bez odsetek w przypadku uchylania się przez Wykonawcę od obowiązku zapłaty wymagalnego wynagrodzenia przysługującego podwykonawcy lub dalszemu podwykonawcy, którzy zawarli zaakceptowane przez Zamawiającego umowy o podwykonawstwo, których przedmiotem są roboty budowlane;</w:t>
      </w:r>
    </w:p>
    <w:p>
      <w:pPr>
        <w:numPr>
          <w:ilvl w:val="0"/>
          <w:numId w:val="14"/>
        </w:numPr>
        <w:tabs>
          <w:tab w:val="left" w:pos="675"/>
          <w:tab w:val="clear" w:pos="720"/>
        </w:tabs>
        <w:spacing w:line="276" w:lineRule="auto"/>
        <w:ind w:left="680" w:hanging="340"/>
        <w:jc w:val="both"/>
        <w:rPr>
          <w:color w:val="000000"/>
          <w:highlight w:val="none"/>
        </w:rPr>
      </w:pPr>
      <w:r>
        <w:rPr>
          <w:color w:val="000000"/>
          <w:highlight w:val="none"/>
        </w:rPr>
        <w:t>zakres robót (przedmiot umowy) musi zostać precyzyjnie określony, w sposób pozwalający Zamawiającemu na powiązanie zakresu robót w umowie o podwykonawstwo z zakresem robót określonym umową pomiędzy Zamawiającym a Wykonawcą;</w:t>
      </w:r>
    </w:p>
    <w:p>
      <w:pPr>
        <w:numPr>
          <w:ilvl w:val="0"/>
          <w:numId w:val="14"/>
        </w:numPr>
        <w:tabs>
          <w:tab w:val="left" w:pos="675"/>
          <w:tab w:val="clear" w:pos="720"/>
        </w:tabs>
        <w:spacing w:line="276" w:lineRule="auto"/>
        <w:ind w:left="680" w:hanging="340"/>
        <w:jc w:val="both"/>
        <w:rPr>
          <w:color w:val="000000"/>
          <w:highlight w:val="none"/>
        </w:rPr>
      </w:pPr>
      <w:r>
        <w:rPr>
          <w:color w:val="000000"/>
          <w:highlight w:val="none"/>
        </w:rPr>
        <w:t>wysokość wynagrodzenia za wykonanie danego zakresu robót i sposób jego rozliczania oraz zapłaty;</w:t>
      </w:r>
    </w:p>
    <w:p>
      <w:pPr>
        <w:numPr>
          <w:ilvl w:val="0"/>
          <w:numId w:val="14"/>
        </w:numPr>
        <w:tabs>
          <w:tab w:val="left" w:pos="675"/>
          <w:tab w:val="clear" w:pos="720"/>
        </w:tabs>
        <w:spacing w:line="276" w:lineRule="auto"/>
        <w:ind w:left="680" w:hanging="340"/>
        <w:jc w:val="both"/>
        <w:rPr>
          <w:color w:val="000000"/>
          <w:highlight w:val="none"/>
        </w:rPr>
      </w:pPr>
      <w:r>
        <w:rPr>
          <w:color w:val="000000"/>
          <w:highlight w:val="none"/>
        </w:rPr>
        <w:t>termin realizacji zakresu prac nimi objętych, przy czym termin ten nie może przekraczać terminu realizacji zamówienia określonego w umowie z Zamawiającym;</w:t>
      </w:r>
    </w:p>
    <w:p>
      <w:pPr>
        <w:numPr>
          <w:ilvl w:val="0"/>
          <w:numId w:val="14"/>
        </w:numPr>
        <w:tabs>
          <w:tab w:val="left" w:pos="675"/>
          <w:tab w:val="clear" w:pos="720"/>
        </w:tabs>
        <w:spacing w:line="276" w:lineRule="auto"/>
        <w:ind w:left="680" w:hanging="340"/>
        <w:jc w:val="both"/>
        <w:rPr>
          <w:color w:val="000000"/>
          <w:highlight w:val="none"/>
        </w:rPr>
      </w:pPr>
      <w:r>
        <w:rPr>
          <w:color w:val="000000"/>
          <w:highlight w:val="none"/>
        </w:rPr>
        <w:t>zasady odbioru prac; zakres robót odebrany bez uwag przez Zamawiającego uznaje się zgodnie z umową o podwykonawstwo, za odebrany przez Wykonawcę podwykonawcy.</w:t>
      </w:r>
    </w:p>
    <w:p>
      <w:pPr>
        <w:numPr>
          <w:ilvl w:val="0"/>
          <w:numId w:val="15"/>
        </w:numPr>
        <w:tabs>
          <w:tab w:val="left" w:pos="335"/>
          <w:tab w:val="clear" w:pos="720"/>
        </w:tabs>
        <w:spacing w:line="276" w:lineRule="auto"/>
        <w:ind w:left="340" w:hanging="340"/>
        <w:jc w:val="both"/>
        <w:rPr>
          <w:color w:val="000000"/>
          <w:highlight w:val="none"/>
        </w:rPr>
      </w:pPr>
      <w:r>
        <w:rPr>
          <w:color w:val="000000"/>
          <w:highlight w:val="none"/>
        </w:rPr>
        <w:t xml:space="preserve">Umowa o podwykonawstwo nie może zawierać postanowień: </w:t>
      </w:r>
    </w:p>
    <w:p>
      <w:pPr>
        <w:numPr>
          <w:ilvl w:val="0"/>
          <w:numId w:val="16"/>
        </w:numPr>
        <w:tabs>
          <w:tab w:val="left" w:pos="679"/>
          <w:tab w:val="left" w:pos="681"/>
          <w:tab w:val="clear" w:pos="720"/>
        </w:tabs>
        <w:spacing w:line="276" w:lineRule="auto"/>
        <w:ind w:left="680" w:hanging="340"/>
        <w:jc w:val="both"/>
        <w:rPr>
          <w:color w:val="000000"/>
          <w:highlight w:val="none"/>
        </w:rPr>
      </w:pPr>
      <w:r>
        <w:rPr>
          <w:color w:val="000000"/>
          <w:highlight w:val="none"/>
        </w:rPr>
        <w:tab/>
      </w:r>
      <w:r>
        <w:rPr>
          <w:color w:val="000000"/>
          <w:highlight w:val="none"/>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pPr>
        <w:numPr>
          <w:ilvl w:val="0"/>
          <w:numId w:val="16"/>
        </w:numPr>
        <w:tabs>
          <w:tab w:val="left" w:pos="679"/>
          <w:tab w:val="left" w:pos="681"/>
          <w:tab w:val="clear" w:pos="720"/>
        </w:tabs>
        <w:spacing w:line="276" w:lineRule="auto"/>
        <w:ind w:left="680" w:hanging="340"/>
        <w:jc w:val="both"/>
        <w:rPr>
          <w:color w:val="000000"/>
          <w:highlight w:val="none"/>
        </w:rPr>
      </w:pPr>
      <w:r>
        <w:rPr>
          <w:color w:val="000000"/>
          <w:highlight w:val="none"/>
        </w:rPr>
        <w:t>uzależniających zwrot kwot zabezpieczenia przez Wykonawcę podwykonawcy, od zwrotu zabezpieczenia należytego wykonania umowy Wykonawcy przez Zamawiającego;</w:t>
      </w:r>
    </w:p>
    <w:p>
      <w:pPr>
        <w:numPr>
          <w:ilvl w:val="0"/>
          <w:numId w:val="16"/>
        </w:numPr>
        <w:tabs>
          <w:tab w:val="left" w:pos="679"/>
          <w:tab w:val="left" w:pos="681"/>
          <w:tab w:val="clear" w:pos="720"/>
        </w:tabs>
        <w:spacing w:line="276" w:lineRule="auto"/>
        <w:ind w:left="680" w:hanging="340"/>
        <w:jc w:val="both"/>
        <w:rPr>
          <w:color w:val="000000"/>
          <w:highlight w:val="none"/>
        </w:rPr>
      </w:pPr>
      <w:r>
        <w:rPr>
          <w:color w:val="000000"/>
          <w:highlight w:val="none"/>
        </w:rPr>
        <w:t>sprzecznych z postanowieniami umowy zawartej z Wykonawcą lub sprzecznych z obowiązującymi przepisami prawa.</w:t>
      </w:r>
    </w:p>
    <w:p>
      <w:pPr>
        <w:numPr>
          <w:ilvl w:val="0"/>
          <w:numId w:val="17"/>
        </w:numPr>
        <w:tabs>
          <w:tab w:val="left" w:pos="335"/>
          <w:tab w:val="clear" w:pos="720"/>
        </w:tabs>
        <w:spacing w:line="276" w:lineRule="auto"/>
        <w:ind w:left="340" w:hanging="340"/>
        <w:jc w:val="both"/>
        <w:rPr>
          <w:color w:val="000000"/>
          <w:highlight w:val="none"/>
        </w:rPr>
      </w:pPr>
      <w:r>
        <w:rPr>
          <w:color w:val="000000"/>
          <w:highlight w:val="none"/>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pPr>
        <w:numPr>
          <w:ilvl w:val="0"/>
          <w:numId w:val="17"/>
        </w:numPr>
        <w:tabs>
          <w:tab w:val="left" w:pos="335"/>
          <w:tab w:val="clear" w:pos="720"/>
        </w:tabs>
        <w:spacing w:line="276" w:lineRule="auto"/>
        <w:ind w:left="340" w:hanging="340"/>
        <w:jc w:val="both"/>
        <w:rPr>
          <w:color w:val="000000"/>
          <w:highlight w:val="none"/>
        </w:rPr>
      </w:pPr>
      <w:r>
        <w:rPr>
          <w:color w:val="000000"/>
          <w:highlight w:val="none"/>
        </w:rPr>
        <w:t>W razie niespełnienia w projektach umów o podwykonawstwo, której przedmiotem są roboty budowlane wymagań określonych w ust. 7, Zamawiający ma prawo zgłosić w terminie 14 dni od ich otrzymania od Wykonawcy w formie pisemnej, pod rygorem nieważności, zastrzeżeń do tych projektów umów. Wykonawca ma obowiązek uwzględnić zastrzeżenia Zamawiającego poprzez wprowadzenie ich do projektu umowy. Nie zastosowanie się do zastrzeżeń Zamawiającego oznacza brak jego akceptacji co do przedłożonego projektu umowy o podwykonawstwo, którego przedmiotem są roboty budowlane.</w:t>
      </w:r>
    </w:p>
    <w:p>
      <w:pPr>
        <w:numPr>
          <w:ilvl w:val="0"/>
          <w:numId w:val="17"/>
        </w:numPr>
        <w:tabs>
          <w:tab w:val="left" w:pos="335"/>
          <w:tab w:val="clear" w:pos="720"/>
        </w:tabs>
        <w:spacing w:line="276" w:lineRule="auto"/>
        <w:ind w:left="340" w:hanging="340"/>
        <w:jc w:val="both"/>
        <w:rPr>
          <w:color w:val="000000"/>
          <w:highlight w:val="none"/>
        </w:rPr>
      </w:pPr>
      <w:r>
        <w:rPr>
          <w:color w:val="000000"/>
          <w:highlight w:val="none"/>
        </w:rPr>
        <w:t xml:space="preserve">W przypadku przedłożenia Zamawiającemu poświadczonej za zgodność z oryginałem kopii zawartej umowy o podwykonawstwo, której przedmiotem są roboty budowlane nie spełniającej wymagań Zamawiającego określonych w ust. 7, Zamawiający w terminie 14 dni od jej otrzymania zgłasza w formie pisemnej, pod rygorem nieważności sprzeciw do umowy. Wykonawca ma obowiązek uwzględnić wymagania Zamawiającego poprzez ich wprowadzenie do umowy. Nie zastosowanie się przez Wykonawcę do pisemnego sprzeciwu Zamawiającego oznacza brak akceptacji Zamawiającego dla umowy o podwykonawstwo, którego przedmiotem są roboty budowlane. </w:t>
      </w:r>
    </w:p>
    <w:p>
      <w:pPr>
        <w:numPr>
          <w:ilvl w:val="0"/>
          <w:numId w:val="17"/>
        </w:numPr>
        <w:tabs>
          <w:tab w:val="left" w:pos="335"/>
          <w:tab w:val="clear" w:pos="720"/>
        </w:tabs>
        <w:spacing w:line="276" w:lineRule="auto"/>
        <w:ind w:left="340" w:hanging="340"/>
        <w:jc w:val="both"/>
        <w:rPr>
          <w:color w:val="000000"/>
          <w:highlight w:val="none"/>
        </w:rPr>
      </w:pPr>
      <w:r>
        <w:rPr>
          <w:color w:val="000000"/>
          <w:highlight w:val="none"/>
        </w:rPr>
        <w:t>Umowy o podwykonawstwo, których przedmiotem będą dostawy lub usługi powinny przewidywać termin zapłaty za wykonaną usługę lub dostawę nie dłuższy niż 30 dni od dnia doręczenia Wykonawcy, podwykonawcy lub dalszemu podwykonawcy faktury lub rachunku, wraz z potwierdzeniem wykonania zleconej podwykonawcy lub dalszemu podwykonawcy dostawy lub usługi. W przypadku przedłożenia Zamawiającemu poświadczonej za zgodność z oryginałem kopii zawartej umowy o podwykonawstwo, której przedmiotem są dostawy lub usługi, w której termin zapłaty wynagrodzenia jest dłuższy niż 30 dni Zamawiający poinformuje o tym Wykonawcę i wezwie go do doprowadzenia do zmiany tej umowy pod rygorem wystąpienia o zapłatę kary umownej.</w:t>
      </w:r>
    </w:p>
    <w:p>
      <w:pPr>
        <w:numPr>
          <w:ilvl w:val="0"/>
          <w:numId w:val="17"/>
        </w:numPr>
        <w:tabs>
          <w:tab w:val="left" w:pos="335"/>
          <w:tab w:val="clear" w:pos="720"/>
        </w:tabs>
        <w:spacing w:line="276" w:lineRule="auto"/>
        <w:ind w:left="340" w:hanging="340"/>
        <w:jc w:val="both"/>
        <w:rPr>
          <w:color w:val="000000"/>
          <w:highlight w:val="none"/>
        </w:rPr>
      </w:pPr>
      <w:r>
        <w:rPr>
          <w:color w:val="000000"/>
          <w:highlight w:val="none"/>
        </w:rPr>
        <w:t>Zamawiający nie ponosi odpowiedzialności za zawarcie przez Wykonawcę umowy o podwykonawstwo bez wymaganej zgody Zamawiającego, skutki z tego wynikające będą obciążały wyłącznie Wykonawcę.</w:t>
      </w:r>
    </w:p>
    <w:p>
      <w:pPr>
        <w:numPr>
          <w:ilvl w:val="0"/>
          <w:numId w:val="17"/>
        </w:numPr>
        <w:tabs>
          <w:tab w:val="left" w:pos="335"/>
          <w:tab w:val="clear" w:pos="720"/>
        </w:tabs>
        <w:spacing w:line="276" w:lineRule="auto"/>
        <w:ind w:left="340" w:hanging="340"/>
        <w:jc w:val="both"/>
        <w:rPr>
          <w:color w:val="000000"/>
          <w:highlight w:val="none"/>
        </w:rPr>
      </w:pPr>
      <w:r>
        <w:rPr>
          <w:color w:val="000000"/>
          <w:highlight w:val="none"/>
        </w:rPr>
        <w:t>W przypadku wprowadzania zmian do umów o podwykonawstwo przepisy ust. 2-13 stosuje się odpowiednio.</w:t>
      </w:r>
    </w:p>
    <w:p>
      <w:pPr>
        <w:numPr>
          <w:ilvl w:val="0"/>
          <w:numId w:val="17"/>
        </w:numPr>
        <w:tabs>
          <w:tab w:val="left" w:pos="335"/>
          <w:tab w:val="clear" w:pos="720"/>
        </w:tabs>
        <w:spacing w:line="276" w:lineRule="auto"/>
        <w:ind w:left="340" w:hanging="340"/>
        <w:jc w:val="both"/>
        <w:rPr>
          <w:color w:val="000000"/>
          <w:highlight w:val="none"/>
        </w:rPr>
      </w:pPr>
      <w:r>
        <w:rPr>
          <w:color w:val="000000"/>
          <w:highlight w:val="none"/>
        </w:rPr>
        <w:t>Przy zawarciu przez podwykonawcę umowy z dalszym podwykonawcą przepisy ust. 2-14 stosuje się odpowiednio.</w:t>
      </w:r>
    </w:p>
    <w:p>
      <w:pPr>
        <w:numPr>
          <w:ilvl w:val="0"/>
          <w:numId w:val="17"/>
        </w:numPr>
        <w:tabs>
          <w:tab w:val="left" w:pos="335"/>
          <w:tab w:val="clear" w:pos="720"/>
        </w:tabs>
        <w:spacing w:line="276" w:lineRule="auto"/>
        <w:ind w:left="340" w:hanging="340"/>
        <w:jc w:val="both"/>
        <w:rPr>
          <w:color w:val="000000"/>
          <w:highlight w:val="none"/>
        </w:rPr>
      </w:pPr>
      <w:r>
        <w:rPr>
          <w:color w:val="000000"/>
          <w:highlight w:val="none"/>
        </w:rPr>
        <w:t>Zasady rozliczeń:</w:t>
      </w:r>
    </w:p>
    <w:p>
      <w:pPr>
        <w:numPr>
          <w:ilvl w:val="0"/>
          <w:numId w:val="18"/>
        </w:numPr>
        <w:tabs>
          <w:tab w:val="left" w:pos="675"/>
          <w:tab w:val="clear" w:pos="720"/>
        </w:tabs>
        <w:spacing w:line="276" w:lineRule="auto"/>
        <w:ind w:left="680" w:hanging="340"/>
        <w:jc w:val="both"/>
        <w:rPr>
          <w:color w:val="000000"/>
        </w:rPr>
      </w:pPr>
      <w:r>
        <w:rPr>
          <w:color w:val="000000"/>
        </w:rPr>
        <w:t>w przypadku zawarcia umowy o podwykonawstwo, Wykonawca jest zobowiązany do dokonania we własnym zakresie zapłaty wynagrodzenia należnego podwykonawcy z zachowaniem terminów płatności określonych w umowie o podwykonawstwo, których przedmiotem są roboty budowlane, dostawy lub usługi;</w:t>
      </w:r>
    </w:p>
    <w:p>
      <w:pPr>
        <w:numPr>
          <w:ilvl w:val="0"/>
          <w:numId w:val="18"/>
        </w:numPr>
        <w:tabs>
          <w:tab w:val="left" w:pos="675"/>
          <w:tab w:val="clear" w:pos="720"/>
        </w:tabs>
        <w:spacing w:line="276" w:lineRule="auto"/>
        <w:ind w:left="680" w:hanging="340"/>
        <w:jc w:val="both"/>
        <w:rPr>
          <w:color w:val="000000"/>
        </w:rPr>
      </w:pPr>
      <w:r>
        <w:rPr>
          <w:color w:val="000000"/>
        </w:rPr>
        <w:t>warunkiem zapłaty przez Zamawiającego należnego wynagrodzenia za wykonany i odebrany element robót na podstawie złożonej faktury, jest dołączenie dowodów zapłaty podwykonawcom i dalszym podwykonawcom, którzy brali udział w realizacji tego elementu, a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oraz umowy wraz z poświadczoną za zgodność z oryginałem kopią doręczonej faktury;</w:t>
      </w:r>
    </w:p>
    <w:p>
      <w:pPr>
        <w:numPr>
          <w:ilvl w:val="0"/>
          <w:numId w:val="18"/>
        </w:numPr>
        <w:tabs>
          <w:tab w:val="left" w:pos="675"/>
          <w:tab w:val="clear" w:pos="720"/>
        </w:tabs>
        <w:spacing w:line="276" w:lineRule="auto"/>
        <w:ind w:left="680" w:hanging="340"/>
        <w:jc w:val="both"/>
        <w:rPr>
          <w:color w:val="000000"/>
        </w:rPr>
      </w:pPr>
      <w:r>
        <w:rPr>
          <w:color w:val="000000"/>
        </w:rPr>
        <w:t xml:space="preserve">w przypadku nie przedstawienia przez Wykonawcę wszystkich dowodów zapłaty, o których mowa </w:t>
      </w:r>
      <w:r>
        <w:rPr>
          <w:color w:val="000000"/>
        </w:rPr>
        <w:br w:type="textWrapping"/>
      </w:r>
      <w:r>
        <w:rPr>
          <w:color w:val="000000"/>
        </w:rPr>
        <w:t>w pkt. 2, wstrzymuje się odpowiednio zapłatę należnego wynagrodzenia za wykonany i odebrany element robót w części równej sumie kwot wynikających z nieprzedstawionych dowodów zapłaty;</w:t>
      </w:r>
    </w:p>
    <w:p>
      <w:pPr>
        <w:numPr>
          <w:ilvl w:val="0"/>
          <w:numId w:val="18"/>
        </w:numPr>
        <w:tabs>
          <w:tab w:val="left" w:pos="675"/>
          <w:tab w:val="clear" w:pos="720"/>
        </w:tabs>
        <w:spacing w:line="276" w:lineRule="auto"/>
        <w:ind w:left="680" w:hanging="340"/>
        <w:jc w:val="both"/>
        <w:rPr>
          <w:color w:val="000000"/>
        </w:rPr>
      </w:pPr>
      <w:r>
        <w:rPr>
          <w:color w:val="000000"/>
        </w:rPr>
        <w:t>w przypadku uchylenia się od obowiązku zapłaty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pPr>
        <w:numPr>
          <w:ilvl w:val="0"/>
          <w:numId w:val="18"/>
        </w:numPr>
        <w:tabs>
          <w:tab w:val="left" w:pos="675"/>
          <w:tab w:val="clear" w:pos="720"/>
        </w:tabs>
        <w:spacing w:line="276" w:lineRule="auto"/>
        <w:ind w:left="680" w:hanging="340"/>
        <w:jc w:val="both"/>
        <w:rPr>
          <w:color w:val="000000"/>
        </w:rPr>
      </w:pPr>
      <w:r>
        <w:rPr>
          <w:color w:val="000000"/>
        </w:rPr>
        <w:t>wypłata wynagrodzenia, o którym mowa w pkt.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pPr>
        <w:numPr>
          <w:ilvl w:val="0"/>
          <w:numId w:val="18"/>
        </w:numPr>
        <w:tabs>
          <w:tab w:val="left" w:pos="675"/>
          <w:tab w:val="clear" w:pos="720"/>
        </w:tabs>
        <w:spacing w:line="276" w:lineRule="auto"/>
        <w:ind w:left="680" w:hanging="340"/>
        <w:jc w:val="both"/>
        <w:rPr>
          <w:color w:val="000000"/>
          <w:highlight w:val="none"/>
        </w:rPr>
      </w:pPr>
      <w:r>
        <w:rPr>
          <w:color w:val="000000"/>
        </w:rPr>
        <w:t>bezpośrednia zapłata obejmuje wyłącznie należne wynagrodzenie, bez odsetek, należnych po</w:t>
      </w:r>
      <w:r>
        <w:rPr>
          <w:color w:val="000000"/>
          <w:highlight w:val="none"/>
        </w:rPr>
        <w:t>dwykonawcy lub dalszemu podwykonawcy;</w:t>
      </w:r>
    </w:p>
    <w:p>
      <w:pPr>
        <w:numPr>
          <w:ilvl w:val="0"/>
          <w:numId w:val="18"/>
        </w:numPr>
        <w:tabs>
          <w:tab w:val="left" w:pos="675"/>
          <w:tab w:val="clear" w:pos="720"/>
        </w:tabs>
        <w:spacing w:line="276" w:lineRule="auto"/>
        <w:ind w:left="680" w:hanging="340"/>
        <w:jc w:val="both"/>
        <w:rPr>
          <w:color w:val="000000"/>
          <w:highlight w:val="none"/>
        </w:rPr>
      </w:pPr>
      <w:r>
        <w:rPr>
          <w:color w:val="000000"/>
          <w:highlight w:val="none"/>
        </w:rPr>
        <w:t>przed dokonaniem bezpośredniej zapłaty podwykonawcy lub dalszemu podwykonawcy Zamawiający występuje do Wykonawcy z zapytaniem o wyjaśnienie przyczyn uchylania się od obowiązku zapłaty wynagrodzenia należnego podwykonawcy lub dalszemu podwykonawcy; Wykonawca ma obowiązek, w terminie 7 dni od otrzymania zapytania, udzielić w formie pisemnej wyjaśnień i potwierdzić zasadność bezpośredniej zapłaty podwykonawcy lub dalszemu podwykonawcy lub zgłosić uwagi;</w:t>
      </w:r>
      <w:r>
        <w:rPr>
          <w:color w:val="000000"/>
          <w:highlight w:val="none"/>
        </w:rPr>
        <w:br w:type="textWrapping"/>
      </w:r>
      <w:r>
        <w:rPr>
          <w:color w:val="000000"/>
          <w:highlight w:val="none"/>
        </w:rPr>
        <w:t>w uwagach nie można powoływać się na potrącenie roszczeń Wykonawcy względem podwykonawcy niezwiązanych z realizacją umowy o podwykonawstwo;</w:t>
      </w:r>
    </w:p>
    <w:p>
      <w:pPr>
        <w:numPr>
          <w:ilvl w:val="0"/>
          <w:numId w:val="18"/>
        </w:numPr>
        <w:tabs>
          <w:tab w:val="left" w:pos="675"/>
          <w:tab w:val="clear" w:pos="720"/>
        </w:tabs>
        <w:spacing w:line="276" w:lineRule="auto"/>
        <w:ind w:left="680" w:hanging="340"/>
        <w:jc w:val="both"/>
        <w:rPr>
          <w:color w:val="000000"/>
          <w:highlight w:val="none"/>
        </w:rPr>
      </w:pPr>
      <w:r>
        <w:rPr>
          <w:color w:val="000000"/>
          <w:highlight w:val="none"/>
        </w:rPr>
        <w:t>w przypadku zgłoszenia uwag, o których mowa w pkt. 7 w terminie wskazanym przez Zamawiającego, Zamawiający może:</w:t>
      </w:r>
    </w:p>
    <w:p>
      <w:pPr>
        <w:numPr>
          <w:ilvl w:val="0"/>
          <w:numId w:val="19"/>
        </w:numPr>
        <w:spacing w:line="276" w:lineRule="auto"/>
        <w:ind w:left="1020" w:hanging="340"/>
        <w:jc w:val="both"/>
        <w:rPr>
          <w:color w:val="000000"/>
        </w:rPr>
      </w:pPr>
      <w:r>
        <w:rPr>
          <w:color w:val="000000"/>
          <w:highlight w:val="none"/>
        </w:rPr>
        <w:t>nie dokonać bezpośredniej zapłaty wynagrodzenia podwykonawcy lu</w:t>
      </w:r>
      <w:r>
        <w:rPr>
          <w:color w:val="000000"/>
        </w:rPr>
        <w:t>b dalszemu podwykonawcy, jeżeli Wykonawca wykaże niezasadność takiej zapłaty, albo</w:t>
      </w:r>
    </w:p>
    <w:p>
      <w:pPr>
        <w:numPr>
          <w:ilvl w:val="0"/>
          <w:numId w:val="19"/>
        </w:numPr>
        <w:spacing w:line="276" w:lineRule="auto"/>
        <w:ind w:left="1020" w:hanging="340"/>
        <w:jc w:val="both"/>
        <w:rPr>
          <w:color w:val="000000"/>
        </w:rPr>
      </w:pPr>
      <w:r>
        <w:rPr>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pPr>
        <w:numPr>
          <w:ilvl w:val="0"/>
          <w:numId w:val="19"/>
        </w:numPr>
        <w:spacing w:line="276" w:lineRule="auto"/>
        <w:ind w:left="1020" w:hanging="340"/>
        <w:jc w:val="both"/>
        <w:rPr>
          <w:color w:val="000000"/>
        </w:rPr>
      </w:pPr>
      <w:r>
        <w:rPr>
          <w:color w:val="000000"/>
        </w:rPr>
        <w:t>dokonać bezpośredniej zapłaty wynagrodzenia podwykonawcy lub dalszemu podwykonawcy jeżeli podwykonawca lub dalszy podwykonawca wykaże zasadność takiej zapłaty;</w:t>
      </w:r>
    </w:p>
    <w:p>
      <w:pPr>
        <w:numPr>
          <w:ilvl w:val="0"/>
          <w:numId w:val="20"/>
        </w:numPr>
        <w:tabs>
          <w:tab w:val="left" w:pos="675"/>
          <w:tab w:val="left" w:pos="682"/>
          <w:tab w:val="left" w:pos="2136"/>
          <w:tab w:val="clear" w:pos="720"/>
        </w:tabs>
        <w:spacing w:line="276" w:lineRule="auto"/>
        <w:ind w:left="680" w:hanging="340"/>
        <w:jc w:val="both"/>
        <w:rPr>
          <w:color w:val="000000"/>
        </w:rPr>
      </w:pPr>
      <w:r>
        <w:rPr>
          <w:color w:val="000000"/>
        </w:rPr>
        <w:t>w przypadku dokonania bezpośredniej zapłaty podwykonawcy lub dalszemu podwykonawcy, Zamawiający potrąca kwotę wypłaconego wynagrodzenia z wynagrodzenia należnego Wykonawcy; zapłata na rzecz podwykonawcy i dalszego podwykonawcy zostanie dokonana w walucie w jakiej rozliczana jest umowa między Zamawiającym a Wykonawcą;</w:t>
      </w:r>
    </w:p>
    <w:p>
      <w:pPr>
        <w:numPr>
          <w:ilvl w:val="0"/>
          <w:numId w:val="20"/>
        </w:numPr>
        <w:tabs>
          <w:tab w:val="left" w:pos="675"/>
          <w:tab w:val="left" w:pos="682"/>
          <w:tab w:val="left" w:pos="2136"/>
          <w:tab w:val="clear" w:pos="720"/>
        </w:tabs>
        <w:spacing w:line="276" w:lineRule="auto"/>
        <w:ind w:left="680" w:hanging="340"/>
        <w:jc w:val="both"/>
        <w:rPr>
          <w:color w:val="000000"/>
        </w:rPr>
      </w:pPr>
      <w:r>
        <w:rPr>
          <w:color w:val="000000"/>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pPr>
        <w:numPr>
          <w:ilvl w:val="0"/>
          <w:numId w:val="20"/>
        </w:numPr>
        <w:tabs>
          <w:tab w:val="left" w:pos="675"/>
          <w:tab w:val="left" w:pos="682"/>
          <w:tab w:val="left" w:pos="2136"/>
          <w:tab w:val="clear" w:pos="720"/>
        </w:tabs>
        <w:spacing w:line="276" w:lineRule="auto"/>
        <w:ind w:left="680" w:hanging="340"/>
        <w:jc w:val="both"/>
        <w:rPr>
          <w:color w:val="000000"/>
        </w:rPr>
      </w:pPr>
      <w:r>
        <w:rPr>
          <w:color w:val="000000"/>
        </w:rPr>
        <w:t>przy zawarciu przez podwykonawcę umowy z dalszym podwykonawcą przepisy pkt. 1-10 stosuje się odpowiednio.</w:t>
      </w:r>
    </w:p>
    <w:p>
      <w:pPr>
        <w:numPr>
          <w:ilvl w:val="0"/>
          <w:numId w:val="21"/>
        </w:numPr>
        <w:tabs>
          <w:tab w:val="left" w:pos="335"/>
          <w:tab w:val="left" w:pos="338"/>
          <w:tab w:val="clear" w:pos="720"/>
        </w:tabs>
        <w:spacing w:line="276" w:lineRule="auto"/>
        <w:ind w:left="340" w:hanging="340"/>
        <w:jc w:val="both"/>
        <w:rPr>
          <w:b w:val="0"/>
          <w:bCs w:val="0"/>
          <w:color w:val="000000"/>
          <w:highlight w:val="none"/>
        </w:rPr>
      </w:pPr>
      <w:r>
        <w:rPr>
          <w:color w:val="000000"/>
        </w:rPr>
        <w:t xml:space="preserve">Wykonawca ponosi wobec Zamawiającego pełną odpowiedzialność za roboty, które wykonuje przy pomocy podwykonawców. Zlecenie wykonania części prac podwykonawcom nie zmienia zobowiązań Wykonawcy wobec Zamawiającego za wykonanie tej części prac. Wykonawca jest odpowiedzialny za działania, uchybienia i zaniedbania podwykonawców i ich pracowników w takim samym stopniu, jakby to </w:t>
      </w:r>
      <w:r>
        <w:rPr>
          <w:b w:val="0"/>
          <w:bCs w:val="0"/>
          <w:color w:val="000000"/>
          <w:highlight w:val="none"/>
        </w:rPr>
        <w:t>były działania Wykonawcy.</w:t>
      </w:r>
    </w:p>
    <w:p>
      <w:pPr>
        <w:numPr>
          <w:ilvl w:val="0"/>
          <w:numId w:val="21"/>
        </w:numPr>
        <w:tabs>
          <w:tab w:val="left" w:pos="335"/>
          <w:tab w:val="left" w:pos="338"/>
          <w:tab w:val="clear" w:pos="720"/>
        </w:tabs>
        <w:spacing w:line="276" w:lineRule="auto"/>
        <w:ind w:left="340" w:hanging="340"/>
        <w:jc w:val="both"/>
        <w:rPr>
          <w:color w:val="000000"/>
        </w:rPr>
      </w:pPr>
      <w:r>
        <w:rPr>
          <w:b w:val="0"/>
          <w:bCs w:val="0"/>
          <w:color w:val="000000"/>
          <w:highlight w:val="none"/>
        </w:rPr>
        <w:t>Zamawiający nie zastrzega obowiązku osobistego wykonywania zamówienia przez Wykonawcę kluczowych części zamówienia stanowiących przedmiot zamówienia.</w:t>
      </w:r>
    </w:p>
    <w:p>
      <w:pPr>
        <w:numPr>
          <w:ilvl w:val="0"/>
          <w:numId w:val="21"/>
        </w:numPr>
        <w:tabs>
          <w:tab w:val="left" w:pos="335"/>
          <w:tab w:val="left" w:pos="338"/>
          <w:tab w:val="clear" w:pos="720"/>
        </w:tabs>
        <w:spacing w:line="276" w:lineRule="auto"/>
        <w:ind w:left="340" w:hanging="340"/>
        <w:jc w:val="both"/>
        <w:rPr>
          <w:color w:val="000000"/>
        </w:rPr>
      </w:pPr>
    </w:p>
    <w:p>
      <w:pPr>
        <w:tabs>
          <w:tab w:val="left" w:pos="335"/>
        </w:tabs>
        <w:spacing w:line="276" w:lineRule="auto"/>
        <w:ind w:left="720"/>
        <w:jc w:val="both"/>
        <w:rPr>
          <w:color w:val="000000"/>
        </w:rPr>
      </w:pPr>
    </w:p>
    <w:p>
      <w:pPr>
        <w:spacing w:line="276" w:lineRule="auto"/>
        <w:jc w:val="center"/>
        <w:rPr>
          <w:b/>
          <w:color w:val="000000"/>
        </w:rPr>
      </w:pPr>
      <w:r>
        <w:rPr>
          <w:b/>
          <w:color w:val="000000"/>
        </w:rPr>
        <w:t>§ 7</w:t>
      </w:r>
    </w:p>
    <w:p>
      <w:pPr>
        <w:spacing w:line="276" w:lineRule="auto"/>
        <w:jc w:val="center"/>
        <w:rPr>
          <w:b/>
          <w:color w:val="000000"/>
        </w:rPr>
      </w:pPr>
      <w:r>
        <w:rPr>
          <w:b/>
          <w:color w:val="000000"/>
        </w:rPr>
        <w:t>Wynagrodzenie</w:t>
      </w:r>
    </w:p>
    <w:p>
      <w:pPr>
        <w:spacing w:line="276" w:lineRule="auto"/>
        <w:jc w:val="center"/>
        <w:rPr>
          <w:b/>
          <w:color w:val="000000"/>
        </w:rPr>
      </w:pPr>
    </w:p>
    <w:p>
      <w:pPr>
        <w:numPr>
          <w:ilvl w:val="0"/>
          <w:numId w:val="22"/>
        </w:numPr>
        <w:tabs>
          <w:tab w:val="left" w:pos="335"/>
          <w:tab w:val="clear" w:pos="720"/>
        </w:tabs>
        <w:spacing w:line="276" w:lineRule="auto"/>
        <w:ind w:left="340" w:hanging="340"/>
        <w:jc w:val="both"/>
        <w:rPr>
          <w:color w:val="000000"/>
        </w:rPr>
      </w:pPr>
      <w:r>
        <w:rPr>
          <w:color w:val="000000"/>
        </w:rPr>
        <w:t>Za wykonane roboty Zamawiający zapłaci Wykonawcy wynagrodzenie ryczałtowe określone w formularzu oferty dla tego zakresu robót, stanowiącym załącznik nr 1 do niniejszej umowy ustalone na kwotę w wysokości ................................... zł łącznie z podatkiem VAT (słownie:…………......…...złotych).</w:t>
      </w:r>
    </w:p>
    <w:p>
      <w:pPr>
        <w:numPr>
          <w:ilvl w:val="0"/>
          <w:numId w:val="22"/>
        </w:numPr>
        <w:tabs>
          <w:tab w:val="left" w:pos="335"/>
          <w:tab w:val="clear" w:pos="720"/>
        </w:tabs>
        <w:spacing w:line="276" w:lineRule="auto"/>
        <w:ind w:left="340" w:hanging="340"/>
        <w:jc w:val="both"/>
        <w:rPr>
          <w:color w:val="000000"/>
        </w:rPr>
      </w:pPr>
      <w:r>
        <w:rPr>
          <w:color w:val="000000"/>
        </w:rPr>
        <w:t>Kwota wymieniona w ust. 1 zawiera wszystkie koszty związane z realizacją robót objętych dokumentacją wykonawczą.</w:t>
      </w:r>
    </w:p>
    <w:p>
      <w:pPr>
        <w:numPr>
          <w:ilvl w:val="0"/>
          <w:numId w:val="22"/>
        </w:numPr>
        <w:tabs>
          <w:tab w:val="left" w:pos="335"/>
          <w:tab w:val="clear" w:pos="720"/>
        </w:tabs>
        <w:spacing w:line="276" w:lineRule="auto"/>
        <w:ind w:left="340" w:hanging="340"/>
        <w:jc w:val="both"/>
        <w:rPr>
          <w:color w:val="000000"/>
        </w:rPr>
      </w:pPr>
      <w:r>
        <w:rPr>
          <w:color w:val="000000"/>
        </w:rPr>
        <w:t>Niedoszacowanie, pominięcie oraz brak rozpoznania zakresu przedmiotu umowy nie może być podstawą do żądania zmiany wynagrodzenia ryczałtowego określonego w ust. 1.</w:t>
      </w:r>
    </w:p>
    <w:p>
      <w:pPr>
        <w:numPr>
          <w:ilvl w:val="0"/>
          <w:numId w:val="22"/>
        </w:numPr>
        <w:tabs>
          <w:tab w:val="left" w:pos="335"/>
          <w:tab w:val="clear" w:pos="720"/>
        </w:tabs>
        <w:spacing w:line="276" w:lineRule="auto"/>
        <w:ind w:left="340" w:hanging="340"/>
        <w:jc w:val="both"/>
        <w:rPr>
          <w:color w:val="000000"/>
        </w:rPr>
      </w:pPr>
      <w:r>
        <w:rPr>
          <w:color w:val="000000"/>
        </w:rPr>
        <w:t>Kosztorys ofertowy, który stanowił postawę wyliczenia ceny oferowanej wraz z podanymi cenami jednostkowymi oraz czynnikami cenotwórczymi, stanowi załącznik nr 2 do niniejszej umowy</w:t>
      </w:r>
    </w:p>
    <w:p>
      <w:pPr>
        <w:tabs>
          <w:tab w:val="left" w:pos="335"/>
        </w:tabs>
        <w:spacing w:line="276" w:lineRule="auto"/>
        <w:jc w:val="both"/>
        <w:rPr>
          <w:color w:val="000000"/>
        </w:rPr>
      </w:pPr>
    </w:p>
    <w:p>
      <w:pPr>
        <w:tabs>
          <w:tab w:val="left" w:pos="335"/>
        </w:tabs>
        <w:spacing w:line="276" w:lineRule="auto"/>
        <w:jc w:val="both"/>
        <w:rPr>
          <w:color w:val="000000"/>
        </w:rPr>
      </w:pPr>
    </w:p>
    <w:p>
      <w:pPr>
        <w:spacing w:line="276" w:lineRule="auto"/>
        <w:jc w:val="center"/>
      </w:pPr>
      <w:r>
        <w:rPr>
          <w:b/>
          <w:color w:val="000000"/>
        </w:rPr>
        <w:t>§ 8</w:t>
      </w:r>
    </w:p>
    <w:p>
      <w:pPr>
        <w:spacing w:line="276" w:lineRule="auto"/>
        <w:jc w:val="center"/>
        <w:rPr>
          <w:b/>
          <w:color w:val="FF0000"/>
        </w:rPr>
      </w:pPr>
      <w:r>
        <w:rPr>
          <w:b/>
          <w:color w:val="000000"/>
        </w:rPr>
        <w:t xml:space="preserve">Warunki płatności </w:t>
      </w:r>
    </w:p>
    <w:p>
      <w:pPr>
        <w:spacing w:line="276" w:lineRule="auto"/>
        <w:jc w:val="both"/>
        <w:rPr>
          <w:b/>
          <w:color w:val="000000"/>
          <w:highlight w:val="yellow"/>
        </w:rPr>
      </w:pPr>
    </w:p>
    <w:p>
      <w:pPr>
        <w:numPr>
          <w:ilvl w:val="0"/>
          <w:numId w:val="23"/>
        </w:numPr>
        <w:tabs>
          <w:tab w:val="left" w:pos="335"/>
          <w:tab w:val="clear" w:pos="360"/>
        </w:tabs>
        <w:overflowPunct w:val="0"/>
        <w:spacing w:line="276" w:lineRule="auto"/>
        <w:ind w:left="340" w:hanging="340"/>
        <w:jc w:val="both"/>
        <w:rPr>
          <w:color w:val="000000"/>
        </w:rPr>
      </w:pPr>
      <w:r>
        <w:rPr>
          <w:color w:val="000000"/>
        </w:rPr>
        <w:t>Zamawiający w niniejszym postępowaniu warunki płatności opiera zgodnie z zasadami trzech programów dotacyjnych:</w:t>
      </w:r>
    </w:p>
    <w:p>
      <w:pPr>
        <w:numPr>
          <w:ilvl w:val="0"/>
          <w:numId w:val="24"/>
        </w:numPr>
        <w:tabs>
          <w:tab w:val="left" w:pos="335"/>
          <w:tab w:val="clear" w:pos="425"/>
        </w:tabs>
        <w:overflowPunct w:val="0"/>
        <w:spacing w:line="276" w:lineRule="auto"/>
        <w:jc w:val="both"/>
        <w:rPr>
          <w:color w:val="000000"/>
        </w:rPr>
      </w:pPr>
      <w:r>
        <w:rPr>
          <w:color w:val="000000"/>
        </w:rPr>
        <w:t>Rządowego Funduszu Polski Ład: Program Inwestycji Strategicznych” - edycja 2,</w:t>
      </w:r>
    </w:p>
    <w:p>
      <w:pPr>
        <w:numPr>
          <w:ilvl w:val="0"/>
          <w:numId w:val="24"/>
        </w:numPr>
        <w:tabs>
          <w:tab w:val="left" w:pos="335"/>
          <w:tab w:val="clear" w:pos="425"/>
        </w:tabs>
        <w:overflowPunct w:val="0"/>
        <w:spacing w:line="276" w:lineRule="auto"/>
        <w:jc w:val="both"/>
        <w:rPr>
          <w:color w:val="000000"/>
        </w:rPr>
      </w:pPr>
      <w:r>
        <w:rPr>
          <w:color w:val="000000"/>
        </w:rPr>
        <w:t>Funduszu Rozwoju Kultury Fizycznej zadania inwestycyjnego w ramach programu Sportowa Polska – program rozwoju lokalnej infrastruktury sportowej – edycja 2021,</w:t>
      </w:r>
    </w:p>
    <w:p>
      <w:pPr>
        <w:numPr>
          <w:ilvl w:val="0"/>
          <w:numId w:val="24"/>
        </w:numPr>
        <w:tabs>
          <w:tab w:val="left" w:pos="335"/>
          <w:tab w:val="clear" w:pos="425"/>
        </w:tabs>
        <w:overflowPunct w:val="0"/>
        <w:spacing w:line="276" w:lineRule="auto"/>
        <w:jc w:val="both"/>
        <w:rPr>
          <w:color w:val="000000"/>
        </w:rPr>
      </w:pPr>
      <w:r>
        <w:rPr>
          <w:color w:val="000000"/>
        </w:rPr>
        <w:t>Rządowego Funduszu Inwestycji Lokalnych (RFIL).</w:t>
      </w:r>
    </w:p>
    <w:p>
      <w:pPr>
        <w:numPr>
          <w:ilvl w:val="0"/>
          <w:numId w:val="23"/>
        </w:numPr>
        <w:tabs>
          <w:tab w:val="left" w:pos="335"/>
          <w:tab w:val="clear" w:pos="360"/>
        </w:tabs>
        <w:overflowPunct w:val="0"/>
        <w:spacing w:line="276" w:lineRule="auto"/>
        <w:ind w:left="340" w:hanging="340"/>
        <w:jc w:val="both"/>
        <w:rPr>
          <w:color w:val="000000"/>
        </w:rPr>
      </w:pPr>
      <w:r>
        <w:rPr>
          <w:color w:val="000000"/>
        </w:rPr>
        <w:t>Zamawiający w znaczącym zakresie warunki postępowania na zamówienie publiczne dostosowuje do wstępnej promesy obejmującej dofinansowanie z Rządowego Funduszu Polski Ład: Program Inwestycji Strategicznych”.</w:t>
      </w:r>
    </w:p>
    <w:p>
      <w:pPr>
        <w:numPr>
          <w:ilvl w:val="0"/>
          <w:numId w:val="23"/>
        </w:numPr>
        <w:tabs>
          <w:tab w:val="left" w:pos="335"/>
          <w:tab w:val="clear" w:pos="360"/>
        </w:tabs>
        <w:overflowPunct w:val="0"/>
        <w:spacing w:line="276" w:lineRule="auto"/>
        <w:ind w:left="340" w:hanging="340"/>
        <w:jc w:val="both"/>
        <w:rPr>
          <w:color w:val="000000"/>
        </w:rPr>
      </w:pPr>
      <w:r>
        <w:rPr>
          <w:color w:val="000000"/>
        </w:rPr>
        <w:t>Zamawiający wnioskował zgodnie z par. 8a ust. 1 uchwały nr 205/2022 Rady Ministrów z dnia 13 października 2022 r. zmieniającej uchwałę w sprawie ustanowienia Rządowego Funduszu Polski Ład: Programu Inwestycji Strategicznych, o korektę zakresu inwestycji objętej dofinansowaniem określonej we wstępnej promesie. W związku z tym zawarcie umowy na realizację inwestycji jest możliwe dopiero po zaakceptowaniu przez Prezesa Rady Ministrów wniosku o zmianę warunków promesy i opublikowaniu go na ostatecznej liście wniosków o zmianę zakresu inwestycji.</w:t>
      </w:r>
    </w:p>
    <w:p>
      <w:pPr>
        <w:numPr>
          <w:ilvl w:val="0"/>
          <w:numId w:val="23"/>
        </w:numPr>
        <w:tabs>
          <w:tab w:val="left" w:pos="335"/>
          <w:tab w:val="clear" w:pos="360"/>
        </w:tabs>
        <w:overflowPunct w:val="0"/>
        <w:spacing w:line="276" w:lineRule="auto"/>
        <w:ind w:left="340" w:hanging="340"/>
        <w:jc w:val="both"/>
        <w:rPr>
          <w:color w:val="000000"/>
        </w:rPr>
      </w:pPr>
      <w:r>
        <w:rPr>
          <w:color w:val="000000"/>
        </w:rPr>
        <w:t xml:space="preserve">Zamawiający dopuszcza uruchomienie innych płatności, w tym również własnych obejmujących możliwość uruchomienia wcześniejszych płatności, zgodnie z warunkami programów, tym samym będących „wkładem własnym” Gminy, w rozumieniu programów dofinansowujących niniejszą inwestycję. </w:t>
      </w:r>
    </w:p>
    <w:p>
      <w:pPr>
        <w:numPr>
          <w:ilvl w:val="0"/>
          <w:numId w:val="23"/>
        </w:numPr>
        <w:tabs>
          <w:tab w:val="left" w:pos="335"/>
          <w:tab w:val="clear" w:pos="360"/>
        </w:tabs>
        <w:overflowPunct w:val="0"/>
        <w:spacing w:line="276" w:lineRule="auto"/>
        <w:ind w:left="340" w:hanging="340"/>
        <w:jc w:val="both"/>
        <w:rPr>
          <w:color w:val="000000"/>
          <w:highlight w:val="none"/>
        </w:rPr>
      </w:pPr>
      <w:r>
        <w:rPr>
          <w:color w:val="000000"/>
        </w:rPr>
        <w:t xml:space="preserve">W </w:t>
      </w:r>
      <w:r>
        <w:rPr>
          <w:color w:val="000000"/>
          <w:highlight w:val="none"/>
        </w:rPr>
        <w:t>pierwszej kolejności Zamawiający dokona płatności w ramach środków będących wkładem własnym Zamawiającego.</w:t>
      </w:r>
    </w:p>
    <w:p>
      <w:pPr>
        <w:numPr>
          <w:ilvl w:val="0"/>
          <w:numId w:val="23"/>
        </w:numPr>
        <w:tabs>
          <w:tab w:val="left" w:pos="335"/>
          <w:tab w:val="clear" w:pos="360"/>
        </w:tabs>
        <w:overflowPunct w:val="0"/>
        <w:spacing w:line="276" w:lineRule="auto"/>
        <w:ind w:left="340" w:hanging="340"/>
        <w:jc w:val="both"/>
        <w:rPr>
          <w:highlight w:val="none"/>
        </w:rPr>
      </w:pPr>
      <w:r>
        <w:rPr>
          <w:highlight w:val="none"/>
        </w:rPr>
        <w:t>Zamawiający dopuszcza również wcześniejsze płatności Wykonawcy, o ile kondycja finansowa Zamawiającego na to pozwoli.</w:t>
      </w:r>
    </w:p>
    <w:p>
      <w:pPr>
        <w:numPr>
          <w:ilvl w:val="0"/>
          <w:numId w:val="23"/>
        </w:numPr>
        <w:tabs>
          <w:tab w:val="left" w:pos="335"/>
          <w:tab w:val="clear" w:pos="360"/>
        </w:tabs>
        <w:overflowPunct w:val="0"/>
        <w:spacing w:line="276" w:lineRule="auto"/>
        <w:ind w:left="340" w:hanging="340"/>
        <w:jc w:val="both"/>
      </w:pPr>
      <w:r>
        <w:rPr>
          <w:highlight w:val="none"/>
        </w:rPr>
        <w:t>Wynagrodzenie zostanie wypłac</w:t>
      </w:r>
      <w:r>
        <w:t xml:space="preserve">one po zakończeniu przez Wykonawcę części inwestycji lub jej całości oraz po przedłożeniu faktur oraz protokołu odbioru robót (w tym częściowego) oraz po uzyskaniu decyzji na użytkowanie obiektów, z zastrzeżeniem płatności w transzach o których mowa w umowie. </w:t>
      </w:r>
    </w:p>
    <w:p>
      <w:pPr>
        <w:numPr>
          <w:ilvl w:val="0"/>
          <w:numId w:val="23"/>
        </w:numPr>
        <w:tabs>
          <w:tab w:val="left" w:pos="335"/>
          <w:tab w:val="clear" w:pos="360"/>
        </w:tabs>
        <w:overflowPunct w:val="0"/>
        <w:spacing w:line="276" w:lineRule="auto"/>
        <w:ind w:left="340" w:hanging="340"/>
        <w:jc w:val="both"/>
        <w:rPr>
          <w:color w:val="000000"/>
        </w:rPr>
      </w:pPr>
      <w:r>
        <w:rPr>
          <w:color w:val="000000"/>
        </w:rPr>
        <w:t>Wypłata dofinansowania z Programu następuje po spełnieniu warunków wynikających z promesy i Regulaminu Programu oraz po złożeniu przez Zamawiającego wniosku o wypłatę środków.</w:t>
      </w:r>
    </w:p>
    <w:p>
      <w:pPr>
        <w:numPr>
          <w:ilvl w:val="0"/>
          <w:numId w:val="23"/>
        </w:numPr>
        <w:tabs>
          <w:tab w:val="left" w:pos="335"/>
          <w:tab w:val="clear" w:pos="360"/>
        </w:tabs>
        <w:overflowPunct w:val="0"/>
        <w:spacing w:line="276" w:lineRule="auto"/>
        <w:ind w:left="340" w:hanging="340"/>
        <w:jc w:val="both"/>
        <w:rPr>
          <w:color w:val="000000"/>
        </w:rPr>
      </w:pPr>
      <w:r>
        <w:rPr>
          <w:color w:val="000000"/>
        </w:rPr>
        <w:t>Wypłata dofinansowania z Programu Polski Ład na podstawie promesy nastąpi w dwóch transzach, zgodnie z następującymi zasadami określonymi w uchwale nr 84/2021 Rady Ministrów z dnia 1 lipca 2021r. w sprawie ustanowienia Rządowego Funduszu Polski Ład: Programu Inwestycji Strategicznych. Zamawiający przyjął, iż wypłata środków wynikających z promesy na konto Zamawiającego nastąpi w dwóch transzach, każdorazowo po zakończeniu określonego etapu prac w ramach realizacji inwestycji:</w:t>
      </w:r>
    </w:p>
    <w:p>
      <w:pPr>
        <w:numPr>
          <w:ilvl w:val="0"/>
          <w:numId w:val="25"/>
        </w:numPr>
        <w:tabs>
          <w:tab w:val="left" w:pos="335"/>
          <w:tab w:val="clear" w:pos="425"/>
        </w:tabs>
        <w:overflowPunct w:val="0"/>
        <w:spacing w:line="276" w:lineRule="auto"/>
        <w:jc w:val="both"/>
        <w:rPr>
          <w:highlight w:val="none"/>
        </w:rPr>
      </w:pPr>
      <w:r>
        <w:rPr>
          <w:b/>
          <w:bCs/>
          <w:highlight w:val="none"/>
        </w:rPr>
        <w:t>pierwsza transza w 2023 r</w:t>
      </w:r>
      <w:r>
        <w:rPr>
          <w:highlight w:val="none"/>
        </w:rPr>
        <w:t>. w wysokości nie wyższej niż 50% kwoty dofinansowania z Programu określonej w promesie –</w:t>
      </w:r>
      <w:r>
        <w:rPr>
          <w:rFonts w:hint="default"/>
          <w:highlight w:val="none"/>
          <w:lang w:val="pl-PL"/>
        </w:rPr>
        <w:t xml:space="preserve"> </w:t>
      </w:r>
      <w:r>
        <w:rPr>
          <w:rFonts w:hint="default"/>
          <w:b/>
          <w:bCs/>
          <w:highlight w:val="none"/>
          <w:lang w:val="pl-PL"/>
        </w:rPr>
        <w:t>w wysokości nie wyższej niż</w:t>
      </w:r>
      <w:r>
        <w:rPr>
          <w:b/>
          <w:bCs/>
          <w:highlight w:val="none"/>
        </w:rPr>
        <w:t xml:space="preserve"> 4,75 mln zł,</w:t>
      </w:r>
    </w:p>
    <w:p>
      <w:pPr>
        <w:numPr>
          <w:ilvl w:val="0"/>
          <w:numId w:val="25"/>
        </w:numPr>
        <w:tabs>
          <w:tab w:val="left" w:pos="335"/>
          <w:tab w:val="clear" w:pos="425"/>
        </w:tabs>
        <w:overflowPunct w:val="0"/>
        <w:spacing w:line="276" w:lineRule="auto"/>
        <w:jc w:val="both"/>
        <w:rPr>
          <w:color w:val="FF0000"/>
          <w:highlight w:val="none"/>
        </w:rPr>
      </w:pPr>
      <w:r>
        <w:rPr>
          <w:b/>
          <w:bCs/>
          <w:highlight w:val="none"/>
        </w:rPr>
        <w:t>druga transza w 2024 r.</w:t>
      </w:r>
      <w:r>
        <w:rPr>
          <w:highlight w:val="none"/>
        </w:rPr>
        <w:t xml:space="preserve"> wysokości pozostałej do zapłaty kwoty dofinansowania z Programu określonej w promesi</w:t>
      </w:r>
      <w:r>
        <w:rPr>
          <w:color w:val="auto"/>
          <w:highlight w:val="none"/>
        </w:rPr>
        <w:t>e –</w:t>
      </w:r>
      <w:r>
        <w:rPr>
          <w:rFonts w:hint="default"/>
          <w:color w:val="auto"/>
          <w:highlight w:val="none"/>
          <w:lang w:val="pl-PL"/>
        </w:rPr>
        <w:t xml:space="preserve"> zgodnie z założonym przez Zamawiającego planem wypłat środków pozostanie do wypłaty</w:t>
      </w:r>
      <w:r>
        <w:rPr>
          <w:color w:val="auto"/>
          <w:highlight w:val="none"/>
        </w:rPr>
        <w:t xml:space="preserve"> </w:t>
      </w:r>
      <w:r>
        <w:rPr>
          <w:b/>
          <w:bCs/>
          <w:color w:val="auto"/>
          <w:highlight w:val="none"/>
        </w:rPr>
        <w:t>4,75 mln zł.</w:t>
      </w:r>
    </w:p>
    <w:p>
      <w:pPr>
        <w:numPr>
          <w:ilvl w:val="0"/>
          <w:numId w:val="23"/>
        </w:numPr>
        <w:tabs>
          <w:tab w:val="left" w:pos="335"/>
          <w:tab w:val="clear" w:pos="360"/>
        </w:tabs>
        <w:overflowPunct w:val="0"/>
        <w:spacing w:line="276" w:lineRule="auto"/>
        <w:ind w:left="340" w:hanging="340"/>
        <w:jc w:val="both"/>
        <w:rPr>
          <w:highlight w:val="none"/>
        </w:rPr>
      </w:pPr>
      <w:r>
        <w:t>Zgodnie z warunkami umowy wynikającymi z dofinansowania pochodzącego z Funduszu Rozwoju Kultury Fizycznej zadania inwestycyjnego w ramach programu Sportowa Polska – program rozwoju lokalnej infrastruktury sportowej, wypłata dofinansowania na konto Zamawiającego nastąpi w trzech transzach, każdoraz</w:t>
      </w:r>
      <w:r>
        <w:rPr>
          <w:highlight w:val="none"/>
        </w:rPr>
        <w:t>owo po zakończeniu określonego etapu prac w ramach realizacji inwestycji:</w:t>
      </w:r>
    </w:p>
    <w:p>
      <w:pPr>
        <w:numPr>
          <w:ilvl w:val="0"/>
          <w:numId w:val="26"/>
        </w:numPr>
        <w:tabs>
          <w:tab w:val="left" w:pos="335"/>
          <w:tab w:val="clear" w:pos="425"/>
        </w:tabs>
        <w:overflowPunct w:val="0"/>
        <w:spacing w:line="276" w:lineRule="auto"/>
        <w:jc w:val="both"/>
        <w:rPr>
          <w:highlight w:val="none"/>
        </w:rPr>
      </w:pPr>
      <w:r>
        <w:rPr>
          <w:b/>
          <w:bCs/>
          <w:highlight w:val="none"/>
        </w:rPr>
        <w:t>pierwsza w IV kwartale 2023 roku</w:t>
      </w:r>
      <w:r>
        <w:rPr>
          <w:highlight w:val="none"/>
        </w:rPr>
        <w:t xml:space="preserve"> –</w:t>
      </w:r>
      <w:r>
        <w:rPr>
          <w:rFonts w:hint="default"/>
          <w:highlight w:val="none"/>
          <w:lang w:val="pl-PL"/>
        </w:rPr>
        <w:t xml:space="preserve"> </w:t>
      </w:r>
      <w:r>
        <w:rPr>
          <w:rFonts w:hint="default"/>
          <w:b/>
          <w:bCs/>
          <w:highlight w:val="none"/>
          <w:lang w:val="pl-PL"/>
        </w:rPr>
        <w:t>nie więcej niż</w:t>
      </w:r>
      <w:r>
        <w:rPr>
          <w:b/>
          <w:bCs/>
          <w:highlight w:val="none"/>
        </w:rPr>
        <w:t xml:space="preserve"> 1 mln zł</w:t>
      </w:r>
      <w:r>
        <w:rPr>
          <w:highlight w:val="none"/>
        </w:rPr>
        <w:t>,</w:t>
      </w:r>
    </w:p>
    <w:p>
      <w:pPr>
        <w:numPr>
          <w:ilvl w:val="0"/>
          <w:numId w:val="26"/>
        </w:numPr>
        <w:tabs>
          <w:tab w:val="left" w:pos="335"/>
          <w:tab w:val="clear" w:pos="425"/>
        </w:tabs>
        <w:overflowPunct w:val="0"/>
        <w:spacing w:line="276" w:lineRule="auto"/>
        <w:jc w:val="both"/>
        <w:rPr>
          <w:highlight w:val="none"/>
        </w:rPr>
      </w:pPr>
      <w:r>
        <w:rPr>
          <w:b/>
          <w:bCs/>
          <w:highlight w:val="none"/>
        </w:rPr>
        <w:t>druga w IV kwartale 2024 roku</w:t>
      </w:r>
      <w:r>
        <w:rPr>
          <w:highlight w:val="none"/>
        </w:rPr>
        <w:t xml:space="preserve"> –</w:t>
      </w:r>
      <w:r>
        <w:rPr>
          <w:rFonts w:hint="default"/>
          <w:highlight w:val="none"/>
          <w:lang w:val="pl-PL"/>
        </w:rPr>
        <w:t xml:space="preserve"> </w:t>
      </w:r>
      <w:r>
        <w:rPr>
          <w:rFonts w:hint="default"/>
          <w:b/>
          <w:bCs/>
          <w:highlight w:val="none"/>
          <w:lang w:val="pl-PL"/>
        </w:rPr>
        <w:t xml:space="preserve">nie więcej niż </w:t>
      </w:r>
      <w:r>
        <w:rPr>
          <w:b/>
          <w:bCs/>
          <w:highlight w:val="none"/>
        </w:rPr>
        <w:t>1 mln zł</w:t>
      </w:r>
      <w:r>
        <w:rPr>
          <w:highlight w:val="none"/>
        </w:rPr>
        <w:t>,</w:t>
      </w:r>
    </w:p>
    <w:p>
      <w:pPr>
        <w:numPr>
          <w:ilvl w:val="0"/>
          <w:numId w:val="26"/>
        </w:numPr>
        <w:tabs>
          <w:tab w:val="left" w:pos="335"/>
          <w:tab w:val="clear" w:pos="425"/>
        </w:tabs>
        <w:overflowPunct w:val="0"/>
        <w:spacing w:line="276" w:lineRule="auto"/>
        <w:jc w:val="both"/>
        <w:rPr>
          <w:highlight w:val="none"/>
        </w:rPr>
      </w:pPr>
      <w:r>
        <w:rPr>
          <w:b/>
          <w:bCs/>
          <w:highlight w:val="none"/>
        </w:rPr>
        <w:t>trzecia</w:t>
      </w:r>
      <w:r>
        <w:rPr>
          <w:highlight w:val="none"/>
        </w:rPr>
        <w:t xml:space="preserve"> (ostatnia będąca pozostałą kwotą dofinansowania z tego programu) </w:t>
      </w:r>
      <w:r>
        <w:rPr>
          <w:b/>
          <w:bCs/>
          <w:highlight w:val="none"/>
        </w:rPr>
        <w:t xml:space="preserve">w </w:t>
      </w:r>
      <w:r>
        <w:rPr>
          <w:rFonts w:hint="default"/>
          <w:b/>
          <w:bCs/>
          <w:highlight w:val="none"/>
          <w:lang w:val="pl-PL"/>
        </w:rPr>
        <w:t>I</w:t>
      </w:r>
      <w:r>
        <w:rPr>
          <w:b/>
          <w:bCs/>
          <w:highlight w:val="none"/>
        </w:rPr>
        <w:t xml:space="preserve"> kwartale 2025 roku </w:t>
      </w:r>
      <w:r>
        <w:rPr>
          <w:highlight w:val="none"/>
        </w:rPr>
        <w:t>–</w:t>
      </w:r>
      <w:r>
        <w:rPr>
          <w:rFonts w:hint="default"/>
          <w:highlight w:val="none"/>
          <w:lang w:val="pl-PL"/>
        </w:rPr>
        <w:t xml:space="preserve"> zgodnie z założonym przez Zamawiającego planem wypłat środków pozostanie do wypłaty</w:t>
      </w:r>
      <w:r>
        <w:rPr>
          <w:highlight w:val="none"/>
        </w:rPr>
        <w:t xml:space="preserve"> </w:t>
      </w:r>
      <w:r>
        <w:rPr>
          <w:rFonts w:hint="default"/>
          <w:b/>
          <w:bCs/>
          <w:highlight w:val="none"/>
          <w:lang w:val="pl-PL"/>
        </w:rPr>
        <w:t xml:space="preserve">nie więcej niż </w:t>
      </w:r>
      <w:r>
        <w:rPr>
          <w:b/>
          <w:bCs/>
          <w:highlight w:val="none"/>
        </w:rPr>
        <w:t>1 mln zł</w:t>
      </w:r>
      <w:r>
        <w:rPr>
          <w:highlight w:val="none"/>
        </w:rPr>
        <w:t>.</w:t>
      </w:r>
    </w:p>
    <w:p>
      <w:pPr>
        <w:numPr>
          <w:ilvl w:val="0"/>
          <w:numId w:val="23"/>
        </w:numPr>
        <w:tabs>
          <w:tab w:val="left" w:pos="335"/>
          <w:tab w:val="clear" w:pos="360"/>
        </w:tabs>
        <w:overflowPunct w:val="0"/>
        <w:spacing w:line="276" w:lineRule="auto"/>
        <w:ind w:left="340" w:hanging="340"/>
        <w:jc w:val="both"/>
      </w:pPr>
      <w:r>
        <w:rPr>
          <w:highlight w:val="none"/>
        </w:rPr>
        <w:t>Środki pochodzące z Rządowego Funduszu In</w:t>
      </w:r>
      <w:r>
        <w:t>westycji Lokalnych (RFIL) na dzień zawarcia umowy znajdują się w posiadaniu Zamawiającego – 4 mln.</w:t>
      </w:r>
    </w:p>
    <w:p>
      <w:pPr>
        <w:numPr>
          <w:ilvl w:val="0"/>
          <w:numId w:val="23"/>
        </w:numPr>
        <w:tabs>
          <w:tab w:val="left" w:pos="335"/>
          <w:tab w:val="clear" w:pos="360"/>
        </w:tabs>
        <w:overflowPunct w:val="0"/>
        <w:spacing w:line="276" w:lineRule="auto"/>
        <w:ind w:left="340" w:hanging="340"/>
        <w:jc w:val="both"/>
      </w:pPr>
      <w:r>
        <w:t>Zamawiający w związku z powyższymi transzami uwarunkowanym przez niniejsze programy dofinansowujące przewiduje bezpośrednią wypłatę środków zgodnie z założonym przez Zamawiającego planem płatności oraz zgodnością przedłożonych faktur:</w:t>
      </w:r>
    </w:p>
    <w:p>
      <w:pPr>
        <w:pStyle w:val="242"/>
        <w:numPr>
          <w:ilvl w:val="0"/>
          <w:numId w:val="27"/>
        </w:numPr>
        <w:tabs>
          <w:tab w:val="left" w:pos="335"/>
        </w:tabs>
        <w:overflowPunct w:val="0"/>
        <w:spacing w:line="276" w:lineRule="auto"/>
        <w:jc w:val="both"/>
        <w:rPr>
          <w:rFonts w:ascii="Times New Roman" w:hAnsi="Times New Roman" w:cs="Times New Roman"/>
          <w:b w:val="0"/>
          <w:bCs w:val="0"/>
          <w:color w:val="auto"/>
          <w:sz w:val="22"/>
          <w:highlight w:val="none"/>
        </w:rPr>
      </w:pPr>
      <w:bookmarkStart w:id="1" w:name="_Hlk125442359"/>
      <w:r>
        <w:rPr>
          <w:rFonts w:ascii="Times New Roman" w:hAnsi="Times New Roman" w:cs="Times New Roman"/>
          <w:b/>
          <w:bCs/>
          <w:color w:val="auto"/>
          <w:sz w:val="22"/>
          <w:highlight w:val="none"/>
        </w:rPr>
        <w:t xml:space="preserve">w 2023 roku </w:t>
      </w:r>
      <w:r>
        <w:rPr>
          <w:rFonts w:ascii="Times New Roman" w:hAnsi="Times New Roman" w:cs="Times New Roman"/>
          <w:b w:val="0"/>
          <w:bCs w:val="0"/>
          <w:color w:val="auto"/>
          <w:sz w:val="22"/>
          <w:highlight w:val="none"/>
        </w:rPr>
        <w:t>Zamawiający wypłaci Wykonawcy</w:t>
      </w:r>
      <w:bookmarkEnd w:id="1"/>
      <w:r>
        <w:rPr>
          <w:rFonts w:ascii="Times New Roman" w:hAnsi="Times New Roman" w:cs="Times New Roman"/>
          <w:b w:val="0"/>
          <w:bCs w:val="0"/>
          <w:color w:val="auto"/>
          <w:sz w:val="22"/>
          <w:highlight w:val="none"/>
        </w:rPr>
        <w:t xml:space="preserve"> 4 mln zł pochodzących z programu REFIL oraz 1 mln zł pochodzący ze środków własnych. Podsumowując Zamawiający w niniejszym roku </w:t>
      </w:r>
      <w:r>
        <w:rPr>
          <w:rFonts w:ascii="Times New Roman" w:hAnsi="Times New Roman" w:cs="Times New Roman"/>
          <w:b/>
          <w:bCs/>
          <w:color w:val="auto"/>
          <w:sz w:val="22"/>
          <w:highlight w:val="none"/>
        </w:rPr>
        <w:t>planuje wypłacić Wykonawcy 5 mln</w:t>
      </w:r>
      <w:r>
        <w:rPr>
          <w:rFonts w:hint="default" w:ascii="Times New Roman" w:hAnsi="Times New Roman" w:cs="Times New Roman"/>
          <w:b/>
          <w:bCs/>
          <w:color w:val="auto"/>
          <w:sz w:val="22"/>
          <w:highlight w:val="none"/>
          <w:lang w:val="pl-PL"/>
        </w:rPr>
        <w:t xml:space="preserve"> zł</w:t>
      </w:r>
      <w:r>
        <w:rPr>
          <w:rFonts w:ascii="Times New Roman" w:hAnsi="Times New Roman" w:cs="Times New Roman"/>
          <w:b w:val="0"/>
          <w:bCs w:val="0"/>
          <w:color w:val="auto"/>
          <w:sz w:val="22"/>
          <w:highlight w:val="none"/>
        </w:rPr>
        <w:t>, odpowiednio po przedłożeniu Zamawiającemu faktur</w:t>
      </w:r>
      <w:r>
        <w:rPr>
          <w:rFonts w:hint="default" w:ascii="Times New Roman" w:hAnsi="Times New Roman" w:cs="Times New Roman"/>
          <w:b w:val="0"/>
          <w:bCs w:val="0"/>
          <w:color w:val="auto"/>
          <w:sz w:val="22"/>
          <w:highlight w:val="none"/>
          <w:lang w:val="pl-PL"/>
        </w:rPr>
        <w:t>. Z z</w:t>
      </w:r>
      <w:r>
        <w:rPr>
          <w:rFonts w:hint="default" w:ascii="Times New Roman" w:hAnsi="Times New Roman"/>
          <w:b w:val="0"/>
          <w:bCs w:val="0"/>
          <w:color w:val="auto"/>
          <w:sz w:val="22"/>
          <w:highlight w:val="none"/>
          <w:lang w:val="pl-PL"/>
        </w:rPr>
        <w:t>astrzeżeniem konieczności prawidłowego wykonania robót na tę kwotę;</w:t>
      </w:r>
    </w:p>
    <w:p>
      <w:pPr>
        <w:pStyle w:val="242"/>
        <w:numPr>
          <w:ilvl w:val="0"/>
          <w:numId w:val="27"/>
        </w:numPr>
        <w:tabs>
          <w:tab w:val="left" w:pos="335"/>
        </w:tabs>
        <w:overflowPunct w:val="0"/>
        <w:spacing w:line="276" w:lineRule="auto"/>
        <w:jc w:val="both"/>
        <w:rPr>
          <w:rFonts w:ascii="Times New Roman" w:hAnsi="Times New Roman" w:cs="Times New Roman"/>
          <w:b w:val="0"/>
          <w:bCs w:val="0"/>
          <w:color w:val="auto"/>
          <w:sz w:val="22"/>
          <w:highlight w:val="none"/>
        </w:rPr>
      </w:pPr>
      <w:r>
        <w:rPr>
          <w:rFonts w:ascii="Times New Roman" w:hAnsi="Times New Roman" w:cs="Times New Roman"/>
          <w:b/>
          <w:bCs/>
          <w:color w:val="auto"/>
          <w:sz w:val="22"/>
          <w:highlight w:val="none"/>
        </w:rPr>
        <w:t>w 2024 roku</w:t>
      </w:r>
      <w:r>
        <w:rPr>
          <w:rFonts w:ascii="Times New Roman" w:hAnsi="Times New Roman" w:cs="Times New Roman"/>
          <w:b w:val="0"/>
          <w:bCs w:val="0"/>
          <w:color w:val="auto"/>
          <w:sz w:val="22"/>
          <w:highlight w:val="none"/>
        </w:rPr>
        <w:t xml:space="preserve"> Zamawiający wypłaci Wykonawcy 4,75 mln zł pochodzących z programu „Polski Ład” oraz w pierwszym kwartale 2024 - 1 mln pochodzący z programu „Sportowa Polska” oraz w czwartym kwartale 2024 – kolejny 1 mln pochodzący z programu „Sportowa Polska”. Podsumowując Zamawiający w niniejszym roku </w:t>
      </w:r>
      <w:r>
        <w:rPr>
          <w:rFonts w:ascii="Times New Roman" w:hAnsi="Times New Roman" w:cs="Times New Roman"/>
          <w:b/>
          <w:bCs/>
          <w:color w:val="auto"/>
          <w:sz w:val="22"/>
          <w:highlight w:val="none"/>
        </w:rPr>
        <w:t>planuje wypłacić Wykonawcy 6,75 mln</w:t>
      </w:r>
      <w:r>
        <w:rPr>
          <w:rFonts w:hint="default" w:ascii="Times New Roman" w:hAnsi="Times New Roman" w:cs="Times New Roman"/>
          <w:b/>
          <w:bCs/>
          <w:color w:val="auto"/>
          <w:sz w:val="22"/>
          <w:highlight w:val="none"/>
          <w:lang w:val="pl-PL"/>
        </w:rPr>
        <w:t xml:space="preserve"> zł</w:t>
      </w:r>
      <w:r>
        <w:rPr>
          <w:rFonts w:ascii="Times New Roman" w:hAnsi="Times New Roman" w:cs="Times New Roman"/>
          <w:b w:val="0"/>
          <w:bCs w:val="0"/>
          <w:color w:val="auto"/>
          <w:sz w:val="22"/>
          <w:highlight w:val="none"/>
        </w:rPr>
        <w:t>, odpowiednio po przedłożeniu Zamawiającemu faktur</w:t>
      </w:r>
      <w:r>
        <w:rPr>
          <w:rFonts w:hint="default" w:ascii="Times New Roman" w:hAnsi="Times New Roman" w:cs="Times New Roman"/>
          <w:b w:val="0"/>
          <w:bCs w:val="0"/>
          <w:color w:val="auto"/>
          <w:sz w:val="22"/>
          <w:highlight w:val="none"/>
          <w:lang w:val="pl-PL"/>
        </w:rPr>
        <w:t>. Z z</w:t>
      </w:r>
      <w:r>
        <w:rPr>
          <w:rFonts w:hint="default" w:ascii="Times New Roman" w:hAnsi="Times New Roman"/>
          <w:b w:val="0"/>
          <w:bCs w:val="0"/>
          <w:color w:val="auto"/>
          <w:sz w:val="22"/>
          <w:highlight w:val="none"/>
          <w:lang w:val="pl-PL"/>
        </w:rPr>
        <w:t>astrzeżeniem konieczności prawidłowego wykonania robót na tę kwotę;</w:t>
      </w:r>
    </w:p>
    <w:p>
      <w:pPr>
        <w:pStyle w:val="242"/>
        <w:numPr>
          <w:ilvl w:val="0"/>
          <w:numId w:val="27"/>
        </w:numPr>
        <w:tabs>
          <w:tab w:val="left" w:pos="335"/>
        </w:tabs>
        <w:overflowPunct w:val="0"/>
        <w:spacing w:line="276" w:lineRule="auto"/>
        <w:jc w:val="both"/>
        <w:rPr>
          <w:rFonts w:ascii="Times New Roman" w:hAnsi="Times New Roman" w:cs="Times New Roman"/>
          <w:b w:val="0"/>
          <w:bCs w:val="0"/>
          <w:color w:val="auto"/>
          <w:sz w:val="22"/>
          <w:highlight w:val="none"/>
        </w:rPr>
      </w:pPr>
      <w:r>
        <w:rPr>
          <w:rFonts w:ascii="Times New Roman" w:hAnsi="Times New Roman" w:cs="Times New Roman"/>
          <w:b/>
          <w:bCs/>
          <w:color w:val="auto"/>
          <w:sz w:val="22"/>
          <w:highlight w:val="none"/>
        </w:rPr>
        <w:t>w 2025 roku po zakończeniu robót przez Wykonawcę i po uzyskaniu decyzji na użytkowanie obiektów</w:t>
      </w:r>
      <w:r>
        <w:rPr>
          <w:rFonts w:ascii="Times New Roman" w:hAnsi="Times New Roman" w:cs="Times New Roman"/>
          <w:b w:val="0"/>
          <w:bCs w:val="0"/>
          <w:color w:val="auto"/>
          <w:sz w:val="22"/>
          <w:highlight w:val="none"/>
        </w:rPr>
        <w:t xml:space="preserve"> Zamawiający wypłaci Wykonawcy 4,75 mln zł pochodzących z programu „Polski Ład” oraz w pierwszym kwartale 2025 roku 1 mln z pochodzący z programu „Sportowa Polska”, </w:t>
      </w:r>
      <w:r>
        <w:rPr>
          <w:rFonts w:hint="default" w:ascii="Times New Roman" w:hAnsi="Times New Roman"/>
          <w:b w:val="0"/>
          <w:bCs w:val="0"/>
          <w:color w:val="auto"/>
          <w:sz w:val="22"/>
          <w:highlight w:val="none"/>
        </w:rPr>
        <w:t xml:space="preserve">Podsumowując Zamawiający w niniejszym roku </w:t>
      </w:r>
      <w:r>
        <w:rPr>
          <w:rFonts w:hint="default" w:ascii="Times New Roman" w:hAnsi="Times New Roman"/>
          <w:b/>
          <w:bCs/>
          <w:color w:val="auto"/>
          <w:sz w:val="22"/>
          <w:highlight w:val="none"/>
        </w:rPr>
        <w:t xml:space="preserve">planuje wypłacić Wykonawcy </w:t>
      </w:r>
      <w:r>
        <w:rPr>
          <w:rFonts w:hint="default" w:ascii="Times New Roman" w:hAnsi="Times New Roman"/>
          <w:b/>
          <w:bCs/>
          <w:color w:val="auto"/>
          <w:sz w:val="22"/>
          <w:highlight w:val="none"/>
          <w:lang w:val="pl-PL"/>
        </w:rPr>
        <w:t>5</w:t>
      </w:r>
      <w:r>
        <w:rPr>
          <w:rFonts w:hint="default" w:ascii="Times New Roman" w:hAnsi="Times New Roman"/>
          <w:b/>
          <w:bCs/>
          <w:color w:val="auto"/>
          <w:sz w:val="22"/>
          <w:highlight w:val="none"/>
        </w:rPr>
        <w:t>,75 mln</w:t>
      </w:r>
      <w:r>
        <w:rPr>
          <w:rFonts w:hint="default" w:ascii="Times New Roman" w:hAnsi="Times New Roman"/>
          <w:b/>
          <w:bCs/>
          <w:color w:val="auto"/>
          <w:sz w:val="22"/>
          <w:highlight w:val="none"/>
          <w:lang w:val="pl-PL"/>
        </w:rPr>
        <w:t xml:space="preserve"> zł</w:t>
      </w:r>
      <w:r>
        <w:rPr>
          <w:rFonts w:hint="default" w:ascii="Times New Roman" w:hAnsi="Times New Roman"/>
          <w:b w:val="0"/>
          <w:bCs w:val="0"/>
          <w:color w:val="auto"/>
          <w:sz w:val="22"/>
          <w:highlight w:val="none"/>
        </w:rPr>
        <w:t>, odpowiednio po przedłożeniu Zamawiającemu faktur.</w:t>
      </w:r>
      <w:r>
        <w:rPr>
          <w:rFonts w:hint="default" w:ascii="Times New Roman" w:hAnsi="Times New Roman" w:cs="Times New Roman"/>
          <w:b w:val="0"/>
          <w:bCs w:val="0"/>
          <w:color w:val="auto"/>
          <w:sz w:val="22"/>
          <w:highlight w:val="none"/>
          <w:lang w:val="pl-PL"/>
        </w:rPr>
        <w:t xml:space="preserve"> Z z</w:t>
      </w:r>
      <w:r>
        <w:rPr>
          <w:rFonts w:hint="default" w:ascii="Times New Roman" w:hAnsi="Times New Roman"/>
          <w:b w:val="0"/>
          <w:bCs w:val="0"/>
          <w:color w:val="auto"/>
          <w:sz w:val="22"/>
          <w:highlight w:val="none"/>
          <w:lang w:val="pl-PL"/>
        </w:rPr>
        <w:t>astrzeżeniem konieczności prawidłowego wykonania robót na tę kwotę.</w:t>
      </w:r>
    </w:p>
    <w:p>
      <w:pPr>
        <w:numPr>
          <w:ilvl w:val="0"/>
          <w:numId w:val="23"/>
        </w:numPr>
        <w:tabs>
          <w:tab w:val="left" w:pos="335"/>
          <w:tab w:val="clear" w:pos="360"/>
        </w:tabs>
        <w:overflowPunct w:val="0"/>
        <w:spacing w:line="276" w:lineRule="auto"/>
        <w:ind w:left="340" w:hanging="340"/>
        <w:jc w:val="both"/>
        <w:rPr>
          <w:b w:val="0"/>
          <w:bCs w:val="0"/>
          <w:color w:val="000000"/>
        </w:rPr>
      </w:pPr>
      <w:r>
        <w:rPr>
          <w:b w:val="0"/>
          <w:bCs w:val="0"/>
          <w:color w:val="000000"/>
        </w:rPr>
        <w:t>Zamawiający dopuszcza możliwość uruchomienia płatności fakturami częściowymi po uprzednim uzgodnieniu między Stronami, w wysokości odpowiadającej w danym czasie sytuacji finansowej Zamawiającego, w związku ze zrealizowaniem w całości poszczególnych elementów robót lub etapu harmonogramu rzeczowo-finansowego realizacji przedsięwzięcia.</w:t>
      </w:r>
    </w:p>
    <w:p>
      <w:pPr>
        <w:numPr>
          <w:ilvl w:val="0"/>
          <w:numId w:val="23"/>
        </w:numPr>
        <w:tabs>
          <w:tab w:val="left" w:pos="335"/>
          <w:tab w:val="clear" w:pos="360"/>
        </w:tabs>
        <w:overflowPunct w:val="0"/>
        <w:spacing w:line="276" w:lineRule="auto"/>
        <w:ind w:left="340" w:hanging="340"/>
        <w:jc w:val="both"/>
        <w:rPr>
          <w:color w:val="000000"/>
        </w:rPr>
      </w:pPr>
      <w:r>
        <w:rPr>
          <w:color w:val="000000"/>
        </w:rPr>
        <w:t>Faktury częściowe wystawione będą po wykonaniu i odebraniu przez Inspektora Nadzoru z przedstawicielem Zamawiającego zrealizowanych robót budowlanych na podstawie protokołu częściowego odbioru robót.</w:t>
      </w:r>
    </w:p>
    <w:p>
      <w:pPr>
        <w:numPr>
          <w:ilvl w:val="0"/>
          <w:numId w:val="23"/>
        </w:numPr>
        <w:tabs>
          <w:tab w:val="left" w:pos="335"/>
          <w:tab w:val="clear" w:pos="360"/>
        </w:tabs>
        <w:overflowPunct w:val="0"/>
        <w:spacing w:line="276" w:lineRule="auto"/>
        <w:ind w:left="340" w:hanging="340"/>
        <w:jc w:val="both"/>
        <w:rPr>
          <w:b w:val="0"/>
          <w:bCs w:val="0"/>
          <w:highlight w:val="none"/>
        </w:rPr>
      </w:pPr>
      <w:r>
        <w:rPr>
          <w:b w:val="0"/>
          <w:bCs w:val="0"/>
          <w:color w:val="000000"/>
          <w:highlight w:val="none"/>
        </w:rPr>
        <w:t>Wykonawca zobowiązuje się do wystawienia faktur w terminie do 10 dni od daty odbioru przedmiotu umowy lub jego części.</w:t>
      </w:r>
    </w:p>
    <w:p>
      <w:pPr>
        <w:numPr>
          <w:ilvl w:val="0"/>
          <w:numId w:val="23"/>
        </w:numPr>
        <w:tabs>
          <w:tab w:val="left" w:pos="335"/>
          <w:tab w:val="clear" w:pos="360"/>
        </w:tabs>
        <w:spacing w:line="276" w:lineRule="auto"/>
        <w:ind w:left="340" w:hanging="340"/>
        <w:jc w:val="both"/>
        <w:rPr>
          <w:b w:val="0"/>
          <w:bCs w:val="0"/>
          <w:highlight w:val="none"/>
        </w:rPr>
      </w:pPr>
      <w:r>
        <w:rPr>
          <w:b w:val="0"/>
          <w:bCs w:val="0"/>
          <w:color w:val="000000"/>
          <w:highlight w:val="none"/>
        </w:rPr>
        <w:t xml:space="preserve">Należność za wykonane prace płatna będzie przelewem na konto Wykonawcy wskazane w </w:t>
      </w:r>
      <w:r>
        <w:rPr>
          <w:rFonts w:hint="default"/>
          <w:b w:val="0"/>
          <w:bCs w:val="0"/>
          <w:color w:val="000000"/>
          <w:highlight w:val="none"/>
          <w:lang w:val="pl-PL"/>
        </w:rPr>
        <w:t xml:space="preserve">prawidłowo wystawionej </w:t>
      </w:r>
      <w:r>
        <w:rPr>
          <w:b w:val="0"/>
          <w:bCs w:val="0"/>
          <w:color w:val="000000"/>
          <w:highlight w:val="none"/>
        </w:rPr>
        <w:t>fakturze.</w:t>
      </w:r>
    </w:p>
    <w:p>
      <w:pPr>
        <w:numPr>
          <w:ilvl w:val="0"/>
          <w:numId w:val="23"/>
        </w:numPr>
        <w:tabs>
          <w:tab w:val="left" w:pos="335"/>
          <w:tab w:val="clear" w:pos="360"/>
        </w:tabs>
        <w:spacing w:line="276" w:lineRule="auto"/>
        <w:ind w:left="340" w:hanging="340"/>
        <w:jc w:val="both"/>
        <w:rPr>
          <w:b/>
          <w:bCs/>
          <w:highlight w:val="yellow"/>
        </w:rPr>
      </w:pPr>
      <w:r>
        <w:rPr>
          <w:b/>
          <w:bCs/>
          <w:color w:val="000000"/>
          <w:highlight w:val="yellow"/>
        </w:rPr>
        <w:t xml:space="preserve">Termin płatności faktur cząstkowych </w:t>
      </w:r>
      <w:r>
        <w:rPr>
          <w:rFonts w:hint="default"/>
          <w:b/>
          <w:bCs/>
          <w:color w:val="000000"/>
          <w:highlight w:val="yellow"/>
          <w:lang w:val="pl-PL"/>
        </w:rPr>
        <w:t xml:space="preserve">wynosi </w:t>
      </w:r>
      <w:r>
        <w:rPr>
          <w:b/>
          <w:bCs/>
          <w:color w:val="000000"/>
          <w:highlight w:val="yellow"/>
        </w:rPr>
        <w:t>do 30 dni od dnia ic</w:t>
      </w:r>
      <w:r>
        <w:rPr>
          <w:rFonts w:hint="default"/>
          <w:b/>
          <w:bCs/>
          <w:color w:val="000000"/>
          <w:highlight w:val="yellow"/>
          <w:lang w:val="pl-PL"/>
        </w:rPr>
        <w:t>h dostarczenia Zamawiającemu wra</w:t>
      </w:r>
      <w:r>
        <w:rPr>
          <w:rFonts w:hint="default"/>
          <w:b/>
          <w:bCs/>
          <w:color w:val="000000"/>
          <w:highlight w:val="yellow"/>
          <w:lang w:val="pl-PL"/>
        </w:rPr>
        <w:t>z z wymagalnymi załącznikami określonymi w umowie.</w:t>
      </w:r>
    </w:p>
    <w:p>
      <w:pPr>
        <w:numPr>
          <w:ilvl w:val="0"/>
          <w:numId w:val="23"/>
        </w:numPr>
        <w:tabs>
          <w:tab w:val="left" w:pos="335"/>
          <w:tab w:val="clear" w:pos="360"/>
        </w:tabs>
        <w:spacing w:line="276" w:lineRule="auto"/>
        <w:ind w:left="340" w:hanging="340"/>
        <w:jc w:val="both"/>
        <w:rPr>
          <w:b w:val="0"/>
          <w:bCs w:val="0"/>
          <w:highlight w:val="none"/>
        </w:rPr>
      </w:pPr>
      <w:r>
        <w:rPr>
          <w:b w:val="0"/>
          <w:bCs w:val="0"/>
          <w:highlight w:val="none"/>
        </w:rPr>
        <w:t xml:space="preserve">Płatność końcowa ze środków Programu Polski Ład będzie dokonana przez Zamawiającego i nastąpi w terminie nie dłuższym niż 35 dni od dnia uzyskania decyzji na użytkowanie obiektów (odbioru Inwestycji) przez Beneficjenta, pod warunkiem dostarczenia Zamawiającemu prawidłowo wystawionej faktury VAT. </w:t>
      </w:r>
    </w:p>
    <w:p>
      <w:pPr>
        <w:numPr>
          <w:ilvl w:val="0"/>
          <w:numId w:val="23"/>
        </w:numPr>
        <w:tabs>
          <w:tab w:val="left" w:pos="335"/>
          <w:tab w:val="clear" w:pos="360"/>
        </w:tabs>
        <w:spacing w:line="276" w:lineRule="auto"/>
        <w:ind w:left="340" w:hanging="340"/>
        <w:jc w:val="both"/>
      </w:pPr>
      <w:r>
        <w:t xml:space="preserve">Wykonawca oświadcza, że jest świadomy obowiązku zapewnienia finansowania Inwestycji w ramach zamówienia w części niepokrytej udziałem własnym Zamawiającego, na czas poprzedzający wypłatę z promesy. </w:t>
      </w:r>
    </w:p>
    <w:p>
      <w:pPr>
        <w:numPr>
          <w:ilvl w:val="0"/>
          <w:numId w:val="23"/>
        </w:numPr>
        <w:tabs>
          <w:tab w:val="left" w:pos="335"/>
          <w:tab w:val="clear" w:pos="360"/>
        </w:tabs>
        <w:spacing w:line="276" w:lineRule="auto"/>
        <w:ind w:left="340" w:hanging="340"/>
        <w:jc w:val="both"/>
      </w:pPr>
      <w:r>
        <w:rPr>
          <w:color w:val="000000"/>
        </w:rPr>
        <w:t>Faktura wystawiona bezpodstawnie lub nieprawidłowo zostanie zwrócona Wykonawcy.</w:t>
      </w:r>
    </w:p>
    <w:p>
      <w:pPr>
        <w:numPr>
          <w:ilvl w:val="0"/>
          <w:numId w:val="23"/>
        </w:numPr>
        <w:tabs>
          <w:tab w:val="left" w:pos="335"/>
          <w:tab w:val="clear" w:pos="360"/>
        </w:tabs>
        <w:spacing w:line="276" w:lineRule="auto"/>
        <w:ind w:left="340" w:hanging="340"/>
        <w:jc w:val="both"/>
        <w:rPr>
          <w:color w:val="000000"/>
        </w:rPr>
      </w:pPr>
      <w:r>
        <w:rPr>
          <w:color w:val="000000"/>
        </w:rPr>
        <w:t>Warunkiem zapłaty przez Zamawiającego należnego wynagrodzenia za odebrane roboty budowlane jest przedstawienie dowodów zapłaty wymagalnego wynagrodzenia podwykonawcom i dalszym    podwykonawcom biorącym udział w realizacji odebranych robót budowlanych,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oraz umowy wraz z poświadczoną za zgodność z oryginałem kopię doręczonej faktury.</w:t>
      </w:r>
    </w:p>
    <w:p>
      <w:pPr>
        <w:numPr>
          <w:ilvl w:val="0"/>
          <w:numId w:val="23"/>
        </w:numPr>
        <w:tabs>
          <w:tab w:val="left" w:pos="335"/>
          <w:tab w:val="clear" w:pos="360"/>
        </w:tabs>
        <w:spacing w:line="276" w:lineRule="auto"/>
        <w:ind w:left="340" w:hanging="340"/>
        <w:jc w:val="both"/>
        <w:rPr>
          <w:color w:val="000000"/>
        </w:rPr>
      </w:pPr>
      <w:r>
        <w:rPr>
          <w:color w:val="000000"/>
        </w:rPr>
        <w:t>W przypadku nieprzedstawienia przez Wykonawcę wszystkich dowodów zapłaty, o których mowa w ust. 8, wstrzymuje się wypłatę należnego wynagrodzenia za odebrane roboty budowlane w części równej sumie kwot wynikających z nieprzedstawionych dowodów zapłaty.</w:t>
      </w:r>
    </w:p>
    <w:p>
      <w:pPr>
        <w:numPr>
          <w:ilvl w:val="0"/>
          <w:numId w:val="23"/>
        </w:numPr>
        <w:tabs>
          <w:tab w:val="left" w:pos="335"/>
          <w:tab w:val="clear" w:pos="360"/>
        </w:tabs>
        <w:spacing w:line="276" w:lineRule="auto"/>
        <w:ind w:left="340" w:hanging="340"/>
        <w:jc w:val="both"/>
      </w:pPr>
      <w:r>
        <w:rPr>
          <w:color w:val="000000"/>
        </w:rPr>
        <w:t>Wykonawca, zgodnie z ustawą z dnia 9 listopada 2018 r. o elektronicznym fakturowaniu w zamówieniach publicznych, koncesjach na roboty budowlane lub usługi oraz partnerstwie publiczno-prywatnym</w:t>
      </w:r>
      <w:r>
        <w:rPr>
          <w:color w:val="000000"/>
        </w:rPr>
        <w:br w:type="textWrapping"/>
      </w:r>
      <w:r>
        <w:rPr>
          <w:color w:val="000000"/>
        </w:rPr>
        <w:t>(t.j. Dz. U. z 2020 r., poz. 1666 z późn. zm.) ma możliwość przesyłania ustrukturyzowanych faktur  elektronicznych drogą elektroniczną za pośrednictwem Platformy Elektronicznego Fakturowania   (</w:t>
      </w:r>
      <w:r>
        <w:fldChar w:fldCharType="begin"/>
      </w:r>
      <w:r>
        <w:instrText xml:space="preserve"> HYPERLINK "https://efaktura.gov.pl/" \h </w:instrText>
      </w:r>
      <w:r>
        <w:fldChar w:fldCharType="separate"/>
      </w:r>
      <w:r>
        <w:rPr>
          <w:rStyle w:val="203"/>
        </w:rPr>
        <w:t>https://efaktura.gov.p</w:t>
      </w:r>
      <w:r>
        <w:rPr>
          <w:rStyle w:val="203"/>
          <w:color w:val="000000"/>
        </w:rPr>
        <w:t>l</w:t>
      </w:r>
      <w:r>
        <w:rPr>
          <w:rStyle w:val="203"/>
          <w:color w:val="000000"/>
        </w:rPr>
        <w:fldChar w:fldCharType="end"/>
      </w:r>
      <w:r>
        <w:rPr>
          <w:color w:val="000000"/>
        </w:rPr>
        <w:t>). Jednocześnie Zamawiający nie dopuszcza wysyłania i odbierania za pośrednictwem platformy innych ustrukturyzowanych dokumentów elektronicznych z wyjątkiem faktur  korygujących.</w:t>
      </w:r>
    </w:p>
    <w:p>
      <w:pPr>
        <w:numPr>
          <w:ilvl w:val="0"/>
          <w:numId w:val="23"/>
        </w:numPr>
        <w:tabs>
          <w:tab w:val="left" w:pos="335"/>
          <w:tab w:val="clear" w:pos="360"/>
        </w:tabs>
        <w:spacing w:line="276" w:lineRule="auto"/>
        <w:ind w:left="340" w:hanging="340"/>
        <w:jc w:val="both"/>
        <w:rPr>
          <w:color w:val="000000"/>
        </w:rPr>
      </w:pPr>
      <w:r>
        <w:rPr>
          <w:color w:val="000000"/>
        </w:rPr>
        <w:t>Ustrukturyzowana faktura elektroniczna powinna spełniać wymogi określone ustawą z dnia 9 listopada 2018r. o elektronicznym fakturowaniu w zamówieniach publicznych, koncesjach na roboty budowlane lub usługi oraz partnerstwie publiczno-prywatnym.</w:t>
      </w:r>
    </w:p>
    <w:p>
      <w:pPr>
        <w:numPr>
          <w:ilvl w:val="0"/>
          <w:numId w:val="23"/>
        </w:numPr>
        <w:tabs>
          <w:tab w:val="left" w:pos="335"/>
          <w:tab w:val="clear" w:pos="360"/>
        </w:tabs>
        <w:spacing w:line="276" w:lineRule="auto"/>
        <w:ind w:left="340" w:hanging="340"/>
        <w:jc w:val="both"/>
        <w:rPr>
          <w:color w:val="000000"/>
        </w:rPr>
      </w:pPr>
      <w:r>
        <w:rPr>
          <w:color w:val="000000"/>
        </w:rPr>
        <w:t>Termin zapłaty uważa się za dotrzymany przez Zamawiającego, jeśli konto bankowe Zamawiającego zostanie obciążone kwotą należną Wykonawcy najpóźniej w ostatnim dniu terminu płatności.</w:t>
      </w:r>
    </w:p>
    <w:p>
      <w:pPr>
        <w:numPr>
          <w:ilvl w:val="0"/>
          <w:numId w:val="23"/>
        </w:numPr>
        <w:tabs>
          <w:tab w:val="left" w:pos="335"/>
          <w:tab w:val="clear" w:pos="360"/>
        </w:tabs>
        <w:overflowPunct w:val="0"/>
        <w:spacing w:line="276" w:lineRule="auto"/>
        <w:ind w:left="340" w:hanging="340"/>
        <w:jc w:val="both"/>
        <w:rPr>
          <w:color w:val="000000"/>
        </w:rPr>
      </w:pPr>
      <w:r>
        <w:rPr>
          <w:color w:val="000000"/>
        </w:rPr>
        <w:t>Zamawiający nie przewiduje udzielania Wykonawcy zaliczki ani zadatku.</w:t>
      </w:r>
    </w:p>
    <w:p>
      <w:pPr>
        <w:tabs>
          <w:tab w:val="left" w:pos="335"/>
        </w:tabs>
        <w:overflowPunct w:val="0"/>
        <w:spacing w:line="276" w:lineRule="auto"/>
        <w:ind w:left="340"/>
        <w:jc w:val="both"/>
        <w:rPr>
          <w:color w:val="000000"/>
        </w:rPr>
      </w:pPr>
    </w:p>
    <w:p>
      <w:pPr>
        <w:tabs>
          <w:tab w:val="left" w:pos="335"/>
        </w:tabs>
        <w:overflowPunct w:val="0"/>
        <w:spacing w:line="276" w:lineRule="auto"/>
        <w:ind w:left="340"/>
        <w:jc w:val="both"/>
        <w:rPr>
          <w:color w:val="000000"/>
        </w:rPr>
      </w:pPr>
    </w:p>
    <w:p>
      <w:pPr>
        <w:tabs>
          <w:tab w:val="left" w:pos="335"/>
        </w:tabs>
        <w:overflowPunct w:val="0"/>
        <w:spacing w:line="276" w:lineRule="auto"/>
        <w:ind w:left="340"/>
        <w:jc w:val="center"/>
        <w:rPr>
          <w:b/>
          <w:bCs/>
          <w:color w:val="000000"/>
        </w:rPr>
      </w:pPr>
      <w:r>
        <w:rPr>
          <w:b/>
          <w:bCs/>
          <w:color w:val="000000"/>
        </w:rPr>
        <w:t>§ 9</w:t>
      </w:r>
    </w:p>
    <w:p>
      <w:pPr>
        <w:tabs>
          <w:tab w:val="left" w:pos="360"/>
        </w:tabs>
        <w:overflowPunct w:val="0"/>
        <w:spacing w:line="276" w:lineRule="auto"/>
        <w:jc w:val="center"/>
        <w:rPr>
          <w:b/>
          <w:bCs/>
          <w:color w:val="000000"/>
        </w:rPr>
      </w:pPr>
      <w:r>
        <w:rPr>
          <w:b/>
          <w:bCs/>
          <w:color w:val="000000"/>
        </w:rPr>
        <w:t>Informacja o współfinansowaniu</w:t>
      </w:r>
    </w:p>
    <w:p>
      <w:pPr>
        <w:tabs>
          <w:tab w:val="left" w:pos="360"/>
        </w:tabs>
        <w:overflowPunct w:val="0"/>
        <w:spacing w:line="276" w:lineRule="auto"/>
        <w:jc w:val="center"/>
        <w:rPr>
          <w:color w:val="000000"/>
          <w:highlight w:val="none"/>
        </w:rPr>
      </w:pPr>
    </w:p>
    <w:p>
      <w:pPr>
        <w:pStyle w:val="242"/>
        <w:numPr>
          <w:ilvl w:val="0"/>
          <w:numId w:val="28"/>
        </w:numPr>
        <w:tabs>
          <w:tab w:val="left" w:pos="360"/>
        </w:tabs>
        <w:overflowPunct w:val="0"/>
        <w:spacing w:line="276" w:lineRule="auto"/>
        <w:jc w:val="both"/>
        <w:rPr>
          <w:rFonts w:ascii="Times New Roman" w:hAnsi="Times New Roman" w:cs="Times New Roman"/>
          <w:sz w:val="22"/>
          <w:highlight w:val="none"/>
        </w:rPr>
      </w:pPr>
      <w:r>
        <w:rPr>
          <w:rFonts w:ascii="Times New Roman" w:hAnsi="Times New Roman" w:cs="Times New Roman"/>
          <w:sz w:val="22"/>
          <w:highlight w:val="none"/>
        </w:rPr>
        <w:t>Wykonawca przyjmuje, iż przedmiot niniejszej umowy stanowi część projektów realizowanych przez Zamawiającego przy udziale Rządowego Funduszu Polski Ład: Program Inwestycji Strategicznych” - edycja 2, a także Funduszu Rozwoju Kultury Fizycznej zadania inwestycyjnego w ramach programu Sportowa Polska – program rozwoju lokalnej infrastruktury sportowej – edycja 2021 oraz Rządowego Funduszu Inwestycji Lokalnych (RFIL) z przeznaczeniem ma realizację Inwestycji: „</w:t>
      </w:r>
      <w:r>
        <w:rPr>
          <w:rFonts w:ascii="Times New Roman" w:hAnsi="Times New Roman" w:cs="Times New Roman"/>
          <w:b/>
          <w:bCs/>
          <w:color w:val="auto"/>
          <w:sz w:val="22"/>
          <w:highlight w:val="none"/>
        </w:rPr>
        <w:t>Budowa infrastruktury sportowej i rozbudowa infrastruktury edukacyjnej Zespołu Szkolno-Przedszkolnego w Nowym Stawie</w:t>
      </w:r>
      <w:r>
        <w:rPr>
          <w:rFonts w:ascii="Times New Roman" w:hAnsi="Times New Roman" w:cs="Times New Roman"/>
          <w:sz w:val="22"/>
          <w:highlight w:val="none"/>
        </w:rPr>
        <w:t xml:space="preserve">”. </w:t>
      </w:r>
    </w:p>
    <w:p>
      <w:pPr>
        <w:pStyle w:val="242"/>
        <w:numPr>
          <w:ilvl w:val="0"/>
          <w:numId w:val="28"/>
        </w:numPr>
        <w:tabs>
          <w:tab w:val="left" w:pos="360"/>
        </w:tabs>
        <w:overflowPunct w:val="0"/>
        <w:spacing w:line="276" w:lineRule="auto"/>
        <w:jc w:val="both"/>
        <w:rPr>
          <w:rFonts w:ascii="Times New Roman" w:hAnsi="Times New Roman" w:cs="Times New Roman"/>
          <w:sz w:val="22"/>
        </w:rPr>
      </w:pPr>
      <w:r>
        <w:rPr>
          <w:rFonts w:ascii="Times New Roman" w:hAnsi="Times New Roman" w:cs="Times New Roman"/>
          <w:sz w:val="22"/>
          <w:highlight w:val="none"/>
        </w:rPr>
        <w:t>Wykonawca przyjmuje, że środki finansowe na wykonanie Umowy nie mogą być wydatkowane na inne cele niż określone w Umowi</w:t>
      </w:r>
      <w:r>
        <w:rPr>
          <w:rFonts w:ascii="Times New Roman" w:hAnsi="Times New Roman" w:cs="Times New Roman"/>
          <w:sz w:val="22"/>
        </w:rPr>
        <w:t>e.</w:t>
      </w:r>
    </w:p>
    <w:p>
      <w:pPr>
        <w:pStyle w:val="242"/>
        <w:numPr>
          <w:ilvl w:val="0"/>
          <w:numId w:val="28"/>
        </w:numPr>
        <w:tabs>
          <w:tab w:val="left" w:pos="360"/>
        </w:tabs>
        <w:overflowPunct w:val="0"/>
        <w:spacing w:line="276" w:lineRule="auto"/>
        <w:jc w:val="both"/>
        <w:rPr>
          <w:rFonts w:ascii="Times New Roman" w:hAnsi="Times New Roman" w:cs="Times New Roman"/>
          <w:sz w:val="22"/>
        </w:rPr>
      </w:pPr>
      <w:r>
        <w:rPr>
          <w:rFonts w:ascii="Times New Roman" w:hAnsi="Times New Roman" w:cs="Times New Roman"/>
          <w:sz w:val="22"/>
        </w:rPr>
        <w:t xml:space="preserve">Wykonawca przyjmuje, że w celu uzyskania dofinansowania projektu, Zamawiający jest zobowiązany do wykonania zobowiązań wynikających z umowy o dofinansowanie, a w szczególności udokumentowania wykonanych robót protokołami odbioru i fakturami. </w:t>
      </w:r>
    </w:p>
    <w:p>
      <w:pPr>
        <w:pStyle w:val="242"/>
        <w:numPr>
          <w:ilvl w:val="0"/>
          <w:numId w:val="28"/>
        </w:numPr>
        <w:tabs>
          <w:tab w:val="left" w:pos="360"/>
        </w:tabs>
        <w:overflowPunct w:val="0"/>
        <w:spacing w:line="276" w:lineRule="auto"/>
        <w:jc w:val="both"/>
        <w:rPr>
          <w:rFonts w:ascii="Times New Roman" w:hAnsi="Times New Roman" w:cs="Times New Roman"/>
          <w:sz w:val="22"/>
        </w:rPr>
      </w:pPr>
      <w:r>
        <w:rPr>
          <w:rFonts w:ascii="Times New Roman" w:hAnsi="Times New Roman" w:cs="Times New Roman"/>
          <w:sz w:val="22"/>
        </w:rPr>
        <w:t>Mając na uwadze powyższe, Wykonawca zobowiązuje się do dokonywania wszelkich niezbędnych i celowych czynności, aby umożliwić Zamawiającemu wywiązanie się względem instytucji dofinansowującej w sposób kompletny i terminowy z zobowiązań wynikających z umowy o dofinansowanie, jak też zobowiązań innych uprawnionych podmiotów w zakresie wynikającym z umowy o dofinansowanie lub przepisów obowiązującego prawa.</w:t>
      </w:r>
    </w:p>
    <w:p>
      <w:pPr>
        <w:pStyle w:val="242"/>
        <w:numPr>
          <w:ilvl w:val="0"/>
          <w:numId w:val="28"/>
        </w:numPr>
        <w:tabs>
          <w:tab w:val="left" w:pos="360"/>
        </w:tabs>
        <w:overflowPunct w:val="0"/>
        <w:spacing w:line="276" w:lineRule="auto"/>
        <w:jc w:val="both"/>
        <w:rPr>
          <w:rFonts w:ascii="Times New Roman" w:hAnsi="Times New Roman" w:cs="Times New Roman"/>
          <w:sz w:val="22"/>
        </w:rPr>
      </w:pPr>
      <w:r>
        <w:rPr>
          <w:rFonts w:ascii="Times New Roman" w:hAnsi="Times New Roman" w:cs="Times New Roman"/>
          <w:sz w:val="22"/>
        </w:rPr>
        <w:t xml:space="preserve">W szczególności Wykonawca zobowiązuje się do dostarczenia Zamawiającemu, na żądanie Zamawiającego i w terminach przez Zamawiającego wskazanych, jak też umożliwiających wywiązanie się z zobowiązań wynikających z umowy o dofinansowanie, wszelkich niezbędnych i celowych informacji oraz dokumentów wymaganych przez instytucję dofinansowującą (lub inne uprawnione podmioty w zakresie przewidzianym w umowie o dofinansowanie lub przepisach obowiązującego prawa). </w:t>
      </w:r>
    </w:p>
    <w:p>
      <w:pPr>
        <w:pStyle w:val="242"/>
        <w:numPr>
          <w:ilvl w:val="0"/>
          <w:numId w:val="28"/>
        </w:numPr>
        <w:tabs>
          <w:tab w:val="left" w:pos="360"/>
        </w:tabs>
        <w:overflowPunct w:val="0"/>
        <w:spacing w:line="276" w:lineRule="auto"/>
        <w:jc w:val="both"/>
        <w:rPr>
          <w:rFonts w:ascii="Times New Roman" w:hAnsi="Times New Roman" w:cs="Times New Roman"/>
          <w:sz w:val="22"/>
        </w:rPr>
      </w:pPr>
      <w:r>
        <w:rPr>
          <w:rFonts w:ascii="Times New Roman" w:hAnsi="Times New Roman" w:cs="Times New Roman"/>
          <w:sz w:val="22"/>
        </w:rPr>
        <w:t>Wykonawca zobowiązuje się nadto, do natychmiastowego informowania Zamawiającego wszelkiej zagrożeniach związanych z wykonaniem Umowy, w tym możliwych opóźnieniach terminu jej wykonania.</w:t>
      </w:r>
    </w:p>
    <w:p>
      <w:pPr>
        <w:tabs>
          <w:tab w:val="left" w:pos="335"/>
        </w:tabs>
        <w:overflowPunct w:val="0"/>
        <w:spacing w:line="276" w:lineRule="auto"/>
        <w:ind w:left="340"/>
        <w:jc w:val="both"/>
        <w:rPr>
          <w:color w:val="000000"/>
        </w:rPr>
      </w:pPr>
    </w:p>
    <w:p>
      <w:pPr>
        <w:tabs>
          <w:tab w:val="left" w:pos="335"/>
        </w:tabs>
        <w:overflowPunct w:val="0"/>
        <w:spacing w:line="276" w:lineRule="auto"/>
        <w:ind w:left="340"/>
        <w:jc w:val="both"/>
        <w:rPr>
          <w:color w:val="000000"/>
        </w:rPr>
      </w:pPr>
    </w:p>
    <w:p>
      <w:pPr>
        <w:spacing w:line="276" w:lineRule="auto"/>
        <w:jc w:val="center"/>
        <w:rPr>
          <w:b/>
          <w:color w:val="000000"/>
        </w:rPr>
      </w:pPr>
      <w:r>
        <w:rPr>
          <w:b/>
          <w:color w:val="000000"/>
        </w:rPr>
        <w:t>§ 10</w:t>
      </w:r>
    </w:p>
    <w:p>
      <w:pPr>
        <w:spacing w:line="276" w:lineRule="auto"/>
        <w:jc w:val="center"/>
        <w:rPr>
          <w:b/>
          <w:color w:val="000000"/>
        </w:rPr>
      </w:pPr>
      <w:r>
        <w:rPr>
          <w:b/>
          <w:color w:val="000000"/>
        </w:rPr>
        <w:t>Odbiory</w:t>
      </w:r>
    </w:p>
    <w:p>
      <w:pPr>
        <w:spacing w:line="276" w:lineRule="auto"/>
        <w:jc w:val="center"/>
        <w:rPr>
          <w:b/>
          <w:color w:val="000000"/>
        </w:rPr>
      </w:pPr>
    </w:p>
    <w:p>
      <w:pPr>
        <w:numPr>
          <w:ilvl w:val="0"/>
          <w:numId w:val="29"/>
        </w:numPr>
        <w:tabs>
          <w:tab w:val="left" w:pos="335"/>
          <w:tab w:val="clear" w:pos="720"/>
        </w:tabs>
        <w:spacing w:line="276" w:lineRule="auto"/>
        <w:ind w:left="340" w:hanging="340"/>
        <w:jc w:val="both"/>
        <w:rPr>
          <w:color w:val="000000"/>
        </w:rPr>
      </w:pPr>
      <w:r>
        <w:rPr>
          <w:color w:val="000000"/>
        </w:rPr>
        <w:t>Zamawiający będzie dokonywał następujących odbiorów robót:</w:t>
      </w:r>
    </w:p>
    <w:p>
      <w:pPr>
        <w:numPr>
          <w:ilvl w:val="0"/>
          <w:numId w:val="30"/>
        </w:numPr>
        <w:tabs>
          <w:tab w:val="left" w:pos="683"/>
          <w:tab w:val="clear" w:pos="720"/>
        </w:tabs>
        <w:spacing w:line="276" w:lineRule="auto"/>
        <w:ind w:left="1000" w:hanging="340"/>
        <w:jc w:val="both"/>
        <w:rPr>
          <w:color w:val="000000"/>
        </w:rPr>
      </w:pPr>
      <w:r>
        <w:rPr>
          <w:color w:val="000000"/>
        </w:rPr>
        <w:t>odbiory robót zanikających i ulegających zakryciu,</w:t>
      </w:r>
    </w:p>
    <w:p>
      <w:pPr>
        <w:numPr>
          <w:ilvl w:val="0"/>
          <w:numId w:val="30"/>
        </w:numPr>
        <w:tabs>
          <w:tab w:val="left" w:pos="683"/>
          <w:tab w:val="clear" w:pos="720"/>
        </w:tabs>
        <w:spacing w:line="276" w:lineRule="auto"/>
        <w:ind w:left="1000" w:hanging="340"/>
        <w:jc w:val="both"/>
        <w:rPr>
          <w:color w:val="000000"/>
        </w:rPr>
      </w:pPr>
      <w:r>
        <w:rPr>
          <w:color w:val="000000"/>
        </w:rPr>
        <w:t>odbiory częściowe,</w:t>
      </w:r>
    </w:p>
    <w:p>
      <w:pPr>
        <w:numPr>
          <w:ilvl w:val="0"/>
          <w:numId w:val="30"/>
        </w:numPr>
        <w:tabs>
          <w:tab w:val="left" w:pos="683"/>
          <w:tab w:val="clear" w:pos="720"/>
        </w:tabs>
        <w:spacing w:line="276" w:lineRule="auto"/>
        <w:ind w:left="1000" w:hanging="340"/>
        <w:jc w:val="both"/>
        <w:rPr>
          <w:color w:val="000000"/>
        </w:rPr>
      </w:pPr>
      <w:r>
        <w:rPr>
          <w:color w:val="000000"/>
        </w:rPr>
        <w:t>odbiór końcowy robót,</w:t>
      </w:r>
    </w:p>
    <w:p>
      <w:pPr>
        <w:numPr>
          <w:ilvl w:val="0"/>
          <w:numId w:val="30"/>
        </w:numPr>
        <w:tabs>
          <w:tab w:val="left" w:pos="683"/>
          <w:tab w:val="clear" w:pos="720"/>
        </w:tabs>
        <w:spacing w:line="276" w:lineRule="auto"/>
        <w:ind w:left="1000" w:hanging="340"/>
        <w:jc w:val="both"/>
        <w:rPr>
          <w:color w:val="000000"/>
        </w:rPr>
      </w:pPr>
      <w:r>
        <w:rPr>
          <w:color w:val="000000"/>
        </w:rPr>
        <w:t>odbiór końcowy,</w:t>
      </w:r>
    </w:p>
    <w:p>
      <w:pPr>
        <w:numPr>
          <w:ilvl w:val="0"/>
          <w:numId w:val="30"/>
        </w:numPr>
        <w:tabs>
          <w:tab w:val="left" w:pos="683"/>
          <w:tab w:val="clear" w:pos="720"/>
        </w:tabs>
        <w:spacing w:line="276" w:lineRule="auto"/>
        <w:ind w:left="1000" w:hanging="340"/>
        <w:jc w:val="both"/>
        <w:rPr>
          <w:color w:val="000000"/>
        </w:rPr>
      </w:pPr>
      <w:r>
        <w:rPr>
          <w:color w:val="000000"/>
        </w:rPr>
        <w:t>odbiór pogwarancyjny.</w:t>
      </w:r>
    </w:p>
    <w:p>
      <w:pPr>
        <w:numPr>
          <w:ilvl w:val="0"/>
          <w:numId w:val="31"/>
        </w:numPr>
        <w:tabs>
          <w:tab w:val="left" w:pos="335"/>
          <w:tab w:val="clear" w:pos="720"/>
        </w:tabs>
        <w:spacing w:line="276" w:lineRule="auto"/>
        <w:ind w:left="340" w:hanging="340"/>
        <w:jc w:val="both"/>
        <w:rPr>
          <w:color w:val="000000"/>
        </w:rPr>
      </w:pPr>
      <w:r>
        <w:rPr>
          <w:color w:val="000000"/>
        </w:rPr>
        <w:t>Odbiór robót zanikających i ulegających zakryciu polega na finalnej ocenie ilości i jakości wykonywanych robót, które w dalszym procesie realizacji ulegną zakryciu. Odbiory robót zanikających i ulegających zakryciu dokonywane będą przez Inspektora Nadzoru. Wykonawca winien zgłaszać gotowość do odbiorów, o których mowa wyżej, wpisem do dziennika budowy i jednoczesnym powiadomieniem Inspektora Nadzoru, z odpowiednim wyprzedzeniem (najpóźniej w terminie 3 dni roboczych przed ich zakryciem) umożliwiającym podjęcie odpowiednich działań. Jeżeli Wykonawca nie dopełni tego obowiązku zobowiązany jest odkryć roboty niezbędne do oceny wykonywanych robót a następnie przywrócić je do stanu poprzedniego na własny koszt. Odbiór robót zanikających i ulegających zakryciu będzie dokonany w czasie umożliwiającym wykonanie ewentualnych korekt i poprawek bez hamowania ogólnego postępu robót.</w:t>
      </w:r>
    </w:p>
    <w:p>
      <w:pPr>
        <w:numPr>
          <w:ilvl w:val="0"/>
          <w:numId w:val="31"/>
        </w:numPr>
        <w:tabs>
          <w:tab w:val="left" w:pos="335"/>
          <w:tab w:val="clear" w:pos="720"/>
        </w:tabs>
        <w:spacing w:line="276" w:lineRule="auto"/>
        <w:ind w:left="340" w:hanging="340"/>
        <w:jc w:val="both"/>
        <w:rPr>
          <w:color w:val="000000"/>
        </w:rPr>
      </w:pPr>
      <w:r>
        <w:rPr>
          <w:color w:val="000000"/>
        </w:rPr>
        <w:t>Odbiór częściowy polega na ocenie ilości i jakości wykonywanych części robót. Odbioru częściowego dokonuje Inspektor Nadzoru wraz z przedstawicielem Zamawiającego. Wykonawca winien zgłaszać gotowość do odbiorów, o których mowa wyżej, wpisem do dziennika budowy i jednoczesnym powiadomieniem Inspektora Nadzoru z odpowiednim wyprzedzeniem umożliwiającym podjęcie odpowiednich działań. Odbiór nastąpi w terminie do 3 dni roboczych od daty zgłoszenia gotowości do odbioru przez Wykonawcę.</w:t>
      </w:r>
    </w:p>
    <w:p>
      <w:pPr>
        <w:numPr>
          <w:ilvl w:val="0"/>
          <w:numId w:val="31"/>
        </w:numPr>
        <w:tabs>
          <w:tab w:val="left" w:pos="335"/>
          <w:tab w:val="clear" w:pos="720"/>
        </w:tabs>
        <w:spacing w:line="276" w:lineRule="auto"/>
        <w:ind w:left="340" w:hanging="340"/>
        <w:jc w:val="both"/>
        <w:rPr>
          <w:color w:val="000000"/>
        </w:rPr>
      </w:pPr>
      <w:r>
        <w:rPr>
          <w:color w:val="000000"/>
        </w:rPr>
        <w:t xml:space="preserve">Odbiór końcowy robót polega na finalnej ocenie rzeczywistego wykonania robót w odniesieniu do ich ilości, jakości i wartości. Całkowite zakończenie robót oraz gotowość do odbioru końcowego robót, Wykonawca zgłosi Zamawiającemu pisemnie, bezpośrednio w siedzibie Zamawiającego </w:t>
      </w:r>
      <w:r>
        <w:rPr>
          <w:color w:val="000000"/>
          <w:lang w:eastAsia="ar-SA"/>
        </w:rPr>
        <w:t>przed złożeniem wniosku</w:t>
      </w:r>
      <w:r>
        <w:rPr>
          <w:color w:val="000000"/>
          <w:lang w:eastAsia="ar-SA"/>
        </w:rPr>
        <w:br w:type="textWrapping"/>
      </w:r>
      <w:r>
        <w:rPr>
          <w:color w:val="000000"/>
          <w:lang w:eastAsia="ar-SA"/>
        </w:rPr>
        <w:t xml:space="preserve">o wydanie </w:t>
      </w:r>
      <w:r>
        <w:rPr>
          <w:color w:val="000000"/>
          <w:spacing w:val="-4"/>
          <w:lang w:eastAsia="ar-SA"/>
        </w:rPr>
        <w:t xml:space="preserve">decyzji o pozwoleniu na użytkowanie </w:t>
      </w:r>
      <w:r>
        <w:rPr>
          <w:color w:val="000000"/>
        </w:rPr>
        <w:t>.</w:t>
      </w:r>
    </w:p>
    <w:p>
      <w:pPr>
        <w:numPr>
          <w:ilvl w:val="0"/>
          <w:numId w:val="31"/>
        </w:numPr>
        <w:tabs>
          <w:tab w:val="left" w:pos="335"/>
          <w:tab w:val="clear" w:pos="720"/>
        </w:tabs>
        <w:spacing w:line="276" w:lineRule="auto"/>
        <w:ind w:left="340" w:hanging="340"/>
        <w:jc w:val="both"/>
        <w:rPr>
          <w:color w:val="000000"/>
        </w:rPr>
      </w:pPr>
      <w:r>
        <w:rPr>
          <w:color w:val="000000"/>
        </w:rPr>
        <w:t>Podstawą zgłoszenia przez Wykonawcę gotowości do odbioru końcowego robót, będzie faktyczne wykonanie robót, potwierdzone w dzienniku budowy wpisem dokonanym przez Kierownika Budowy potwierdzonym przez Inspektora Nadzoru.</w:t>
      </w:r>
    </w:p>
    <w:p>
      <w:pPr>
        <w:numPr>
          <w:ilvl w:val="0"/>
          <w:numId w:val="31"/>
        </w:numPr>
        <w:tabs>
          <w:tab w:val="left" w:pos="335"/>
          <w:tab w:val="clear" w:pos="720"/>
        </w:tabs>
        <w:spacing w:line="276" w:lineRule="auto"/>
        <w:ind w:left="340" w:hanging="340"/>
        <w:jc w:val="both"/>
        <w:rPr>
          <w:color w:val="000000"/>
        </w:rPr>
      </w:pPr>
      <w:r>
        <w:rPr>
          <w:color w:val="000000"/>
        </w:rPr>
        <w:t>Odbioru końcowego robót dokona Komisja wyznaczona przez Zamawiającego w obecności Inspektora Nadzoru i Wykonawcy. Zamawiający rozpocznie czynności odbiorowe w terminie do 7 dni roboczych od daty zawiadomienia przez Wykonawcę o osiągnięciu gotowości do odbioru końcowego robót.</w:t>
      </w:r>
    </w:p>
    <w:p>
      <w:pPr>
        <w:numPr>
          <w:ilvl w:val="0"/>
          <w:numId w:val="31"/>
        </w:numPr>
        <w:tabs>
          <w:tab w:val="left" w:pos="335"/>
          <w:tab w:val="clear" w:pos="720"/>
        </w:tabs>
        <w:spacing w:line="276" w:lineRule="auto"/>
        <w:ind w:left="340" w:hanging="340"/>
        <w:jc w:val="both"/>
      </w:pPr>
      <w:r>
        <w:rPr>
          <w:color w:val="000000"/>
        </w:rPr>
        <w:t>Komisja odbierająca roboty dokona ich oceny jakościowej na podstawie przedłożonych dokumentów, wyników badań i pomiarów, oceny wizualnej oraz zgodności wykonania robót z dokumentacją projektową i specyfikacją techniczną. W toku odbioru końcowego robót Komisja zapozna się z realizacją ustaleń przyjętych w trakcie odbiorów robót zanikających i ulegających zakryciu, zwłaszcza w zakresie wykonania robót uzupełniających i robót poprawkowych.</w:t>
      </w:r>
    </w:p>
    <w:p>
      <w:pPr>
        <w:numPr>
          <w:ilvl w:val="0"/>
          <w:numId w:val="31"/>
        </w:numPr>
        <w:tabs>
          <w:tab w:val="left" w:pos="335"/>
          <w:tab w:val="clear" w:pos="720"/>
        </w:tabs>
        <w:spacing w:line="276" w:lineRule="auto"/>
        <w:ind w:left="340" w:hanging="340"/>
        <w:jc w:val="both"/>
        <w:rPr>
          <w:color w:val="000000"/>
        </w:rPr>
      </w:pPr>
      <w:r>
        <w:rPr>
          <w:color w:val="000000"/>
        </w:rPr>
        <w:t>Jeżeli w toku czynności odbioru końcowego robót zostaną stwierdzone wady przedmiotu umowy, to Komisja przerwie swoje czynności i ustali nowy termin odbioru końcowego robót. W terminie wyznaczonym przez Komisję, nie później niż 14 dni Wykonawca zobowiązany jest do usunięcia usterek stwierdzonych przez Komisję. Dalsze przedłużenie terminu możliwe jest za zgodą Zamawiającego.</w:t>
      </w:r>
    </w:p>
    <w:p>
      <w:pPr>
        <w:numPr>
          <w:ilvl w:val="0"/>
          <w:numId w:val="31"/>
        </w:numPr>
        <w:tabs>
          <w:tab w:val="left" w:pos="335"/>
          <w:tab w:val="clear" w:pos="720"/>
        </w:tabs>
        <w:spacing w:line="276" w:lineRule="auto"/>
        <w:ind w:left="340" w:hanging="340"/>
        <w:jc w:val="both"/>
        <w:rPr>
          <w:color w:val="000000"/>
        </w:rPr>
      </w:pPr>
      <w:r>
        <w:rPr>
          <w:color w:val="000000"/>
        </w:rPr>
        <w:t>Wykonawca zobowiązany jest do zawiadomienia Zamawiającego o usunięciu wad oraz do zgłoszenia u Zamawiającego żądania wyznaczenia terminu na odbiór robót ocenionych uprzednio jako wadliwe.</w:t>
      </w:r>
    </w:p>
    <w:p>
      <w:pPr>
        <w:numPr>
          <w:ilvl w:val="0"/>
          <w:numId w:val="31"/>
        </w:numPr>
        <w:tabs>
          <w:tab w:val="left" w:pos="335"/>
          <w:tab w:val="clear" w:pos="720"/>
        </w:tabs>
        <w:spacing w:line="276" w:lineRule="auto"/>
        <w:ind w:left="340" w:hanging="340"/>
        <w:jc w:val="both"/>
      </w:pPr>
      <w:r>
        <w:rPr>
          <w:color w:val="000000"/>
        </w:rPr>
        <w:t>Strony postanawiają, że z czynności odbioru będzie spisany protokół odbioru końcowego robót zawierający wszelkie ustalenia dokonane w toku odbioru, jak też terminy wyznaczone na usunięcie stwierdzonych w tej dacie wad.</w:t>
      </w:r>
    </w:p>
    <w:p>
      <w:pPr>
        <w:numPr>
          <w:ilvl w:val="0"/>
          <w:numId w:val="31"/>
        </w:numPr>
        <w:tabs>
          <w:tab w:val="left" w:pos="335"/>
          <w:tab w:val="clear" w:pos="720"/>
        </w:tabs>
        <w:spacing w:line="276" w:lineRule="auto"/>
        <w:ind w:left="340" w:hanging="340"/>
        <w:jc w:val="both"/>
        <w:rPr>
          <w:color w:val="000000"/>
        </w:rPr>
      </w:pPr>
      <w:r>
        <w:rPr>
          <w:color w:val="000000"/>
        </w:rPr>
        <w:t>Ustala się, że dniem wykonania robót będzie data zgłoszenia przez Wykonawcę gotowości do odbioru robót potwierdzona przez Zamawiającego.</w:t>
      </w:r>
    </w:p>
    <w:p>
      <w:pPr>
        <w:numPr>
          <w:ilvl w:val="0"/>
          <w:numId w:val="31"/>
        </w:numPr>
        <w:tabs>
          <w:tab w:val="left" w:pos="335"/>
          <w:tab w:val="clear" w:pos="720"/>
        </w:tabs>
        <w:spacing w:line="276" w:lineRule="auto"/>
        <w:ind w:left="340" w:hanging="340"/>
        <w:jc w:val="both"/>
        <w:rPr>
          <w:color w:val="000000"/>
        </w:rPr>
      </w:pPr>
      <w:r>
        <w:rPr>
          <w:color w:val="000000"/>
          <w:lang w:eastAsia="ar-SA"/>
        </w:rPr>
        <w:t>Odbiór końcowy przedmiotu umowy przez Zamawiającego nastąpi na podstawie protokołu odbioru końcowego robót po uzyskaniu prawomocnej decyzji na użytkowanie.</w:t>
      </w:r>
    </w:p>
    <w:p>
      <w:pPr>
        <w:numPr>
          <w:ilvl w:val="0"/>
          <w:numId w:val="31"/>
        </w:numPr>
        <w:tabs>
          <w:tab w:val="left" w:pos="335"/>
          <w:tab w:val="clear" w:pos="720"/>
        </w:tabs>
        <w:spacing w:line="276" w:lineRule="auto"/>
        <w:ind w:left="340" w:hanging="340"/>
        <w:jc w:val="both"/>
        <w:rPr>
          <w:color w:val="000000"/>
          <w:highlight w:val="none"/>
        </w:rPr>
      </w:pPr>
      <w:r>
        <w:rPr>
          <w:color w:val="000000"/>
        </w:rPr>
        <w:t>Odbiór p</w:t>
      </w:r>
      <w:r>
        <w:rPr>
          <w:color w:val="000000"/>
          <w:highlight w:val="none"/>
        </w:rPr>
        <w:t>ogwarancyjny polega na ocenie wykonanych robót związanych z usunięciem wad stwierdzonych przy odbiorze końcowym i zaistniałych w okresie gwarancyjnym. Odbiór pogwarancyjny będzie dokonany na podstawie oceny wizualnej obiektu z uwzględnieniem zasad odbioru końcowego.</w:t>
      </w:r>
    </w:p>
    <w:p>
      <w:pPr>
        <w:numPr>
          <w:ilvl w:val="0"/>
          <w:numId w:val="31"/>
        </w:numPr>
        <w:tabs>
          <w:tab w:val="left" w:pos="335"/>
          <w:tab w:val="clear" w:pos="720"/>
        </w:tabs>
        <w:spacing w:line="276" w:lineRule="auto"/>
        <w:ind w:left="340" w:hanging="340"/>
        <w:jc w:val="both"/>
        <w:rPr>
          <w:b w:val="0"/>
          <w:bCs w:val="0"/>
          <w:color w:val="000000"/>
          <w:highlight w:val="none"/>
        </w:rPr>
      </w:pPr>
      <w:r>
        <w:rPr>
          <w:b w:val="0"/>
          <w:bCs w:val="0"/>
          <w:color w:val="000000"/>
          <w:highlight w:val="none"/>
        </w:rPr>
        <w:t>Przez termin zakończenia zadania inwestycyjnego rozumie się datę uzyskania decyzji o pozwoleniu na użytkowanie obiektów objętych niniejszą umową.</w:t>
      </w:r>
    </w:p>
    <w:p>
      <w:pPr>
        <w:numPr>
          <w:ilvl w:val="0"/>
          <w:numId w:val="31"/>
        </w:numPr>
        <w:tabs>
          <w:tab w:val="left" w:pos="335"/>
          <w:tab w:val="clear" w:pos="720"/>
        </w:tabs>
        <w:spacing w:line="276" w:lineRule="auto"/>
        <w:ind w:left="340" w:hanging="340"/>
        <w:jc w:val="both"/>
        <w:rPr>
          <w:b w:val="0"/>
          <w:bCs w:val="0"/>
          <w:color w:val="000000"/>
          <w:highlight w:val="none"/>
        </w:rPr>
      </w:pPr>
      <w:r>
        <w:rPr>
          <w:b w:val="0"/>
          <w:bCs w:val="0"/>
          <w:color w:val="000000"/>
          <w:highlight w:val="none"/>
        </w:rPr>
        <w:t>W przypadku uzyskania decyzji o częściowym pozwoleniu na użytkowanie, zadanie inwestycyjne traktuje się za zakończone w zakresie, o jakim mowa w tej decyzji.</w:t>
      </w:r>
    </w:p>
    <w:p>
      <w:pPr>
        <w:tabs>
          <w:tab w:val="left" w:pos="335"/>
          <w:tab w:val="left" w:pos="720"/>
        </w:tabs>
        <w:spacing w:line="276" w:lineRule="auto"/>
        <w:jc w:val="both"/>
        <w:rPr>
          <w:color w:val="000000"/>
        </w:rPr>
      </w:pPr>
    </w:p>
    <w:p>
      <w:pPr>
        <w:spacing w:line="276" w:lineRule="auto"/>
        <w:jc w:val="both"/>
        <w:rPr>
          <w:b/>
          <w:color w:val="000000"/>
        </w:rPr>
      </w:pPr>
    </w:p>
    <w:p>
      <w:pPr>
        <w:spacing w:line="276" w:lineRule="auto"/>
        <w:jc w:val="center"/>
        <w:rPr>
          <w:b/>
          <w:color w:val="000000"/>
        </w:rPr>
      </w:pPr>
      <w:r>
        <w:rPr>
          <w:b/>
          <w:color w:val="000000"/>
        </w:rPr>
        <w:t>§ 11</w:t>
      </w:r>
    </w:p>
    <w:p>
      <w:pPr>
        <w:spacing w:line="276" w:lineRule="auto"/>
        <w:jc w:val="center"/>
        <w:rPr>
          <w:b/>
          <w:color w:val="000000"/>
        </w:rPr>
      </w:pPr>
      <w:r>
        <w:rPr>
          <w:b/>
          <w:color w:val="000000"/>
        </w:rPr>
        <w:t>Zabezpieczenie należytego wykonania umowy</w:t>
      </w:r>
    </w:p>
    <w:p>
      <w:pPr>
        <w:spacing w:line="276" w:lineRule="auto"/>
        <w:jc w:val="center"/>
        <w:rPr>
          <w:b/>
          <w:color w:val="000000"/>
        </w:rPr>
      </w:pPr>
    </w:p>
    <w:p>
      <w:pPr>
        <w:numPr>
          <w:ilvl w:val="0"/>
          <w:numId w:val="32"/>
        </w:numPr>
        <w:tabs>
          <w:tab w:val="left" w:pos="342"/>
          <w:tab w:val="clear" w:pos="720"/>
        </w:tabs>
        <w:spacing w:line="276" w:lineRule="auto"/>
        <w:ind w:left="340" w:hanging="340"/>
        <w:jc w:val="both"/>
      </w:pPr>
      <w:r>
        <w:rPr>
          <w:color w:val="000000"/>
        </w:rPr>
        <w:t>Wykonawca wnosi zabezpieczenie należytego wykonania umowy w wysokości 3% wynagrodzenia umownego brutto, co stanowi kwotę .................................................. (słownie:………….................. 00/100).</w:t>
      </w:r>
    </w:p>
    <w:p>
      <w:pPr>
        <w:numPr>
          <w:ilvl w:val="0"/>
          <w:numId w:val="32"/>
        </w:numPr>
        <w:tabs>
          <w:tab w:val="left" w:pos="342"/>
          <w:tab w:val="clear" w:pos="720"/>
        </w:tabs>
        <w:spacing w:line="276" w:lineRule="auto"/>
        <w:ind w:left="340" w:hanging="340"/>
        <w:jc w:val="both"/>
        <w:rPr>
          <w:color w:val="000000"/>
        </w:rPr>
      </w:pPr>
      <w:r>
        <w:rPr>
          <w:color w:val="000000"/>
        </w:rPr>
        <w:t>Zabezpieczenie zostaje wniesione w formie:…………………………………………, na czas realizacji umowy powiększony o 30 dni.</w:t>
      </w:r>
    </w:p>
    <w:p>
      <w:pPr>
        <w:numPr>
          <w:ilvl w:val="0"/>
          <w:numId w:val="32"/>
        </w:numPr>
        <w:tabs>
          <w:tab w:val="left" w:pos="342"/>
          <w:tab w:val="clear" w:pos="720"/>
        </w:tabs>
        <w:spacing w:line="276" w:lineRule="auto"/>
        <w:ind w:left="340" w:hanging="340"/>
        <w:jc w:val="both"/>
        <w:rPr>
          <w:color w:val="000000"/>
        </w:rPr>
      </w:pPr>
      <w:r>
        <w:rPr>
          <w:color w:val="000000"/>
        </w:rPr>
        <w:t>Zamawiający nie wyraża zgody na tworzenie zabezpieczenia przez potrącenia z należności za częściowo wykonane roboty budowlane.</w:t>
      </w:r>
    </w:p>
    <w:p>
      <w:pPr>
        <w:numPr>
          <w:ilvl w:val="0"/>
          <w:numId w:val="32"/>
        </w:numPr>
        <w:tabs>
          <w:tab w:val="left" w:pos="342"/>
          <w:tab w:val="clear" w:pos="720"/>
        </w:tabs>
        <w:spacing w:line="276" w:lineRule="auto"/>
        <w:ind w:left="340" w:hanging="340"/>
        <w:jc w:val="both"/>
        <w:rPr>
          <w:color w:val="000000"/>
        </w:rPr>
      </w:pPr>
      <w:r>
        <w:rPr>
          <w:color w:val="000000"/>
        </w:rPr>
        <w:t>Zabezpieczenie służy pokryciu roszczeń z tytułu niewykonania lub nienależytego wykonania umowy.</w:t>
      </w:r>
    </w:p>
    <w:p>
      <w:pPr>
        <w:numPr>
          <w:ilvl w:val="0"/>
          <w:numId w:val="32"/>
        </w:numPr>
        <w:tabs>
          <w:tab w:val="left" w:pos="342"/>
          <w:tab w:val="clear" w:pos="720"/>
        </w:tabs>
        <w:spacing w:line="276" w:lineRule="auto"/>
        <w:ind w:left="340" w:hanging="340"/>
        <w:jc w:val="both"/>
        <w:rPr>
          <w:color w:val="000000"/>
        </w:rPr>
      </w:pPr>
      <w:r>
        <w:rPr>
          <w:color w:val="000000"/>
        </w:rPr>
        <w:t>W przypadku należytego wykonania robót 70 % kwoty zabezpieczenia należytego wykonania umowy zostanie zwrócone w terminie 30 dni od dnia wykonania przez Wykonawcę robót i uznania ich przez Zamawiającego za należycie wykonane, poprzez podpisanie bezusterkowego protokołu odbioru końcowego. Pozostała część kwoty, tj. 30 % pozostawione na zabezpieczenie roszczeń z tytułu rękojmi za wady i gwarancji zostanie zwrócona nie później niż w 15 dniu po upływie okresu rękojmi za wady i gwarancji. Zabezpieczenie to zostanie pomniejszone o kwotę ewentualnych należności, które Zamawiający pobrał z tytułu złej realizacji zobowiązań Wykonawcy.</w:t>
      </w:r>
    </w:p>
    <w:p>
      <w:pPr>
        <w:numPr>
          <w:ilvl w:val="0"/>
          <w:numId w:val="32"/>
        </w:numPr>
        <w:tabs>
          <w:tab w:val="left" w:pos="342"/>
          <w:tab w:val="clear" w:pos="720"/>
        </w:tabs>
        <w:spacing w:line="276" w:lineRule="auto"/>
        <w:ind w:left="340" w:hanging="340"/>
        <w:jc w:val="both"/>
        <w:rPr>
          <w:color w:val="000000"/>
        </w:rPr>
      </w:pPr>
      <w:r>
        <w:rPr>
          <w:color w:val="000000"/>
        </w:rPr>
        <w:t>Zabezpieczenie należytego wykonania umowy wniesione w pieniądzu, Zamawiający zwraca wraz z odsetkami wynikającymi z umowy rachunku bankowego, na którym było ono przechowywane, pomniejszonymi o koszty prowadzenia tego rachunku oraz prowizji bankowej za przelew pieniędzy na rachunek Wykonawcy.</w:t>
      </w:r>
    </w:p>
    <w:p>
      <w:pPr>
        <w:numPr>
          <w:ilvl w:val="0"/>
          <w:numId w:val="32"/>
        </w:numPr>
        <w:tabs>
          <w:tab w:val="left" w:pos="342"/>
          <w:tab w:val="clear" w:pos="720"/>
        </w:tabs>
        <w:spacing w:line="276" w:lineRule="auto"/>
        <w:ind w:left="340" w:hanging="340"/>
        <w:jc w:val="both"/>
      </w:pPr>
      <w:r>
        <w:rPr>
          <w:color w:val="000000"/>
        </w:rPr>
        <w:t>Po uprzednim uzgodnieniu z Zamawiającym Wykonawca może dokonać zmiany formy zabezpieczenia na jedną lub kilka form, o których mowa w art. 450 ust. 1 ustawy Prawo zamówień publicznych. Zmiana formy zabezpieczenia jest dokonywana z zachowaniem ciągłości zabezpieczenia i bez zmniejszenia jego wysokości.</w:t>
      </w:r>
    </w:p>
    <w:p>
      <w:pPr>
        <w:numPr>
          <w:ilvl w:val="0"/>
          <w:numId w:val="32"/>
        </w:numPr>
        <w:tabs>
          <w:tab w:val="left" w:pos="342"/>
          <w:tab w:val="clear" w:pos="720"/>
        </w:tabs>
        <w:spacing w:line="276" w:lineRule="auto"/>
        <w:ind w:left="340" w:hanging="340"/>
        <w:jc w:val="both"/>
      </w:pPr>
      <w:r>
        <w:rPr>
          <w:color w:val="000000"/>
        </w:rPr>
        <w:t>W przypadku nienależytego wykonania zamówienia zabezpieczenie przechodzi na rzecz Zamawiającego i będzie wykorzystywane do zgodnego z umową wykonania robót i do pokrycia roszczeń z tytułu rękojmi za wykonane roboty.</w:t>
      </w:r>
    </w:p>
    <w:p>
      <w:pPr>
        <w:spacing w:line="276" w:lineRule="auto"/>
        <w:jc w:val="center"/>
        <w:rPr>
          <w:b/>
          <w:color w:val="000000"/>
        </w:rPr>
      </w:pPr>
    </w:p>
    <w:p>
      <w:pPr>
        <w:spacing w:line="276" w:lineRule="auto"/>
        <w:jc w:val="center"/>
        <w:rPr>
          <w:b/>
          <w:color w:val="000000"/>
        </w:rPr>
      </w:pPr>
    </w:p>
    <w:p>
      <w:pPr>
        <w:spacing w:line="276" w:lineRule="auto"/>
        <w:jc w:val="center"/>
        <w:rPr>
          <w:b/>
          <w:color w:val="000000"/>
        </w:rPr>
      </w:pPr>
      <w:r>
        <w:rPr>
          <w:b/>
          <w:color w:val="000000"/>
        </w:rPr>
        <w:t>§ 12</w:t>
      </w:r>
    </w:p>
    <w:p>
      <w:pPr>
        <w:spacing w:line="276" w:lineRule="auto"/>
        <w:jc w:val="center"/>
        <w:rPr>
          <w:b/>
          <w:color w:val="000000"/>
        </w:rPr>
      </w:pPr>
      <w:r>
        <w:rPr>
          <w:b/>
          <w:color w:val="000000"/>
        </w:rPr>
        <w:t>Gwarancja jakości i rękojmia</w:t>
      </w:r>
    </w:p>
    <w:p>
      <w:pPr>
        <w:spacing w:line="276" w:lineRule="auto"/>
        <w:jc w:val="center"/>
        <w:rPr>
          <w:b/>
          <w:color w:val="000000"/>
        </w:rPr>
      </w:pPr>
    </w:p>
    <w:p>
      <w:pPr>
        <w:numPr>
          <w:ilvl w:val="0"/>
          <w:numId w:val="33"/>
        </w:numPr>
        <w:tabs>
          <w:tab w:val="left" w:pos="335"/>
          <w:tab w:val="clear" w:pos="720"/>
        </w:tabs>
        <w:spacing w:line="276" w:lineRule="auto"/>
        <w:ind w:left="340" w:hanging="340"/>
        <w:jc w:val="both"/>
        <w:rPr>
          <w:color w:val="000000"/>
        </w:rPr>
      </w:pPr>
      <w:r>
        <w:rPr>
          <w:color w:val="000000"/>
        </w:rPr>
        <w:t>Wykonawca udziela  Zamawiającemu gwarancji jakości wykonania przedmiotu umowy oraz rękojmi za wady na okres .................. miesięcy od dnia odbioru końcowego przedmiotu umowy przez Zamawiającego, zobowiązując się do bezpłatnego usuwania wad fizycznych przedmiotu umowy, jeżeli wady te ujawnią się we wskazanym wyżej okresie.</w:t>
      </w:r>
    </w:p>
    <w:p>
      <w:pPr>
        <w:numPr>
          <w:ilvl w:val="0"/>
          <w:numId w:val="33"/>
        </w:numPr>
        <w:tabs>
          <w:tab w:val="left" w:pos="335"/>
          <w:tab w:val="clear" w:pos="720"/>
        </w:tabs>
        <w:spacing w:line="276" w:lineRule="auto"/>
        <w:ind w:left="340" w:hanging="340"/>
        <w:jc w:val="both"/>
        <w:rPr>
          <w:color w:val="000000"/>
        </w:rPr>
      </w:pPr>
      <w:r>
        <w:rPr>
          <w:color w:val="000000"/>
        </w:rPr>
        <w:t>O wykryciu wady przedmiotu umowy w okresie gwarancji Zamawiający zobowiązany jest zawiadomić Wykonawcę na piśmie. Wiążące Wykonawcę są również zawiadomienia dokonane przez Zamawiającego za pośrednictwem telefonu, faksu lub poczty elektronicznej – potwierdzone następnie na piśmie.</w:t>
      </w:r>
    </w:p>
    <w:p>
      <w:pPr>
        <w:numPr>
          <w:ilvl w:val="0"/>
          <w:numId w:val="33"/>
        </w:numPr>
        <w:tabs>
          <w:tab w:val="left" w:pos="335"/>
          <w:tab w:val="clear" w:pos="720"/>
        </w:tabs>
        <w:spacing w:line="276" w:lineRule="auto"/>
        <w:ind w:left="340" w:hanging="340"/>
        <w:jc w:val="both"/>
        <w:rPr>
          <w:color w:val="000000"/>
        </w:rPr>
      </w:pPr>
      <w:r>
        <w:rPr>
          <w:color w:val="000000"/>
        </w:rPr>
        <w:t>Żądając usunięcia stwierdzonych wad, Zamawiający wyznaczy Wykonawcy termin technicznie i ekonomicznie uzasadniony na ich usunięcie. Wykonawca nie może odmówić usunięcia wad bez względu na wysokość związanych z tym kosztów.</w:t>
      </w:r>
    </w:p>
    <w:p>
      <w:pPr>
        <w:numPr>
          <w:ilvl w:val="0"/>
          <w:numId w:val="33"/>
        </w:numPr>
        <w:tabs>
          <w:tab w:val="left" w:pos="335"/>
          <w:tab w:val="clear" w:pos="720"/>
        </w:tabs>
        <w:spacing w:line="276" w:lineRule="auto"/>
        <w:ind w:left="340" w:hanging="340"/>
        <w:jc w:val="both"/>
        <w:rPr>
          <w:color w:val="000000"/>
        </w:rPr>
      </w:pPr>
      <w:r>
        <w:rPr>
          <w:color w:val="000000"/>
        </w:rPr>
        <w:t>Istnienie wady Strony potwierdzą protokolarnie, po przeprowadzeniu oględzin. O dacie i miejscu oględzin Zamawiający informuje Wykonawcę na 3 dni robocze przed terminem oględzin.</w:t>
      </w:r>
    </w:p>
    <w:p>
      <w:pPr>
        <w:numPr>
          <w:ilvl w:val="0"/>
          <w:numId w:val="33"/>
        </w:numPr>
        <w:tabs>
          <w:tab w:val="left" w:pos="335"/>
          <w:tab w:val="clear" w:pos="720"/>
        </w:tabs>
        <w:spacing w:line="276" w:lineRule="auto"/>
        <w:ind w:left="340" w:hanging="340"/>
        <w:jc w:val="both"/>
        <w:rPr>
          <w:color w:val="000000"/>
        </w:rPr>
      </w:pPr>
      <w:r>
        <w:rPr>
          <w:color w:val="000000"/>
        </w:rPr>
        <w:t>Wykonawca zobowiązany jest do zawiadomienia Zamawiającego o usunięciu wad oraz do zgłoszenia do Zamawiającego wyznaczenia terminu na odbiór wykonanych w tym zakresie robót.</w:t>
      </w:r>
    </w:p>
    <w:p>
      <w:pPr>
        <w:numPr>
          <w:ilvl w:val="0"/>
          <w:numId w:val="33"/>
        </w:numPr>
        <w:tabs>
          <w:tab w:val="left" w:pos="335"/>
          <w:tab w:val="clear" w:pos="720"/>
        </w:tabs>
        <w:spacing w:line="276" w:lineRule="auto"/>
        <w:ind w:left="340" w:hanging="340"/>
        <w:jc w:val="both"/>
        <w:rPr>
          <w:color w:val="000000"/>
        </w:rPr>
      </w:pPr>
      <w:r>
        <w:rPr>
          <w:color w:val="000000"/>
        </w:rPr>
        <w:t>Usunięcie wad musi być stwierdzone protokolarnie. W przypadku nie usunięcia wad w wyznaczonym terminie, Zamawiający usunie wady we własnym zakresie i obciąży Wykonawcę kosztami ich usunięcia.</w:t>
      </w:r>
    </w:p>
    <w:p>
      <w:pPr>
        <w:numPr>
          <w:ilvl w:val="0"/>
          <w:numId w:val="33"/>
        </w:numPr>
        <w:tabs>
          <w:tab w:val="left" w:pos="335"/>
          <w:tab w:val="clear" w:pos="720"/>
        </w:tabs>
        <w:spacing w:line="276" w:lineRule="auto"/>
        <w:ind w:left="340" w:hanging="340"/>
        <w:jc w:val="both"/>
        <w:rPr>
          <w:color w:val="000000"/>
        </w:rPr>
      </w:pPr>
      <w:r>
        <w:rPr>
          <w:color w:val="000000"/>
        </w:rPr>
        <w:t>Strony dokonują przeglądów gwarancyjnych na koniec każdego kolejnego roku gwarancji. Zamawiający wyznaczy termin przeglądów gwarancyjnych, informując o tym Wykonawcę z 14–sto dniowym wyprzedzeniem. Niezbędny do przeprowadzenia przeglądu sprzęt i materiały Wykonawca zapewni na własny koszt.</w:t>
      </w:r>
    </w:p>
    <w:p>
      <w:pPr>
        <w:numPr>
          <w:ilvl w:val="0"/>
          <w:numId w:val="33"/>
        </w:numPr>
        <w:tabs>
          <w:tab w:val="left" w:pos="335"/>
          <w:tab w:val="clear" w:pos="720"/>
        </w:tabs>
        <w:spacing w:line="276" w:lineRule="auto"/>
        <w:ind w:left="340" w:hanging="340"/>
        <w:jc w:val="both"/>
        <w:rPr>
          <w:color w:val="000000"/>
        </w:rPr>
      </w:pPr>
      <w:r>
        <w:rPr>
          <w:color w:val="000000"/>
        </w:rPr>
        <w:t>Nie później niż na 2 miesiące przed upływem okresu gwarancji i rękojmi, Strony przystąpią do ostatecznego przeglądu gwarancyjnego, a stwierdzone w jego ramach wady i usterki zostaną przez Wykonawcę usunięte zgodnie z postanowieniami niniejszej Umowy.</w:t>
      </w:r>
    </w:p>
    <w:p>
      <w:pPr>
        <w:numPr>
          <w:ilvl w:val="0"/>
          <w:numId w:val="33"/>
        </w:numPr>
        <w:tabs>
          <w:tab w:val="left" w:pos="335"/>
          <w:tab w:val="clear" w:pos="720"/>
        </w:tabs>
        <w:spacing w:line="276" w:lineRule="auto"/>
        <w:ind w:left="340" w:hanging="340"/>
        <w:jc w:val="both"/>
        <w:rPr>
          <w:color w:val="000000"/>
        </w:rPr>
      </w:pPr>
      <w:r>
        <w:rPr>
          <w:color w:val="000000"/>
        </w:rPr>
        <w:t>Niezależnie od uprawnień przysługujących Zamawiającemu z tytułu gwarancji, Zamawiającemu przysługuje prawo dochodzenia uprawnień z tytułu rękojmi za wady fizyczne i prawne na zasadach określonych w powszechnie obowiązujących przepisach prawa z tym, że termin rękojmi równy jest okresowi gwarancji, wskazanemu powyżej.</w:t>
      </w:r>
    </w:p>
    <w:p>
      <w:pPr>
        <w:numPr>
          <w:ilvl w:val="0"/>
          <w:numId w:val="33"/>
        </w:numPr>
        <w:tabs>
          <w:tab w:val="left" w:pos="335"/>
          <w:tab w:val="clear" w:pos="720"/>
        </w:tabs>
        <w:spacing w:line="276" w:lineRule="auto"/>
        <w:ind w:left="340" w:hanging="340"/>
        <w:jc w:val="both"/>
        <w:rPr>
          <w:color w:val="000000"/>
        </w:rPr>
      </w:pPr>
      <w:r>
        <w:rPr>
          <w:color w:val="000000"/>
        </w:rPr>
        <w:t>Zamawiający może dochodzić roszczeń z tytułu rękojmi za wady także po upływie terminu rękojmi, jeżeli zgłosi wadę przed upływem tego terminu.</w:t>
      </w:r>
    </w:p>
    <w:p>
      <w:pPr>
        <w:numPr>
          <w:ilvl w:val="0"/>
          <w:numId w:val="33"/>
        </w:numPr>
        <w:tabs>
          <w:tab w:val="left" w:pos="335"/>
          <w:tab w:val="clear" w:pos="720"/>
        </w:tabs>
        <w:spacing w:line="276" w:lineRule="auto"/>
        <w:ind w:left="340" w:hanging="340"/>
        <w:jc w:val="both"/>
        <w:rPr>
          <w:color w:val="000000"/>
        </w:rPr>
      </w:pPr>
      <w:r>
        <w:rPr>
          <w:color w:val="000000"/>
        </w:rPr>
        <w:t>W okresie gwarancji i rękojmi Wykonawca zobowiązany jest do pisemnego zawiadomienia Zamawiającego w terminie 14 dni o:</w:t>
      </w:r>
    </w:p>
    <w:p>
      <w:pPr>
        <w:numPr>
          <w:ilvl w:val="0"/>
          <w:numId w:val="34"/>
        </w:numPr>
        <w:tabs>
          <w:tab w:val="left" w:pos="682"/>
          <w:tab w:val="clear" w:pos="720"/>
        </w:tabs>
        <w:spacing w:line="276" w:lineRule="auto"/>
        <w:ind w:left="680" w:hanging="340"/>
        <w:jc w:val="both"/>
        <w:rPr>
          <w:color w:val="000000"/>
        </w:rPr>
      </w:pPr>
      <w:r>
        <w:rPr>
          <w:color w:val="000000"/>
        </w:rPr>
        <w:tab/>
      </w:r>
      <w:r>
        <w:rPr>
          <w:color w:val="000000"/>
        </w:rPr>
        <w:t>zmianie siedziby lub firmy Wykonawcy,</w:t>
      </w:r>
    </w:p>
    <w:p>
      <w:pPr>
        <w:numPr>
          <w:ilvl w:val="0"/>
          <w:numId w:val="34"/>
        </w:numPr>
        <w:tabs>
          <w:tab w:val="left" w:pos="682"/>
          <w:tab w:val="clear" w:pos="720"/>
        </w:tabs>
        <w:spacing w:line="276" w:lineRule="auto"/>
        <w:ind w:left="680" w:hanging="340"/>
        <w:jc w:val="both"/>
        <w:rPr>
          <w:color w:val="000000"/>
        </w:rPr>
      </w:pPr>
      <w:r>
        <w:rPr>
          <w:color w:val="000000"/>
        </w:rPr>
        <w:tab/>
      </w:r>
      <w:r>
        <w:rPr>
          <w:color w:val="000000"/>
        </w:rPr>
        <w:t>zmianie osób reprezentujących Wykonawcę,</w:t>
      </w:r>
    </w:p>
    <w:p>
      <w:pPr>
        <w:numPr>
          <w:ilvl w:val="0"/>
          <w:numId w:val="34"/>
        </w:numPr>
        <w:tabs>
          <w:tab w:val="left" w:pos="682"/>
          <w:tab w:val="clear" w:pos="720"/>
        </w:tabs>
        <w:spacing w:line="276" w:lineRule="auto"/>
        <w:ind w:left="680" w:hanging="340"/>
        <w:jc w:val="both"/>
        <w:rPr>
          <w:color w:val="000000"/>
        </w:rPr>
      </w:pPr>
      <w:r>
        <w:rPr>
          <w:color w:val="000000"/>
        </w:rPr>
        <w:tab/>
      </w:r>
      <w:r>
        <w:rPr>
          <w:color w:val="000000"/>
        </w:rPr>
        <w:t>ogłoszeniu upadłości Wykonawcy,</w:t>
      </w:r>
    </w:p>
    <w:p>
      <w:pPr>
        <w:numPr>
          <w:ilvl w:val="0"/>
          <w:numId w:val="34"/>
        </w:numPr>
        <w:tabs>
          <w:tab w:val="left" w:pos="682"/>
          <w:tab w:val="clear" w:pos="720"/>
        </w:tabs>
        <w:spacing w:line="276" w:lineRule="auto"/>
        <w:ind w:left="680" w:hanging="340"/>
        <w:jc w:val="both"/>
        <w:rPr>
          <w:color w:val="000000"/>
        </w:rPr>
      </w:pPr>
      <w:r>
        <w:rPr>
          <w:color w:val="000000"/>
        </w:rPr>
        <w:tab/>
      </w:r>
      <w:r>
        <w:rPr>
          <w:color w:val="000000"/>
        </w:rPr>
        <w:t>wszczęciu postępowania układowego, w którym uczestniczy Wykonawca,</w:t>
      </w:r>
    </w:p>
    <w:p>
      <w:pPr>
        <w:numPr>
          <w:ilvl w:val="0"/>
          <w:numId w:val="34"/>
        </w:numPr>
        <w:tabs>
          <w:tab w:val="left" w:pos="682"/>
          <w:tab w:val="clear" w:pos="720"/>
        </w:tabs>
        <w:spacing w:line="276" w:lineRule="auto"/>
        <w:ind w:left="680" w:hanging="340"/>
        <w:jc w:val="both"/>
        <w:rPr>
          <w:color w:val="000000"/>
        </w:rPr>
      </w:pPr>
      <w:r>
        <w:rPr>
          <w:color w:val="000000"/>
        </w:rPr>
        <w:tab/>
      </w:r>
      <w:r>
        <w:rPr>
          <w:color w:val="000000"/>
        </w:rPr>
        <w:t>ogłoszeniu likwidacji Wykonawcy,</w:t>
      </w:r>
    </w:p>
    <w:p>
      <w:pPr>
        <w:numPr>
          <w:ilvl w:val="0"/>
          <w:numId w:val="34"/>
        </w:numPr>
        <w:tabs>
          <w:tab w:val="left" w:pos="682"/>
          <w:tab w:val="clear" w:pos="720"/>
        </w:tabs>
        <w:spacing w:line="276" w:lineRule="auto"/>
        <w:ind w:left="680" w:hanging="340"/>
        <w:jc w:val="both"/>
        <w:rPr>
          <w:color w:val="000000"/>
        </w:rPr>
      </w:pPr>
      <w:r>
        <w:rPr>
          <w:color w:val="000000"/>
        </w:rPr>
        <w:tab/>
      </w:r>
      <w:r>
        <w:rPr>
          <w:color w:val="000000"/>
        </w:rPr>
        <w:t>zawieszeniu działalności Wykonawcy.</w:t>
      </w:r>
    </w:p>
    <w:p>
      <w:pPr>
        <w:tabs>
          <w:tab w:val="left" w:pos="969"/>
        </w:tabs>
        <w:spacing w:line="276" w:lineRule="auto"/>
        <w:ind w:left="1344"/>
        <w:jc w:val="both"/>
        <w:rPr>
          <w:color w:val="000000"/>
        </w:rPr>
      </w:pPr>
    </w:p>
    <w:p>
      <w:pPr>
        <w:tabs>
          <w:tab w:val="left" w:pos="969"/>
        </w:tabs>
        <w:spacing w:line="276" w:lineRule="auto"/>
        <w:ind w:left="1344"/>
        <w:jc w:val="both"/>
        <w:rPr>
          <w:color w:val="000000"/>
        </w:rPr>
      </w:pPr>
    </w:p>
    <w:p>
      <w:pPr>
        <w:spacing w:line="276" w:lineRule="auto"/>
        <w:jc w:val="center"/>
        <w:rPr>
          <w:rFonts w:hint="default"/>
          <w:b/>
          <w:color w:val="000000"/>
          <w:lang w:val="pl-PL"/>
        </w:rPr>
      </w:pPr>
      <w:r>
        <w:rPr>
          <w:b/>
          <w:color w:val="000000"/>
        </w:rPr>
        <w:t>§ 1</w:t>
      </w:r>
      <w:r>
        <w:rPr>
          <w:rFonts w:hint="default"/>
          <w:b/>
          <w:color w:val="000000"/>
          <w:lang w:val="pl-PL"/>
        </w:rPr>
        <w:t>3</w:t>
      </w:r>
    </w:p>
    <w:p>
      <w:pPr>
        <w:spacing w:line="276" w:lineRule="auto"/>
        <w:jc w:val="center"/>
        <w:rPr>
          <w:b/>
          <w:color w:val="000000"/>
        </w:rPr>
      </w:pPr>
      <w:r>
        <w:rPr>
          <w:b/>
          <w:color w:val="000000"/>
        </w:rPr>
        <w:t>Kary umowne</w:t>
      </w:r>
    </w:p>
    <w:p>
      <w:pPr>
        <w:spacing w:line="276" w:lineRule="auto"/>
        <w:jc w:val="center"/>
        <w:rPr>
          <w:b/>
          <w:color w:val="000000"/>
        </w:rPr>
      </w:pPr>
    </w:p>
    <w:p>
      <w:pPr>
        <w:numPr>
          <w:ilvl w:val="0"/>
          <w:numId w:val="35"/>
        </w:numPr>
        <w:tabs>
          <w:tab w:val="left" w:pos="335"/>
          <w:tab w:val="clear" w:pos="720"/>
        </w:tabs>
        <w:spacing w:line="276" w:lineRule="auto"/>
        <w:ind w:left="340" w:hanging="340"/>
        <w:jc w:val="both"/>
        <w:rPr>
          <w:color w:val="000000"/>
        </w:rPr>
      </w:pPr>
      <w:r>
        <w:rPr>
          <w:color w:val="000000"/>
        </w:rPr>
        <w:t>W razie nie wykonania lub nienależytego wykonania przedmiotu umowy w ustalonym terminie, obowiązującą formą odszkodowania uzgodnioną między Stronami będą kary umowne.</w:t>
      </w:r>
    </w:p>
    <w:p>
      <w:pPr>
        <w:numPr>
          <w:ilvl w:val="0"/>
          <w:numId w:val="35"/>
        </w:numPr>
        <w:tabs>
          <w:tab w:val="left" w:pos="335"/>
          <w:tab w:val="clear" w:pos="720"/>
        </w:tabs>
        <w:spacing w:line="276" w:lineRule="auto"/>
        <w:ind w:left="340" w:hanging="340"/>
        <w:jc w:val="both"/>
        <w:rPr>
          <w:color w:val="000000"/>
        </w:rPr>
      </w:pPr>
      <w:r>
        <w:rPr>
          <w:color w:val="000000"/>
        </w:rPr>
        <w:t>Wykonawca zapłaci Zamawiającemu kary umowne w następujących przypadkach :</w:t>
      </w:r>
    </w:p>
    <w:p>
      <w:pPr>
        <w:numPr>
          <w:ilvl w:val="0"/>
          <w:numId w:val="36"/>
        </w:numPr>
        <w:tabs>
          <w:tab w:val="left" w:pos="682"/>
          <w:tab w:val="clear" w:pos="720"/>
        </w:tabs>
        <w:spacing w:line="276" w:lineRule="auto"/>
        <w:ind w:left="680" w:hanging="340"/>
        <w:jc w:val="both"/>
      </w:pPr>
      <w:r>
        <w:rPr>
          <w:color w:val="000000"/>
        </w:rPr>
        <w:t>za zwłokę w wykonaniu przedmiotu zamówienia, w wysokości 0,1% łącznego wynagrodzenia umownego brutto (zgodnie z § 7 ust. 1), za każdy dzień zwłoki;</w:t>
      </w:r>
    </w:p>
    <w:p>
      <w:pPr>
        <w:numPr>
          <w:ilvl w:val="0"/>
          <w:numId w:val="36"/>
        </w:numPr>
        <w:tabs>
          <w:tab w:val="left" w:pos="682"/>
          <w:tab w:val="clear" w:pos="720"/>
        </w:tabs>
        <w:spacing w:line="276" w:lineRule="auto"/>
        <w:ind w:left="680" w:hanging="340"/>
        <w:jc w:val="both"/>
        <w:rPr>
          <w:color w:val="000000"/>
        </w:rPr>
      </w:pPr>
      <w:r>
        <w:rPr>
          <w:color w:val="000000"/>
        </w:rPr>
        <w:t>za zwłokę w usunięciu wad lub usterek stwierdzonych w okresie gwarancji i rękojmi za wady przedmiotu umowy w wysokości 0,1% łącznego wynagrodzenia umownego brutto (zgodnie z § 7  ust. 1), za każdy dzień zwłoki, licząc od następnego dnia po upływie terminu wyznaczonego na usunięcie wad lub usterek;</w:t>
      </w:r>
    </w:p>
    <w:p>
      <w:pPr>
        <w:numPr>
          <w:ilvl w:val="0"/>
          <w:numId w:val="36"/>
        </w:numPr>
        <w:tabs>
          <w:tab w:val="left" w:pos="682"/>
          <w:tab w:val="clear" w:pos="720"/>
        </w:tabs>
        <w:spacing w:line="276" w:lineRule="auto"/>
        <w:ind w:left="680" w:hanging="340"/>
        <w:jc w:val="both"/>
        <w:rPr>
          <w:color w:val="000000"/>
        </w:rPr>
      </w:pPr>
      <w:r>
        <w:rPr>
          <w:color w:val="000000"/>
        </w:rPr>
        <w:t>za powstanie przerwy w realizacji robót z przyczyn zależnych od Wykonawcy – w wysokości 0,1% łącznego wynagrodzenia umownego brutto (zgodnie z § 7 ust. 1), za każdy dzień przerwy, potwierdzony przez Inspektora Nadzoru;</w:t>
      </w:r>
    </w:p>
    <w:p>
      <w:pPr>
        <w:numPr>
          <w:ilvl w:val="0"/>
          <w:numId w:val="36"/>
        </w:numPr>
        <w:tabs>
          <w:tab w:val="left" w:pos="682"/>
          <w:tab w:val="clear" w:pos="720"/>
        </w:tabs>
        <w:spacing w:line="276" w:lineRule="auto"/>
        <w:ind w:left="680" w:hanging="340"/>
        <w:jc w:val="both"/>
      </w:pPr>
      <w:r>
        <w:rPr>
          <w:color w:val="000000"/>
        </w:rPr>
        <w:t>za odstąpienie od umowy z przyczyn, za które odpowiada Wykonawca w wysokości 20% łącznego wynagrodzenia umownego brutto (zgodnie z § 7 ust. 1);</w:t>
      </w:r>
    </w:p>
    <w:p>
      <w:pPr>
        <w:numPr>
          <w:ilvl w:val="0"/>
          <w:numId w:val="36"/>
        </w:numPr>
        <w:tabs>
          <w:tab w:val="left" w:pos="682"/>
          <w:tab w:val="clear" w:pos="720"/>
        </w:tabs>
        <w:spacing w:line="276" w:lineRule="auto"/>
        <w:ind w:left="680" w:hanging="340"/>
        <w:jc w:val="both"/>
      </w:pPr>
      <w:r>
        <w:rPr>
          <w:color w:val="000000"/>
        </w:rPr>
        <w:t>w innych przypadkach niewykonania lub nienależytego wykonania przez Wykonawcę obowiązków wynikających z umowy, tj. określonych w § 5 ust. 1 pkt. 3), pkt. 7), pkt. 15) i pkt. 21) – w wysokości 5% łącznego wynagrodzenia umownego brutto (zgodnie z § 7 ust. 1);</w:t>
      </w:r>
    </w:p>
    <w:p>
      <w:pPr>
        <w:numPr>
          <w:ilvl w:val="0"/>
          <w:numId w:val="36"/>
        </w:numPr>
        <w:tabs>
          <w:tab w:val="left" w:pos="682"/>
          <w:tab w:val="clear" w:pos="720"/>
        </w:tabs>
        <w:spacing w:line="276" w:lineRule="auto"/>
        <w:ind w:left="680" w:hanging="340"/>
        <w:jc w:val="both"/>
      </w:pPr>
      <w:r>
        <w:rPr>
          <w:color w:val="000000"/>
        </w:rPr>
        <w:t>za brak zapłaty lub nieterminową zapłatę wynagrodzenia należnego podwykonawcom lub dalszym podwykonawcom, w wysokości 0,1% łącznego wynagrodzenia umownego brutto (zgodnie z § 7 ust. 1), za każdy rozpoczęty dzień zwłoki;</w:t>
      </w:r>
    </w:p>
    <w:p>
      <w:pPr>
        <w:numPr>
          <w:ilvl w:val="0"/>
          <w:numId w:val="36"/>
        </w:numPr>
        <w:tabs>
          <w:tab w:val="left" w:pos="682"/>
          <w:tab w:val="clear" w:pos="720"/>
        </w:tabs>
        <w:spacing w:line="276" w:lineRule="auto"/>
        <w:ind w:left="680" w:hanging="340"/>
        <w:jc w:val="both"/>
        <w:rPr>
          <w:color w:val="000000"/>
        </w:rPr>
      </w:pPr>
      <w:r>
        <w:rPr>
          <w:color w:val="000000"/>
        </w:rPr>
        <w:t>za nieprzedłożenie do zaakceptowania projektu umowy o podwykonawstwo, której przedmiotem są roboty budowlane, lub projektu jej zmiany, w wysokości 0,1% łącznego wynagrodzenia umownego brutto (zgodnie z § 7 ust. 1), za każdy taki przypadek;</w:t>
      </w:r>
    </w:p>
    <w:p>
      <w:pPr>
        <w:numPr>
          <w:ilvl w:val="0"/>
          <w:numId w:val="36"/>
        </w:numPr>
        <w:tabs>
          <w:tab w:val="left" w:pos="682"/>
          <w:tab w:val="clear" w:pos="720"/>
        </w:tabs>
        <w:spacing w:line="276" w:lineRule="auto"/>
        <w:ind w:left="680" w:hanging="340"/>
        <w:jc w:val="both"/>
        <w:rPr>
          <w:color w:val="000000"/>
        </w:rPr>
      </w:pPr>
      <w:r>
        <w:rPr>
          <w:color w:val="000000"/>
        </w:rPr>
        <w:t>za nieprzedłożenie poświadczonej za zgodność z oryginałem kopii umowy o podwykonawstwo lub jej zmiany, w wysokości 0,1% łącznego wynagrodzenia umownego brutto (zgodnie z § 7 ust. 1), za każdy taki przypadek;</w:t>
      </w:r>
    </w:p>
    <w:p>
      <w:pPr>
        <w:numPr>
          <w:ilvl w:val="0"/>
          <w:numId w:val="36"/>
        </w:numPr>
        <w:tabs>
          <w:tab w:val="left" w:pos="682"/>
          <w:tab w:val="clear" w:pos="720"/>
        </w:tabs>
        <w:spacing w:line="276" w:lineRule="auto"/>
        <w:ind w:left="680" w:hanging="340"/>
        <w:jc w:val="both"/>
        <w:rPr>
          <w:color w:val="000000"/>
        </w:rPr>
      </w:pPr>
      <w:r>
        <w:rPr>
          <w:color w:val="000000"/>
        </w:rPr>
        <w:t>za brak zmiany umowy o podwykonawstwo w zakresie terminu zapłaty w wysokości 0,1% łącznego wynagrodzenia umownego brutto (zgodnie z § 7 ust. 1), za każdy taki przypadek.</w:t>
      </w:r>
    </w:p>
    <w:p>
      <w:pPr>
        <w:numPr>
          <w:ilvl w:val="0"/>
          <w:numId w:val="37"/>
        </w:numPr>
        <w:tabs>
          <w:tab w:val="left" w:pos="335"/>
          <w:tab w:val="clear" w:pos="720"/>
        </w:tabs>
        <w:spacing w:line="276" w:lineRule="auto"/>
        <w:ind w:left="340" w:hanging="340"/>
        <w:jc w:val="both"/>
      </w:pPr>
      <w:r>
        <w:rPr>
          <w:color w:val="000000"/>
        </w:rPr>
        <w:t>Zamawiający zapłaci Wykonawcy karę umowną za odstąpienie od umowy przez Wykonawcę z przyczyn, za które ponosi odpowiedzialność Zamawiając</w:t>
      </w:r>
      <w:r>
        <w:rPr>
          <w:color w:val="000000"/>
          <w:highlight w:val="none"/>
        </w:rPr>
        <w:t>y, w wysokości 10% łącznego wynagrodzenia umown</w:t>
      </w:r>
      <w:r>
        <w:rPr>
          <w:color w:val="000000"/>
        </w:rPr>
        <w:t>ego brutto (zgodnie z § 7 ust. 1), za wyjątkiem wystąpienia sytuacji przedstawionych w art. 456 ustawy Prawo zamówień publicznych.</w:t>
      </w:r>
    </w:p>
    <w:p>
      <w:pPr>
        <w:numPr>
          <w:ilvl w:val="0"/>
          <w:numId w:val="37"/>
        </w:numPr>
        <w:tabs>
          <w:tab w:val="left" w:pos="335"/>
          <w:tab w:val="clear" w:pos="720"/>
        </w:tabs>
        <w:spacing w:line="276" w:lineRule="auto"/>
        <w:ind w:left="340" w:hanging="340"/>
        <w:jc w:val="both"/>
        <w:rPr>
          <w:color w:val="000000"/>
        </w:rPr>
      </w:pPr>
      <w:r>
        <w:rPr>
          <w:color w:val="000000"/>
        </w:rPr>
        <w:t>Każda z kar umownych wymienionych w ust. 2 jest niezależna od siebie, a Zamawiający ma prawo dochodzić każdej z nich niezależnie od dochodzenia pozostałych.</w:t>
      </w:r>
    </w:p>
    <w:p>
      <w:pPr>
        <w:numPr>
          <w:ilvl w:val="0"/>
          <w:numId w:val="37"/>
        </w:numPr>
        <w:tabs>
          <w:tab w:val="left" w:pos="335"/>
          <w:tab w:val="clear" w:pos="720"/>
        </w:tabs>
        <w:spacing w:line="276" w:lineRule="auto"/>
        <w:ind w:left="340" w:hanging="340"/>
        <w:jc w:val="both"/>
        <w:rPr>
          <w:color w:val="000000"/>
        </w:rPr>
      </w:pPr>
      <w:r>
        <w:rPr>
          <w:color w:val="000000"/>
        </w:rPr>
        <w:t>Zapłacenie lub potrącenie kary za niedotrzymanie terminu nie zwalnia Wykonawcy z obowiązku wykonania przedmiotu umowy w pełnym zakresie.</w:t>
      </w:r>
    </w:p>
    <w:p>
      <w:pPr>
        <w:numPr>
          <w:ilvl w:val="0"/>
          <w:numId w:val="37"/>
        </w:numPr>
        <w:tabs>
          <w:tab w:val="left" w:pos="335"/>
          <w:tab w:val="clear" w:pos="720"/>
        </w:tabs>
        <w:spacing w:line="276" w:lineRule="auto"/>
        <w:ind w:left="340" w:hanging="340"/>
        <w:jc w:val="both"/>
        <w:rPr>
          <w:highlight w:val="none"/>
        </w:rPr>
      </w:pPr>
      <w:r>
        <w:rPr>
          <w:color w:val="000000"/>
        </w:rPr>
        <w:t>Łączna maksymalna wysokość kar umownych jakich mogą dochodzić Stron</w:t>
      </w:r>
      <w:r>
        <w:rPr>
          <w:color w:val="000000"/>
          <w:highlight w:val="none"/>
        </w:rPr>
        <w:t>y nie może przekroczyć 10% łącznego wynagrodzenia umownego brutto (zgodnie z § 7 ust. 1).</w:t>
      </w:r>
    </w:p>
    <w:p>
      <w:pPr>
        <w:numPr>
          <w:ilvl w:val="0"/>
          <w:numId w:val="37"/>
        </w:numPr>
        <w:tabs>
          <w:tab w:val="left" w:pos="335"/>
          <w:tab w:val="clear" w:pos="720"/>
        </w:tabs>
        <w:spacing w:line="276" w:lineRule="auto"/>
        <w:ind w:left="340" w:hanging="340"/>
        <w:jc w:val="both"/>
        <w:rPr>
          <w:color w:val="000000"/>
        </w:rPr>
      </w:pPr>
      <w:r>
        <w:rPr>
          <w:color w:val="000000"/>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w:t>
      </w:r>
    </w:p>
    <w:p>
      <w:pPr>
        <w:numPr>
          <w:ilvl w:val="0"/>
          <w:numId w:val="37"/>
        </w:numPr>
        <w:tabs>
          <w:tab w:val="left" w:pos="335"/>
          <w:tab w:val="clear" w:pos="720"/>
        </w:tabs>
        <w:spacing w:line="276" w:lineRule="auto"/>
        <w:ind w:left="340" w:hanging="340"/>
        <w:jc w:val="both"/>
        <w:rPr>
          <w:color w:val="000000"/>
        </w:rPr>
      </w:pPr>
      <w:r>
        <w:rPr>
          <w:color w:val="000000"/>
        </w:rPr>
        <w:t>Zamawiający zastrzega sobie prawo potrącenia kary umownej z wynagrodzenia przysługującego Wykonawcy za wykonanie przedmiotu umowy.</w:t>
      </w:r>
    </w:p>
    <w:p>
      <w:pPr>
        <w:numPr>
          <w:ilvl w:val="0"/>
          <w:numId w:val="37"/>
        </w:numPr>
        <w:tabs>
          <w:tab w:val="left" w:pos="335"/>
          <w:tab w:val="clear" w:pos="720"/>
        </w:tabs>
        <w:spacing w:line="276" w:lineRule="auto"/>
        <w:ind w:left="340" w:hanging="340"/>
        <w:jc w:val="both"/>
        <w:rPr>
          <w:color w:val="000000"/>
        </w:rPr>
      </w:pPr>
      <w:r>
        <w:rPr>
          <w:color w:val="000000"/>
        </w:rPr>
        <w:t>Niezależnie od wymienionych kar umownych Stronom umowy przysługuje prawo dochodzenia odszkodowania uzupełniającego na zasadach ogólnych, do wysokości rzeczywiście poniesionej szkody.</w:t>
      </w:r>
    </w:p>
    <w:p>
      <w:pPr>
        <w:tabs>
          <w:tab w:val="left" w:pos="335"/>
        </w:tabs>
        <w:spacing w:line="276" w:lineRule="auto"/>
        <w:ind w:left="340"/>
        <w:jc w:val="both"/>
        <w:rPr>
          <w:color w:val="000000"/>
        </w:rPr>
      </w:pPr>
    </w:p>
    <w:p>
      <w:pPr>
        <w:tabs>
          <w:tab w:val="left" w:pos="335"/>
        </w:tabs>
        <w:spacing w:line="276" w:lineRule="auto"/>
        <w:ind w:left="340"/>
        <w:jc w:val="both"/>
        <w:rPr>
          <w:color w:val="000000"/>
        </w:rPr>
      </w:pPr>
    </w:p>
    <w:p>
      <w:pPr>
        <w:tabs>
          <w:tab w:val="left" w:pos="335"/>
        </w:tabs>
        <w:spacing w:line="276" w:lineRule="auto"/>
        <w:jc w:val="center"/>
        <w:rPr>
          <w:rFonts w:hint="default"/>
          <w:b/>
          <w:color w:val="000000"/>
          <w:lang w:val="pl-PL"/>
        </w:rPr>
      </w:pPr>
      <w:r>
        <w:rPr>
          <w:b/>
          <w:color w:val="000000"/>
        </w:rPr>
        <w:t xml:space="preserve"> § 1</w:t>
      </w:r>
      <w:r>
        <w:rPr>
          <w:rFonts w:hint="default"/>
          <w:b/>
          <w:color w:val="000000"/>
          <w:lang w:val="pl-PL"/>
        </w:rPr>
        <w:t>4</w:t>
      </w:r>
    </w:p>
    <w:p>
      <w:pPr>
        <w:spacing w:line="276" w:lineRule="auto"/>
        <w:jc w:val="center"/>
        <w:rPr>
          <w:b/>
          <w:color w:val="000000"/>
        </w:rPr>
      </w:pPr>
      <w:r>
        <w:rPr>
          <w:b/>
          <w:color w:val="000000"/>
        </w:rPr>
        <w:t>Odstąpienie od umowy</w:t>
      </w:r>
    </w:p>
    <w:p>
      <w:pPr>
        <w:spacing w:line="276" w:lineRule="auto"/>
        <w:jc w:val="center"/>
        <w:rPr>
          <w:b/>
          <w:color w:val="000000"/>
        </w:rPr>
      </w:pPr>
    </w:p>
    <w:p>
      <w:pPr>
        <w:numPr>
          <w:ilvl w:val="0"/>
          <w:numId w:val="38"/>
        </w:numPr>
        <w:tabs>
          <w:tab w:val="left" w:pos="335"/>
          <w:tab w:val="clear" w:pos="720"/>
        </w:tabs>
        <w:spacing w:line="276" w:lineRule="auto"/>
        <w:ind w:left="340" w:hanging="340"/>
        <w:jc w:val="both"/>
      </w:pPr>
      <w:r>
        <w:rPr>
          <w:color w:val="000000"/>
        </w:rPr>
        <w:t>Oprócz przypadków wymienionych w przepisach Kodeksu Cywilnego, Zamawiającemu przysługuje prawo odstąpienia od umowy w następujących sytuacjach:</w:t>
      </w:r>
    </w:p>
    <w:p>
      <w:pPr>
        <w:numPr>
          <w:ilvl w:val="0"/>
          <w:numId w:val="39"/>
        </w:numPr>
        <w:tabs>
          <w:tab w:val="left" w:pos="682"/>
          <w:tab w:val="clear" w:pos="720"/>
        </w:tabs>
        <w:spacing w:line="276" w:lineRule="auto"/>
        <w:ind w:left="680" w:hanging="340"/>
        <w:jc w:val="both"/>
      </w:pPr>
      <w:r>
        <w:rPr>
          <w:color w:val="000000"/>
          <w:lang w:eastAsia="ar-SA"/>
        </w:rPr>
        <w:t>na zasadach określonych w art. 456 ustawy Prawo zamówień publicznych</w:t>
      </w:r>
      <w:r>
        <w:rPr>
          <w:color w:val="000000"/>
        </w:rPr>
        <w:t>;</w:t>
      </w:r>
    </w:p>
    <w:p>
      <w:pPr>
        <w:numPr>
          <w:ilvl w:val="0"/>
          <w:numId w:val="39"/>
        </w:numPr>
        <w:tabs>
          <w:tab w:val="left" w:pos="682"/>
          <w:tab w:val="clear" w:pos="720"/>
        </w:tabs>
        <w:spacing w:line="276" w:lineRule="auto"/>
        <w:ind w:left="680" w:hanging="340"/>
        <w:jc w:val="both"/>
      </w:pPr>
      <w:r>
        <w:rPr>
          <w:color w:val="000000"/>
        </w:rPr>
        <w:t>w przypadku, gdy Wykonawca nie rozpoczął r</w:t>
      </w:r>
      <w:r>
        <w:rPr>
          <w:color w:val="000000"/>
          <w:highlight w:val="none"/>
        </w:rPr>
        <w:t xml:space="preserve">obót </w:t>
      </w:r>
      <w:r>
        <w:rPr>
          <w:b/>
          <w:bCs/>
          <w:color w:val="000000"/>
          <w:highlight w:val="none"/>
        </w:rPr>
        <w:t>w terminie 21 dni roboczych</w:t>
      </w:r>
      <w:r>
        <w:rPr>
          <w:color w:val="000000"/>
          <w:highlight w:val="none"/>
        </w:rPr>
        <w:t xml:space="preserve"> od</w:t>
      </w:r>
      <w:r>
        <w:rPr>
          <w:color w:val="000000"/>
        </w:rPr>
        <w:t xml:space="preserve"> dnia protokolarnego przekazania terenu budowy bez uzasadnionych przyczyn;</w:t>
      </w:r>
    </w:p>
    <w:p>
      <w:pPr>
        <w:numPr>
          <w:ilvl w:val="0"/>
          <w:numId w:val="39"/>
        </w:numPr>
        <w:tabs>
          <w:tab w:val="left" w:pos="682"/>
          <w:tab w:val="clear" w:pos="720"/>
        </w:tabs>
        <w:spacing w:line="276" w:lineRule="auto"/>
        <w:ind w:left="680" w:hanging="340"/>
        <w:jc w:val="both"/>
      </w:pPr>
      <w:r>
        <w:rPr>
          <w:color w:val="000000"/>
        </w:rPr>
        <w:t>gdy zwłoka Wykonawcy w zakresie zakończenia realizacji przedmiotu umowy przekracza 30 dni;</w:t>
      </w:r>
    </w:p>
    <w:p>
      <w:pPr>
        <w:numPr>
          <w:ilvl w:val="0"/>
          <w:numId w:val="39"/>
        </w:numPr>
        <w:tabs>
          <w:tab w:val="left" w:pos="682"/>
          <w:tab w:val="clear" w:pos="720"/>
        </w:tabs>
        <w:spacing w:line="276" w:lineRule="auto"/>
        <w:ind w:left="680" w:hanging="340"/>
        <w:jc w:val="both"/>
        <w:rPr>
          <w:color w:val="000000"/>
        </w:rPr>
      </w:pPr>
      <w:r>
        <w:rPr>
          <w:color w:val="000000"/>
        </w:rPr>
        <w:t>Wykonawca przerwał ze swojej winy realizację przedmiotu umowy, a nieusprawiedliwiona przerwa trwa dłużej niż 30 dni;</w:t>
      </w:r>
    </w:p>
    <w:p>
      <w:pPr>
        <w:numPr>
          <w:ilvl w:val="0"/>
          <w:numId w:val="39"/>
        </w:numPr>
        <w:tabs>
          <w:tab w:val="left" w:pos="682"/>
          <w:tab w:val="clear" w:pos="720"/>
        </w:tabs>
        <w:spacing w:line="276" w:lineRule="auto"/>
        <w:ind w:left="680" w:hanging="340"/>
        <w:jc w:val="both"/>
        <w:rPr>
          <w:color w:val="000000"/>
        </w:rPr>
      </w:pPr>
      <w:r>
        <w:rPr>
          <w:color w:val="000000"/>
        </w:rPr>
        <w:t>Wykonawca realizuje roboty przewidziane niniejszą umową w sposób niezgodny z dokumentacją projektową, specyfikacją techniczną lub wskazaniami Zamawiającego;</w:t>
      </w:r>
    </w:p>
    <w:p>
      <w:pPr>
        <w:numPr>
          <w:ilvl w:val="0"/>
          <w:numId w:val="39"/>
        </w:numPr>
        <w:tabs>
          <w:tab w:val="left" w:pos="682"/>
          <w:tab w:val="clear" w:pos="720"/>
        </w:tabs>
        <w:spacing w:line="276" w:lineRule="auto"/>
        <w:ind w:left="680" w:hanging="340"/>
        <w:jc w:val="both"/>
        <w:rPr>
          <w:color w:val="000000"/>
        </w:rPr>
      </w:pPr>
      <w:r>
        <w:rPr>
          <w:color w:val="000000"/>
        </w:rPr>
        <w:t>w przypadku likwidacji przedsiębiorstwa Wykonawcy bądź zajęcia majątku Wykonawcy;</w:t>
      </w:r>
    </w:p>
    <w:p>
      <w:pPr>
        <w:numPr>
          <w:ilvl w:val="0"/>
          <w:numId w:val="39"/>
        </w:numPr>
        <w:tabs>
          <w:tab w:val="left" w:pos="682"/>
          <w:tab w:val="clear" w:pos="720"/>
        </w:tabs>
        <w:spacing w:line="276" w:lineRule="auto"/>
        <w:ind w:left="680" w:hanging="340"/>
        <w:jc w:val="both"/>
        <w:rPr>
          <w:color w:val="000000"/>
        </w:rPr>
      </w:pPr>
      <w:r>
        <w:rPr>
          <w:color w:val="000000"/>
        </w:rPr>
        <w:t>w przypadku konieczności wielokrotnego dokonywania bezpośredniej zapłaty podwykonawcy lub dalszemu podwykonawcy lub konieczności dokonania bezpośrednich zapłat na sumę większą niż 5% wartości umowy.</w:t>
      </w:r>
    </w:p>
    <w:p>
      <w:pPr>
        <w:numPr>
          <w:ilvl w:val="0"/>
          <w:numId w:val="40"/>
        </w:numPr>
        <w:tabs>
          <w:tab w:val="left" w:pos="335"/>
          <w:tab w:val="clear" w:pos="720"/>
        </w:tabs>
        <w:spacing w:line="276" w:lineRule="auto"/>
        <w:ind w:left="340" w:hanging="340"/>
        <w:jc w:val="both"/>
      </w:pPr>
      <w:r>
        <w:rPr>
          <w:color w:val="000000"/>
        </w:rPr>
        <w:t>Odstąpienie od umowy może nastąpić w terminie 30 dni od daty powzięcia przez Zamawiającego wiadomości o okolicznościach, o których mowa w ust. 1.</w:t>
      </w:r>
    </w:p>
    <w:p>
      <w:pPr>
        <w:numPr>
          <w:ilvl w:val="0"/>
          <w:numId w:val="40"/>
        </w:numPr>
        <w:tabs>
          <w:tab w:val="left" w:pos="335"/>
          <w:tab w:val="clear" w:pos="720"/>
        </w:tabs>
        <w:spacing w:line="276" w:lineRule="auto"/>
        <w:ind w:left="340" w:hanging="340"/>
        <w:jc w:val="both"/>
        <w:rPr>
          <w:color w:val="000000"/>
        </w:rPr>
      </w:pPr>
      <w:r>
        <w:rPr>
          <w:color w:val="000000"/>
        </w:rPr>
        <w:t>Wykonawcy przysługuje prawo do odstąpienia od umowy w następujących przypadkach:</w:t>
      </w:r>
    </w:p>
    <w:p>
      <w:pPr>
        <w:numPr>
          <w:ilvl w:val="0"/>
          <w:numId w:val="41"/>
        </w:numPr>
        <w:tabs>
          <w:tab w:val="left" w:pos="682"/>
          <w:tab w:val="clear" w:pos="720"/>
        </w:tabs>
        <w:spacing w:line="276" w:lineRule="auto"/>
        <w:ind w:left="680" w:hanging="340"/>
        <w:jc w:val="both"/>
        <w:rPr>
          <w:color w:val="000000"/>
        </w:rPr>
      </w:pPr>
      <w:r>
        <w:rPr>
          <w:color w:val="000000"/>
        </w:rPr>
        <w:t>gdy Zamawiający odmówi bez uzasadnionej przyczyny odbioru wykonanych robót lub podpisania protokołu odbioru, w terminie 30 dni od dnia upływu terminu na dokonanie przez Zamawiającego odbioru robót lub od dnia odmowy przez Zamawiającego podpisania protokołu odbioru;</w:t>
      </w:r>
    </w:p>
    <w:p>
      <w:pPr>
        <w:numPr>
          <w:ilvl w:val="0"/>
          <w:numId w:val="41"/>
        </w:numPr>
        <w:tabs>
          <w:tab w:val="left" w:pos="682"/>
          <w:tab w:val="clear" w:pos="720"/>
        </w:tabs>
        <w:spacing w:line="276" w:lineRule="auto"/>
        <w:ind w:left="680" w:hanging="340"/>
        <w:jc w:val="both"/>
        <w:rPr>
          <w:color w:val="000000"/>
        </w:rPr>
      </w:pPr>
      <w:r>
        <w:rPr>
          <w:color w:val="000000"/>
        </w:rPr>
        <w:t>gdy Zamawiający zawiadomi Wykonawcę, że nie będzie w stanie wywiązać się z obowiązków wynikających z umowy w zakresie płatności, w terminie 30 dni od daty powzięcia wiadomości o niniejszych okolicznościach.</w:t>
      </w:r>
    </w:p>
    <w:p>
      <w:pPr>
        <w:numPr>
          <w:ilvl w:val="0"/>
          <w:numId w:val="42"/>
        </w:numPr>
        <w:tabs>
          <w:tab w:val="left" w:pos="335"/>
          <w:tab w:val="clear" w:pos="720"/>
        </w:tabs>
        <w:spacing w:line="276" w:lineRule="auto"/>
        <w:ind w:left="340" w:hanging="340"/>
        <w:jc w:val="both"/>
        <w:rPr>
          <w:color w:val="000000"/>
        </w:rPr>
      </w:pPr>
      <w:r>
        <w:rPr>
          <w:color w:val="000000"/>
        </w:rPr>
        <w:t>Odstąpienie od umowy powinno nastąpić w formie pisemnej pod rygorem nieważności takiego oświadczenia i powinno zawierać uzasadnienie.</w:t>
      </w:r>
    </w:p>
    <w:p>
      <w:pPr>
        <w:numPr>
          <w:ilvl w:val="0"/>
          <w:numId w:val="42"/>
        </w:numPr>
        <w:tabs>
          <w:tab w:val="left" w:pos="335"/>
          <w:tab w:val="clear" w:pos="720"/>
        </w:tabs>
        <w:spacing w:line="276" w:lineRule="auto"/>
        <w:ind w:left="340" w:hanging="340"/>
        <w:jc w:val="both"/>
        <w:rPr>
          <w:color w:val="000000"/>
        </w:rPr>
      </w:pPr>
      <w:r>
        <w:rPr>
          <w:color w:val="000000"/>
        </w:rPr>
        <w:t>W przypadku odstąpienia od umowy przez jedną ze Stron, w terminie do 14 dni od dnia doręczenia zawiadomienia o odstąpieniu od umowy, Wykonawca sporządzi przy udziale Zamawiającego protokół inwentaryzacji robót będących w toku, według stanu na dzień odstąpienia od umowy oraz:</w:t>
      </w:r>
    </w:p>
    <w:p>
      <w:pPr>
        <w:numPr>
          <w:ilvl w:val="0"/>
          <w:numId w:val="43"/>
        </w:numPr>
        <w:tabs>
          <w:tab w:val="left" w:pos="682"/>
          <w:tab w:val="clear" w:pos="720"/>
        </w:tabs>
        <w:spacing w:line="276" w:lineRule="auto"/>
        <w:ind w:left="680" w:hanging="340"/>
        <w:jc w:val="both"/>
        <w:rPr>
          <w:color w:val="000000"/>
        </w:rPr>
      </w:pPr>
      <w:r>
        <w:rPr>
          <w:color w:val="000000"/>
        </w:rPr>
        <w:t>zabezpieczy przerwane roboty w zakresie wzajemnie uzgodnionym na koszt Strony, z winy której nastąpiło odstąpienie od umowy;</w:t>
      </w:r>
    </w:p>
    <w:p>
      <w:pPr>
        <w:numPr>
          <w:ilvl w:val="0"/>
          <w:numId w:val="43"/>
        </w:numPr>
        <w:tabs>
          <w:tab w:val="left" w:pos="682"/>
          <w:tab w:val="clear" w:pos="720"/>
        </w:tabs>
        <w:spacing w:line="276" w:lineRule="auto"/>
        <w:ind w:left="680" w:hanging="340"/>
        <w:jc w:val="both"/>
        <w:rPr>
          <w:color w:val="000000"/>
        </w:rPr>
      </w:pPr>
      <w:r>
        <w:rPr>
          <w:color w:val="000000"/>
        </w:rPr>
        <w:t>sporządzi wykaz materiałów, urządzeń i konstrukcji, które nie mogą być wykorzystane przez Wykonawcę, jeżeli odstąpienie od umowy nastąpiło z winy Zamawiającego;</w:t>
      </w:r>
    </w:p>
    <w:p>
      <w:pPr>
        <w:numPr>
          <w:ilvl w:val="0"/>
          <w:numId w:val="43"/>
        </w:numPr>
        <w:tabs>
          <w:tab w:val="left" w:pos="682"/>
          <w:tab w:val="clear" w:pos="720"/>
        </w:tabs>
        <w:spacing w:line="276" w:lineRule="auto"/>
        <w:ind w:left="680" w:hanging="340"/>
        <w:jc w:val="both"/>
        <w:rPr>
          <w:color w:val="000000"/>
        </w:rPr>
      </w:pPr>
      <w:r>
        <w:rPr>
          <w:color w:val="000000"/>
        </w:rPr>
        <w:t>Zamawiający dokona odbioru wykonanych robót w toku i robót zabezpieczających oraz zapłaty wynagrodzenia za te roboty, materiały, konstrukcje i urządzenia, które mogą być wykorzystane przez Zamawiającego.</w:t>
      </w:r>
    </w:p>
    <w:p>
      <w:pPr>
        <w:numPr>
          <w:ilvl w:val="0"/>
          <w:numId w:val="44"/>
        </w:numPr>
        <w:tabs>
          <w:tab w:val="left" w:pos="335"/>
          <w:tab w:val="clear" w:pos="720"/>
        </w:tabs>
        <w:spacing w:line="276" w:lineRule="auto"/>
        <w:ind w:left="340" w:hanging="340"/>
        <w:jc w:val="both"/>
        <w:rPr>
          <w:color w:val="000000"/>
        </w:rPr>
      </w:pPr>
      <w:r>
        <w:rPr>
          <w:color w:val="000000"/>
        </w:rPr>
        <w:t>W razie odstąpienia od umowy z przyczyn, za które Wykonawca nie odpowiada, Zamawiający zobowiązany będzie do przejęcia od Wykonawcy terenu budowy oraz zwrócenia Wykonawcy kosztów jego robót w części proporcjonalnej do utraconego wynagrodzenia (w części nierozliczonej).</w:t>
      </w:r>
    </w:p>
    <w:p>
      <w:pPr>
        <w:numPr>
          <w:ilvl w:val="0"/>
          <w:numId w:val="44"/>
        </w:numPr>
        <w:tabs>
          <w:tab w:val="left" w:pos="335"/>
          <w:tab w:val="clear" w:pos="720"/>
        </w:tabs>
        <w:spacing w:line="276" w:lineRule="auto"/>
        <w:ind w:left="340" w:hanging="340"/>
        <w:jc w:val="both"/>
        <w:rPr>
          <w:b/>
          <w:color w:val="000000"/>
        </w:rPr>
      </w:pPr>
      <w:r>
        <w:rPr>
          <w:color w:val="000000"/>
        </w:rPr>
        <w:t>Jeżeli Wykonawca wykonuje roboty w sposób wadliwy albo sprzeczny z umową, Zamawiający może wezwać go do zmiany sposobu wykonania i wyznaczyć mu w tym celu odpowiedni termin. Po bezskutecznym upływie wyznaczonego terminu – zgodnie z przepisami Kodeksu cywilnego – Zamawiający może od umowy odstąpić albo powierzyć poprawienie lub dalsze wykonanie robót innemu podmiotowi na koszt i niebezpieczeństwo Wykonawcy.</w:t>
      </w:r>
    </w:p>
    <w:p>
      <w:pPr>
        <w:tabs>
          <w:tab w:val="left" w:pos="335"/>
          <w:tab w:val="left" w:pos="720"/>
        </w:tabs>
        <w:spacing w:line="276" w:lineRule="auto"/>
        <w:ind w:left="340"/>
        <w:jc w:val="both"/>
        <w:rPr>
          <w:b/>
          <w:color w:val="000000"/>
        </w:rPr>
      </w:pPr>
    </w:p>
    <w:p>
      <w:pPr>
        <w:tabs>
          <w:tab w:val="left" w:pos="335"/>
        </w:tabs>
        <w:spacing w:line="276" w:lineRule="auto"/>
        <w:jc w:val="both"/>
        <w:rPr>
          <w:b/>
          <w:color w:val="000000"/>
        </w:rPr>
      </w:pPr>
    </w:p>
    <w:p>
      <w:pPr>
        <w:spacing w:line="276" w:lineRule="auto"/>
        <w:jc w:val="center"/>
        <w:rPr>
          <w:rFonts w:hint="default"/>
          <w:b/>
          <w:color w:val="000000"/>
          <w:lang w:val="pl-PL"/>
        </w:rPr>
      </w:pPr>
      <w:r>
        <w:rPr>
          <w:b/>
          <w:color w:val="000000"/>
        </w:rPr>
        <w:t>§ 1</w:t>
      </w:r>
      <w:r>
        <w:rPr>
          <w:rFonts w:hint="default"/>
          <w:b/>
          <w:color w:val="000000"/>
          <w:lang w:val="pl-PL"/>
        </w:rPr>
        <w:t>5</w:t>
      </w:r>
    </w:p>
    <w:p>
      <w:pPr>
        <w:spacing w:line="276" w:lineRule="auto"/>
        <w:jc w:val="center"/>
        <w:rPr>
          <w:b/>
          <w:color w:val="000000"/>
        </w:rPr>
      </w:pPr>
      <w:r>
        <w:rPr>
          <w:b/>
          <w:color w:val="000000"/>
        </w:rPr>
        <w:t>Zmiany umowy</w:t>
      </w:r>
    </w:p>
    <w:p>
      <w:pPr>
        <w:spacing w:line="276" w:lineRule="auto"/>
        <w:jc w:val="center"/>
        <w:rPr>
          <w:b/>
          <w:color w:val="000000"/>
        </w:rPr>
      </w:pPr>
    </w:p>
    <w:p>
      <w:pPr>
        <w:numPr>
          <w:ilvl w:val="0"/>
          <w:numId w:val="45"/>
        </w:numPr>
        <w:tabs>
          <w:tab w:val="left" w:pos="335"/>
          <w:tab w:val="clear" w:pos="720"/>
        </w:tabs>
        <w:spacing w:line="276" w:lineRule="auto"/>
        <w:ind w:left="340" w:hanging="340"/>
        <w:jc w:val="both"/>
      </w:pPr>
      <w:r>
        <w:rPr>
          <w:color w:val="000000"/>
        </w:rPr>
        <w:t>Do zawartej umowy będą miały zastosowanie przepisy</w:t>
      </w:r>
      <w:r>
        <w:rPr>
          <w:color w:val="000000"/>
          <w:lang w:eastAsia="ar-SA"/>
        </w:rPr>
        <w:t xml:space="preserve"> art. </w:t>
      </w:r>
      <w:r>
        <w:rPr>
          <w:color w:val="000000"/>
          <w:kern w:val="2"/>
          <w:lang w:eastAsia="zh-CN" w:bidi="hi-IN"/>
        </w:rPr>
        <w:t>454 i art. 455</w:t>
      </w:r>
      <w:r>
        <w:rPr>
          <w:color w:val="000000"/>
        </w:rPr>
        <w:t xml:space="preserve"> ustawy Prawo zamówień publicznych.</w:t>
      </w:r>
    </w:p>
    <w:p>
      <w:pPr>
        <w:numPr>
          <w:ilvl w:val="0"/>
          <w:numId w:val="45"/>
        </w:numPr>
        <w:tabs>
          <w:tab w:val="left" w:pos="335"/>
          <w:tab w:val="clear" w:pos="720"/>
        </w:tabs>
        <w:spacing w:line="276" w:lineRule="auto"/>
        <w:ind w:left="340" w:hanging="340"/>
        <w:jc w:val="both"/>
        <w:rPr>
          <w:color w:val="000000"/>
        </w:rPr>
      </w:pPr>
      <w:r>
        <w:rPr>
          <w:color w:val="000000"/>
        </w:rPr>
        <w:t>Zamawiający przewiduje możliwość dokonania istotnych zmian umowy w zakresie, o charakterze oraz warunkach ich wprowadzenia opisanych poniżej:</w:t>
      </w:r>
    </w:p>
    <w:p>
      <w:pPr>
        <w:widowControl w:val="0"/>
        <w:numPr>
          <w:ilvl w:val="0"/>
          <w:numId w:val="46"/>
        </w:numPr>
        <w:tabs>
          <w:tab w:val="left" w:pos="682"/>
          <w:tab w:val="clear" w:pos="720"/>
        </w:tabs>
        <w:spacing w:line="276" w:lineRule="auto"/>
        <w:ind w:left="680" w:hanging="340"/>
        <w:jc w:val="both"/>
        <w:rPr>
          <w:color w:val="000000"/>
        </w:rPr>
      </w:pPr>
      <w:r>
        <w:rPr>
          <w:color w:val="000000"/>
        </w:rPr>
        <w:t>w stosunku do terminu realizacji umowy:</w:t>
      </w:r>
    </w:p>
    <w:p>
      <w:pPr>
        <w:numPr>
          <w:ilvl w:val="0"/>
          <w:numId w:val="47"/>
        </w:numPr>
        <w:spacing w:line="276" w:lineRule="auto"/>
        <w:ind w:left="1020" w:hanging="340"/>
        <w:jc w:val="both"/>
      </w:pPr>
      <w:r>
        <w:rPr>
          <w:color w:val="000000"/>
          <w:kern w:val="2"/>
          <w:lang w:bidi="ar-SA"/>
        </w:rPr>
        <w:t xml:space="preserve">z powodu działania siły wyższej uniemożliwiającej zachowanie terminu wykonania prac, </w:t>
      </w:r>
      <w:r>
        <w:rPr>
          <w:color w:val="000000"/>
        </w:rPr>
        <w:t xml:space="preserve">przy czym termin „siła wyższa” oznacza wydarzenia nieprzewidywalne i poza kontrolą Stron umowy, powodujące niemożliwość wywiązania się z umowy w jej obecnym brzmieniu; </w:t>
      </w:r>
    </w:p>
    <w:p>
      <w:pPr>
        <w:numPr>
          <w:ilvl w:val="0"/>
          <w:numId w:val="47"/>
        </w:numPr>
        <w:spacing w:line="276" w:lineRule="auto"/>
        <w:ind w:left="1020" w:hanging="340"/>
        <w:jc w:val="both"/>
        <w:rPr>
          <w:color w:val="000000"/>
          <w:kern w:val="2"/>
          <w:lang w:bidi="ar-SA"/>
        </w:rPr>
      </w:pPr>
      <w:r>
        <w:rPr>
          <w:color w:val="000000"/>
          <w:kern w:val="2"/>
          <w:lang w:bidi="ar-SA"/>
        </w:rPr>
        <w:t xml:space="preserve">wystąpienia przyczyn zewnętrznych niezależnych od Zamawiającego oraz Wykonawcy, których nie można było przewidzieć w chwili zawarcia umowy, skutkujące niemożliwością prowadzenia robót; </w:t>
      </w:r>
    </w:p>
    <w:p>
      <w:pPr>
        <w:numPr>
          <w:ilvl w:val="0"/>
          <w:numId w:val="47"/>
        </w:numPr>
        <w:spacing w:line="276" w:lineRule="auto"/>
        <w:ind w:left="1020" w:hanging="340"/>
        <w:jc w:val="both"/>
        <w:rPr>
          <w:color w:val="000000"/>
          <w:kern w:val="2"/>
          <w:lang w:bidi="ar-SA"/>
        </w:rPr>
      </w:pPr>
      <w:r>
        <w:rPr>
          <w:color w:val="000000"/>
          <w:kern w:val="2"/>
          <w:lang w:bidi="ar-SA"/>
        </w:rPr>
        <w:t xml:space="preserve">nastąpi zmiana powszechnie obowiązujących przepisów prawa w zakresie mającym wpływ na   termin realizacji przedmiotu umowy; </w:t>
      </w:r>
    </w:p>
    <w:p>
      <w:pPr>
        <w:numPr>
          <w:ilvl w:val="0"/>
          <w:numId w:val="47"/>
        </w:numPr>
        <w:spacing w:line="276" w:lineRule="auto"/>
        <w:ind w:left="1020" w:hanging="340"/>
        <w:jc w:val="both"/>
      </w:pPr>
      <w:r>
        <w:rPr>
          <w:color w:val="000000"/>
          <w:kern w:val="2"/>
          <w:lang w:bidi="ar-SA"/>
        </w:rPr>
        <w:t xml:space="preserve">w sytuacji </w:t>
      </w:r>
      <w:r>
        <w:rPr>
          <w:color w:val="000000"/>
        </w:rPr>
        <w:t xml:space="preserve">wystąpienia robót nieobjętych niniejszą umową (robót dodatkowych, zamiennych,  podobnych lub innych), w szczególności nie ujętych w dokumentacji projektowej,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t>
      </w:r>
      <w:r>
        <w:rPr>
          <w:color w:val="000000"/>
          <w:kern w:val="2"/>
          <w:lang w:bidi="ar-SA"/>
        </w:rPr>
        <w:t>które jednocześnie wstrzymują lub opóźniają realizację przedmiotu umowy;</w:t>
      </w:r>
    </w:p>
    <w:p>
      <w:pPr>
        <w:numPr>
          <w:ilvl w:val="0"/>
          <w:numId w:val="47"/>
        </w:numPr>
        <w:spacing w:line="276" w:lineRule="auto"/>
        <w:ind w:left="1020" w:hanging="340"/>
        <w:jc w:val="both"/>
        <w:rPr>
          <w:color w:val="000000"/>
          <w:kern w:val="2"/>
          <w:lang w:bidi="ar-SA"/>
        </w:rPr>
      </w:pPr>
      <w:r>
        <w:rPr>
          <w:color w:val="000000"/>
          <w:kern w:val="2"/>
          <w:lang w:bidi="ar-SA"/>
        </w:rPr>
        <w:t>konieczność wprowadzenia zmian w dokumentacji projektowej, w tym również aktualizacji rozwiązań projektowych, w szczególności z uwagi na postęp technologiczny;</w:t>
      </w:r>
    </w:p>
    <w:p>
      <w:pPr>
        <w:numPr>
          <w:ilvl w:val="0"/>
          <w:numId w:val="47"/>
        </w:numPr>
        <w:spacing w:line="276" w:lineRule="auto"/>
        <w:ind w:left="1020" w:hanging="340"/>
        <w:jc w:val="both"/>
        <w:rPr>
          <w:color w:val="000000"/>
          <w:kern w:val="2"/>
          <w:lang w:bidi="ar-SA"/>
        </w:rPr>
      </w:pPr>
      <w:r>
        <w:rPr>
          <w:color w:val="000000"/>
          <w:kern w:val="2"/>
          <w:lang w:bidi="ar-SA"/>
        </w:rPr>
        <w:t>konieczność poprawy warunków wykonywania robót zagrażających bezpieczeństwu życia, zdrowia i mienia;</w:t>
      </w:r>
    </w:p>
    <w:p>
      <w:pPr>
        <w:numPr>
          <w:ilvl w:val="0"/>
          <w:numId w:val="47"/>
        </w:numPr>
        <w:spacing w:line="276" w:lineRule="auto"/>
        <w:ind w:left="1020" w:hanging="340"/>
        <w:jc w:val="both"/>
        <w:rPr>
          <w:color w:val="000000"/>
          <w:kern w:val="2"/>
          <w:lang w:bidi="ar-SA"/>
        </w:rPr>
      </w:pPr>
      <w:r>
        <w:rPr>
          <w:color w:val="000000"/>
          <w:kern w:val="2"/>
          <w:lang w:bidi="ar-SA"/>
        </w:rPr>
        <w:t>zmiany obowiązujących przepisów prawa, uniemożliwiających wykonanie przedmiotu umowy w założonym terminie, w sytuacji gdy zmiany te były niemożliwe do przewidzenia w chwili  zawarcia umowy;</w:t>
      </w:r>
    </w:p>
    <w:p>
      <w:pPr>
        <w:numPr>
          <w:ilvl w:val="0"/>
          <w:numId w:val="47"/>
        </w:numPr>
        <w:spacing w:line="276" w:lineRule="auto"/>
        <w:ind w:left="1020" w:hanging="340"/>
        <w:jc w:val="both"/>
        <w:rPr>
          <w:color w:val="000000"/>
          <w:kern w:val="2"/>
          <w:lang w:bidi="ar-SA"/>
        </w:rPr>
      </w:pPr>
      <w:r>
        <w:rPr>
          <w:color w:val="000000"/>
          <w:kern w:val="2"/>
          <w:lang w:bidi="ar-SA"/>
        </w:rPr>
        <w:t>brakiem możliwości prowadzenia robót na skutek nieprzewidzianych warunków geologicznych, geotechnicznych lub hydrologicznych odbiegających w sposób istotny od przyjętych</w:t>
      </w:r>
      <w:r>
        <w:rPr>
          <w:color w:val="000000"/>
          <w:kern w:val="2"/>
          <w:lang w:bidi="ar-SA"/>
        </w:rPr>
        <w:br w:type="textWrapping"/>
      </w:r>
      <w:r>
        <w:rPr>
          <w:color w:val="000000"/>
          <w:kern w:val="2"/>
          <w:lang w:bidi="ar-SA"/>
        </w:rPr>
        <w:t>w dokumentacji projektowej, rozpoznania terenu w zakresie znalezisk archeologicznych, wykopalisk lub koniecznych badań archeologicznych występowania niewybuchów lub niewypałów, wyjątkowo niekorzystnych warunków pogodowych a także innych przeszkód lub skażeń, które mogą skutkować w świetle dotychczasowych założeń niewykonaniem lub nienależytym wykonaniem przedmiotu umowy;</w:t>
      </w:r>
    </w:p>
    <w:p>
      <w:pPr>
        <w:numPr>
          <w:ilvl w:val="0"/>
          <w:numId w:val="47"/>
        </w:numPr>
        <w:spacing w:line="276" w:lineRule="auto"/>
        <w:ind w:left="1020" w:hanging="340"/>
        <w:jc w:val="both"/>
        <w:rPr>
          <w:color w:val="000000"/>
          <w:kern w:val="2"/>
          <w:lang w:bidi="ar-SA"/>
        </w:rPr>
      </w:pPr>
      <w:r>
        <w:rPr>
          <w:color w:val="000000"/>
          <w:kern w:val="2"/>
          <w:lang w:bidi="ar-SA"/>
        </w:rPr>
        <w:t>w przypadku wystąpienia niebezpieczeństwa kolizji z planowanymi lub równolegle prowadzonymi przez inne podmioty inwestycjami w zakresie niezbędnym do uniknięcia lub usunięcia tych kolizji;</w:t>
      </w:r>
    </w:p>
    <w:p>
      <w:pPr>
        <w:numPr>
          <w:ilvl w:val="0"/>
          <w:numId w:val="47"/>
        </w:numPr>
        <w:spacing w:line="276" w:lineRule="auto"/>
        <w:ind w:left="1020" w:hanging="340"/>
        <w:jc w:val="both"/>
        <w:rPr>
          <w:color w:val="000000"/>
          <w:kern w:val="2"/>
          <w:lang w:bidi="ar-SA"/>
        </w:rPr>
      </w:pPr>
      <w:r>
        <w:rPr>
          <w:color w:val="000000"/>
          <w:kern w:val="2"/>
          <w:lang w:bidi="ar-SA"/>
        </w:rPr>
        <w:t>z powodu działania podmiotów/osób trzecich uniemożliwiających wykonanie prac, które to działania nie są spowodowane z winy którejkolwiek ze Stron;</w:t>
      </w:r>
    </w:p>
    <w:p>
      <w:pPr>
        <w:numPr>
          <w:ilvl w:val="0"/>
          <w:numId w:val="47"/>
        </w:numPr>
        <w:spacing w:line="276" w:lineRule="auto"/>
        <w:ind w:left="1020" w:hanging="340"/>
        <w:jc w:val="both"/>
        <w:rPr>
          <w:color w:val="000000"/>
          <w:kern w:val="2"/>
          <w:lang w:bidi="ar-SA"/>
        </w:rPr>
      </w:pPr>
      <w:r>
        <w:rPr>
          <w:color w:val="000000"/>
          <w:kern w:val="2"/>
          <w:lang w:bidi="ar-SA"/>
        </w:rPr>
        <w:t>zmiany będące następstwem okoliczności leżących po stronie Zamawiającego, w szczególności:</w:t>
      </w:r>
    </w:p>
    <w:p>
      <w:pPr>
        <w:numPr>
          <w:ilvl w:val="0"/>
          <w:numId w:val="48"/>
        </w:numPr>
        <w:tabs>
          <w:tab w:val="left" w:pos="1418"/>
          <w:tab w:val="left" w:pos="2550"/>
          <w:tab w:val="clear" w:pos="425"/>
        </w:tabs>
        <w:spacing w:line="276" w:lineRule="auto"/>
        <w:ind w:left="1497" w:hanging="397"/>
        <w:jc w:val="both"/>
        <w:rPr>
          <w:color w:val="000000"/>
          <w:kern w:val="2"/>
          <w:lang w:bidi="ar-SA"/>
        </w:rPr>
      </w:pPr>
      <w:r>
        <w:rPr>
          <w:color w:val="000000"/>
          <w:kern w:val="2"/>
          <w:lang w:bidi="ar-SA"/>
        </w:rPr>
        <w:t>nieterminowe przekazanie terenu budowy przez Zamawiającego;</w:t>
      </w:r>
    </w:p>
    <w:p>
      <w:pPr>
        <w:numPr>
          <w:ilvl w:val="0"/>
          <w:numId w:val="48"/>
        </w:numPr>
        <w:tabs>
          <w:tab w:val="left" w:pos="1418"/>
          <w:tab w:val="left" w:pos="2550"/>
          <w:tab w:val="clear" w:pos="425"/>
        </w:tabs>
        <w:spacing w:line="276" w:lineRule="auto"/>
        <w:ind w:left="1497" w:hanging="397"/>
        <w:jc w:val="both"/>
        <w:rPr>
          <w:color w:val="000000"/>
          <w:kern w:val="2"/>
          <w:lang w:bidi="ar-SA"/>
        </w:rPr>
      </w:pPr>
      <w:r>
        <w:rPr>
          <w:color w:val="000000"/>
          <w:kern w:val="2"/>
          <w:lang w:bidi="ar-SA"/>
        </w:rPr>
        <w:t>wstrzymanie robót przez Zamawiającego;</w:t>
      </w:r>
    </w:p>
    <w:p>
      <w:pPr>
        <w:numPr>
          <w:ilvl w:val="0"/>
          <w:numId w:val="48"/>
        </w:numPr>
        <w:tabs>
          <w:tab w:val="left" w:pos="1418"/>
          <w:tab w:val="left" w:pos="2550"/>
          <w:tab w:val="clear" w:pos="425"/>
        </w:tabs>
        <w:spacing w:line="276" w:lineRule="auto"/>
        <w:ind w:left="1497" w:hanging="397"/>
        <w:jc w:val="both"/>
        <w:rPr>
          <w:color w:val="000000"/>
          <w:kern w:val="2"/>
          <w:lang w:bidi="ar-SA"/>
        </w:rPr>
      </w:pPr>
      <w:r>
        <w:rPr>
          <w:color w:val="000000"/>
          <w:kern w:val="2"/>
          <w:lang w:bidi="ar-SA"/>
        </w:rPr>
        <w:t>konieczność usunięcia błędów lub wprowadzenia zmian w dokumentacji projektowej;</w:t>
      </w:r>
    </w:p>
    <w:p>
      <w:pPr>
        <w:numPr>
          <w:ilvl w:val="0"/>
          <w:numId w:val="49"/>
        </w:numPr>
        <w:spacing w:line="276" w:lineRule="auto"/>
        <w:ind w:left="1020" w:hanging="340"/>
        <w:jc w:val="both"/>
      </w:pPr>
      <w:r>
        <w:rPr>
          <w:color w:val="000000"/>
          <w:kern w:val="2"/>
          <w:lang w:bidi="ar-SA"/>
        </w:rPr>
        <w:t xml:space="preserve">w przypadku opóźnienia związanym z uzyskaniem niezbędnych decyzji administracyjnych, zezwoleń lub uzgodnień, itp., do wydania których właściwe organy są zobowiązane na mocy przepisów prawa, jeżeli opóźnienie przekroczy okres, przewidziany w przepisach prawa, w którym ww. decyzje powinny zostać wydane oraz nie są następstwem okoliczności, za które </w:t>
      </w:r>
      <w:r>
        <w:rPr>
          <w:bCs/>
          <w:color w:val="000000"/>
          <w:kern w:val="2"/>
          <w:lang w:bidi="ar-SA"/>
        </w:rPr>
        <w:t>Wykonawca</w:t>
      </w:r>
      <w:r>
        <w:rPr>
          <w:color w:val="000000"/>
          <w:kern w:val="2"/>
          <w:lang w:bidi="ar-SA"/>
        </w:rPr>
        <w:t xml:space="preserve"> ponosi odpowiedzialność;</w:t>
      </w:r>
    </w:p>
    <w:p>
      <w:pPr>
        <w:numPr>
          <w:ilvl w:val="0"/>
          <w:numId w:val="49"/>
        </w:numPr>
        <w:spacing w:line="276" w:lineRule="auto"/>
        <w:ind w:left="1020" w:hanging="340"/>
        <w:jc w:val="both"/>
      </w:pPr>
      <w:r>
        <w:rPr>
          <w:color w:val="000000"/>
          <w:kern w:val="2"/>
          <w:lang w:bidi="ar-SA"/>
        </w:rPr>
        <w:t xml:space="preserve">w przypadku opóźnienia związanym z uzyskaniem zmian wydanych wcześniej decyzji administracyjnych, zezwoleń lub uzgodnień, itp. do wydania których właściwe organy są zobowiązane na mocy przepisów prawa, jeżeli opóźnienie przekroczy okres, przewidziany w przepisach prawa, w którym ww. decyzje powinny zostać wydane oraz nie są następstwem okoliczności, za które </w:t>
      </w:r>
      <w:r>
        <w:rPr>
          <w:bCs/>
          <w:color w:val="000000"/>
          <w:kern w:val="2"/>
          <w:lang w:bidi="ar-SA"/>
        </w:rPr>
        <w:t>Wykonawca</w:t>
      </w:r>
      <w:r>
        <w:rPr>
          <w:color w:val="000000"/>
          <w:kern w:val="2"/>
          <w:lang w:bidi="ar-SA"/>
        </w:rPr>
        <w:t xml:space="preserve"> ponosi odpowiedzialność;</w:t>
      </w:r>
    </w:p>
    <w:p>
      <w:pPr>
        <w:numPr>
          <w:ilvl w:val="0"/>
          <w:numId w:val="49"/>
        </w:numPr>
        <w:spacing w:line="276" w:lineRule="auto"/>
        <w:ind w:left="1020" w:hanging="340"/>
        <w:jc w:val="both"/>
        <w:rPr>
          <w:color w:val="000000"/>
          <w:kern w:val="2"/>
          <w:lang w:bidi="ar-SA"/>
        </w:rPr>
      </w:pPr>
      <w:r>
        <w:rPr>
          <w:color w:val="000000"/>
          <w:kern w:val="2"/>
          <w:lang w:bidi="ar-SA"/>
        </w:rPr>
        <w:t>w przypadku odmowy wydania przez organy administracji publicznej lub inne podmioty właściwe, wymaganych decyzji administracyjnych, zezwoleń lub uzgodnień na skutek błędów w dokumentacji projektowej;</w:t>
      </w:r>
    </w:p>
    <w:p>
      <w:pPr>
        <w:numPr>
          <w:ilvl w:val="0"/>
          <w:numId w:val="49"/>
        </w:numPr>
        <w:spacing w:line="276" w:lineRule="auto"/>
        <w:ind w:left="1020" w:hanging="340"/>
        <w:jc w:val="both"/>
      </w:pPr>
      <w:r>
        <w:rPr>
          <w:color w:val="000000"/>
          <w:kern w:val="2"/>
          <w:lang w:bidi="ar-SA"/>
        </w:rPr>
        <w:t xml:space="preserve">wystąpią opóźnienia w dokonaniu określonych czynności lub ich zaniechanie przez właściwe organy administracji państwowej, które nie są następstwem okoliczności, za które </w:t>
      </w:r>
      <w:r>
        <w:rPr>
          <w:bCs/>
          <w:color w:val="000000"/>
          <w:kern w:val="2"/>
          <w:lang w:bidi="ar-SA"/>
        </w:rPr>
        <w:t>Wykonawca</w:t>
      </w:r>
      <w:r>
        <w:rPr>
          <w:color w:val="000000"/>
          <w:kern w:val="2"/>
          <w:lang w:bidi="ar-SA"/>
        </w:rPr>
        <w:t xml:space="preserve">   ponosi odpowiedzialność;</w:t>
      </w:r>
    </w:p>
    <w:p>
      <w:pPr>
        <w:numPr>
          <w:ilvl w:val="0"/>
          <w:numId w:val="49"/>
        </w:numPr>
        <w:spacing w:line="276" w:lineRule="auto"/>
        <w:ind w:left="1020" w:hanging="340"/>
        <w:jc w:val="both"/>
      </w:pPr>
      <w:r>
        <w:rPr>
          <w:color w:val="000000"/>
          <w:kern w:val="2"/>
          <w:lang w:bidi="ar-SA"/>
        </w:rPr>
        <w:t xml:space="preserve">jeżeli wystąpi brak możliwości wykonywania robót z powodu nie dopuszczania do ich wykonywania przez uprawniony organ lub nakazania ich wstrzymania przez uprawniony organ, z przyczyn niezależnych od </w:t>
      </w:r>
      <w:r>
        <w:rPr>
          <w:bCs/>
          <w:color w:val="000000"/>
          <w:kern w:val="2"/>
          <w:lang w:bidi="ar-SA"/>
        </w:rPr>
        <w:t>Wykonawcy;</w:t>
      </w:r>
    </w:p>
    <w:p>
      <w:pPr>
        <w:numPr>
          <w:ilvl w:val="0"/>
          <w:numId w:val="49"/>
        </w:numPr>
        <w:spacing w:line="276" w:lineRule="auto"/>
        <w:ind w:left="1020" w:hanging="340"/>
        <w:jc w:val="both"/>
        <w:rPr>
          <w:color w:val="000000"/>
          <w:kern w:val="2"/>
          <w:lang w:bidi="ar-SA"/>
        </w:rPr>
      </w:pPr>
      <w:r>
        <w:rPr>
          <w:color w:val="000000"/>
          <w:kern w:val="2"/>
          <w:lang w:bidi="ar-SA"/>
        </w:rPr>
        <w:t>w przypadku zmiany technologii wykonania robót na wniosek Wykonawcy lub Zamawiającego, pod warunkiem, że zmiana ta będzie korzystna dla Zamawiającego;</w:t>
      </w:r>
    </w:p>
    <w:p>
      <w:pPr>
        <w:numPr>
          <w:ilvl w:val="0"/>
          <w:numId w:val="49"/>
        </w:numPr>
        <w:spacing w:line="276" w:lineRule="auto"/>
        <w:ind w:left="1020" w:hanging="340"/>
        <w:jc w:val="both"/>
        <w:rPr>
          <w:color w:val="000000"/>
          <w:kern w:val="2"/>
          <w:lang w:bidi="ar-SA"/>
        </w:rPr>
      </w:pPr>
      <w:r>
        <w:rPr>
          <w:color w:val="000000"/>
          <w:kern w:val="2"/>
          <w:lang w:bidi="ar-SA"/>
        </w:rPr>
        <w:t>inne przyczyny zewnętrzne niezależne od Zamawiającego oraz Wykonawcy skutkujące niemożliwością prowadzenia prac w szczególności:</w:t>
      </w:r>
    </w:p>
    <w:p>
      <w:pPr>
        <w:numPr>
          <w:ilvl w:val="0"/>
          <w:numId w:val="50"/>
        </w:numPr>
        <w:tabs>
          <w:tab w:val="left" w:pos="1418"/>
          <w:tab w:val="clear" w:pos="720"/>
        </w:tabs>
        <w:spacing w:line="276" w:lineRule="auto"/>
        <w:ind w:left="1417" w:hanging="397"/>
        <w:jc w:val="both"/>
        <w:rPr>
          <w:color w:val="000000"/>
          <w:kern w:val="2"/>
          <w:lang w:bidi="ar-SA"/>
        </w:rPr>
      </w:pPr>
      <w:r>
        <w:rPr>
          <w:color w:val="000000"/>
          <w:kern w:val="2"/>
          <w:lang w:bidi="ar-SA"/>
        </w:rPr>
        <w:t xml:space="preserve">brak możliwości dojazdu oraz transportu materiałów na teren budowy spowodowany awariami, remontami lub przebudowami dróg dojazdowych; </w:t>
      </w:r>
    </w:p>
    <w:p>
      <w:pPr>
        <w:numPr>
          <w:ilvl w:val="0"/>
          <w:numId w:val="50"/>
        </w:numPr>
        <w:tabs>
          <w:tab w:val="left" w:pos="1418"/>
          <w:tab w:val="clear" w:pos="720"/>
        </w:tabs>
        <w:spacing w:line="276" w:lineRule="auto"/>
        <w:ind w:left="1417" w:hanging="397"/>
        <w:jc w:val="both"/>
        <w:rPr>
          <w:color w:val="000000"/>
          <w:kern w:val="2"/>
          <w:lang w:bidi="ar-SA"/>
        </w:rPr>
      </w:pPr>
      <w:r>
        <w:rPr>
          <w:color w:val="000000"/>
          <w:kern w:val="2"/>
          <w:lang w:bidi="ar-SA"/>
        </w:rPr>
        <w:t>protesty mieszkańców;</w:t>
      </w:r>
    </w:p>
    <w:p>
      <w:pPr>
        <w:numPr>
          <w:ilvl w:val="0"/>
          <w:numId w:val="50"/>
        </w:numPr>
        <w:tabs>
          <w:tab w:val="left" w:pos="1418"/>
          <w:tab w:val="clear" w:pos="720"/>
        </w:tabs>
        <w:spacing w:line="276" w:lineRule="auto"/>
        <w:ind w:left="1417" w:hanging="397"/>
        <w:jc w:val="both"/>
        <w:rPr>
          <w:color w:val="000000"/>
          <w:kern w:val="2"/>
          <w:lang w:bidi="ar-SA"/>
        </w:rPr>
      </w:pPr>
      <w:r>
        <w:rPr>
          <w:color w:val="000000"/>
          <w:kern w:val="2"/>
          <w:lang w:bidi="ar-SA"/>
        </w:rPr>
        <w:t>przerwa w dostawie energii elektrycznej, wody, gazu;</w:t>
      </w:r>
    </w:p>
    <w:p>
      <w:pPr>
        <w:numPr>
          <w:ilvl w:val="0"/>
          <w:numId w:val="50"/>
        </w:numPr>
        <w:tabs>
          <w:tab w:val="left" w:pos="1418"/>
          <w:tab w:val="clear" w:pos="720"/>
        </w:tabs>
        <w:spacing w:line="276" w:lineRule="auto"/>
        <w:ind w:left="1417" w:hanging="397"/>
        <w:jc w:val="both"/>
        <w:rPr>
          <w:color w:val="000000"/>
          <w:kern w:val="2"/>
          <w:lang w:bidi="ar-SA"/>
        </w:rPr>
      </w:pPr>
      <w:r>
        <w:rPr>
          <w:color w:val="000000"/>
          <w:kern w:val="2"/>
          <w:lang w:bidi="ar-SA"/>
        </w:rPr>
        <w:t>przerwy (urlopy) w produkcji materiałów opisanych w dokumentacji projektowej;</w:t>
      </w:r>
    </w:p>
    <w:p>
      <w:pPr>
        <w:numPr>
          <w:ilvl w:val="0"/>
          <w:numId w:val="51"/>
        </w:numPr>
        <w:tabs>
          <w:tab w:val="left" w:pos="680"/>
          <w:tab w:val="clear" w:pos="720"/>
        </w:tabs>
        <w:spacing w:line="276" w:lineRule="auto"/>
        <w:ind w:left="680" w:hanging="340"/>
        <w:jc w:val="both"/>
        <w:rPr>
          <w:color w:val="000000"/>
          <w:kern w:val="2"/>
          <w:lang w:bidi="ar-SA"/>
        </w:rPr>
      </w:pPr>
      <w:r>
        <w:rPr>
          <w:color w:val="000000"/>
          <w:kern w:val="2"/>
          <w:lang w:bidi="ar-SA"/>
        </w:rPr>
        <w:t>zmiana sposobu spełnienia świadczenia:</w:t>
      </w:r>
    </w:p>
    <w:p>
      <w:pPr>
        <w:numPr>
          <w:ilvl w:val="0"/>
          <w:numId w:val="52"/>
        </w:numPr>
        <w:spacing w:line="276" w:lineRule="auto"/>
        <w:ind w:left="1020" w:hanging="340"/>
        <w:jc w:val="both"/>
        <w:rPr>
          <w:color w:val="000000"/>
          <w:kern w:val="2"/>
          <w:lang w:bidi="ar-SA"/>
        </w:rPr>
      </w:pPr>
      <w:r>
        <w:rPr>
          <w:color w:val="000000"/>
          <w:kern w:val="2"/>
          <w:lang w:bidi="ar-SA"/>
        </w:rPr>
        <w:t>konieczność realizacji robót wynikających z wprowadzenia w dokumentacji projektowej zmian uznanych za nieistotne odstępstwo od projektu budowlanego, wynikających z art. 36a Prawo budowlane;</w:t>
      </w:r>
    </w:p>
    <w:p>
      <w:pPr>
        <w:numPr>
          <w:ilvl w:val="0"/>
          <w:numId w:val="52"/>
        </w:numPr>
        <w:spacing w:line="276" w:lineRule="auto"/>
        <w:ind w:left="1020" w:hanging="340"/>
        <w:jc w:val="both"/>
        <w:rPr>
          <w:color w:val="000000"/>
          <w:kern w:val="2"/>
          <w:lang w:bidi="ar-SA"/>
        </w:rPr>
      </w:pPr>
      <w:r>
        <w:rPr>
          <w:color w:val="000000"/>
          <w:kern w:val="2"/>
          <w:lang w:bidi="ar-SA"/>
        </w:rPr>
        <w:t>w wyniku wystąpienia warunków na terenie budowy odbiegających w sposób istotny od przyjętych w dokumentacji projektowej, w szczególności napotkania niezinwentaryzowanych lub błędnie   zinwentaryzowanych sieci, instalacji lub innych obiektów budowlanych;</w:t>
      </w:r>
    </w:p>
    <w:p>
      <w:pPr>
        <w:numPr>
          <w:ilvl w:val="0"/>
          <w:numId w:val="52"/>
        </w:numPr>
        <w:spacing w:line="276" w:lineRule="auto"/>
        <w:ind w:left="1020" w:hanging="340"/>
        <w:jc w:val="both"/>
        <w:rPr>
          <w:color w:val="000000"/>
          <w:kern w:val="2"/>
          <w:lang w:bidi="ar-SA"/>
        </w:rPr>
      </w:pPr>
      <w:r>
        <w:rPr>
          <w:color w:val="000000"/>
          <w:kern w:val="2"/>
          <w:lang w:bidi="ar-SA"/>
        </w:rPr>
        <w:t>niedostępność na rynku materiałów lub urządzeń wskazanych w dokumentacji projektowej spowodowanej zaprzestaniem produkcji lub wycofaniem z rynku tych materiałów lub urządzeń;</w:t>
      </w:r>
    </w:p>
    <w:p>
      <w:pPr>
        <w:numPr>
          <w:ilvl w:val="0"/>
          <w:numId w:val="52"/>
        </w:numPr>
        <w:spacing w:line="276" w:lineRule="auto"/>
        <w:ind w:left="1020" w:hanging="340"/>
        <w:jc w:val="both"/>
        <w:rPr>
          <w:color w:val="000000"/>
          <w:kern w:val="2"/>
          <w:lang w:bidi="ar-SA"/>
        </w:rPr>
      </w:pPr>
      <w:r>
        <w:rPr>
          <w:color w:val="000000"/>
          <w:kern w:val="2"/>
          <w:lang w:bidi="ar-SA"/>
        </w:rPr>
        <w:t>konieczność zrealizowania projektu przy zastosowaniu innych rozwiązań technicznych/ technologicznych lub materiałowych (rozwiązań zamiennych) innych niż wskazane w dokumentacji projektowej, w sytuacji, gdyby zastosowanie przewidzianych rozwiązań groziło niewykonaniem lub wadliwym wykonaniem projektu lub ze względu na zmiany obowiązującego prawa;</w:t>
      </w:r>
    </w:p>
    <w:p>
      <w:pPr>
        <w:numPr>
          <w:ilvl w:val="0"/>
          <w:numId w:val="52"/>
        </w:numPr>
        <w:spacing w:line="276" w:lineRule="auto"/>
        <w:ind w:left="1020" w:hanging="340"/>
        <w:jc w:val="both"/>
      </w:pPr>
      <w:r>
        <w:rPr>
          <w:color w:val="000000"/>
          <w:kern w:val="2"/>
          <w:highlight w:val="white"/>
          <w:lang w:bidi="ar-SA"/>
        </w:rPr>
        <w:t>w przypadku wystąpienia niebezpieczeństwa kolizji z planowanymi lub równolegle prowadzonymi przez in</w:t>
      </w:r>
      <w:r>
        <w:rPr>
          <w:color w:val="000000"/>
          <w:kern w:val="2"/>
          <w:lang w:bidi="ar-SA"/>
        </w:rPr>
        <w:t>ne podmioty inwestycjami w zakresie niezbędnym do uniknięcia lub usunięcia tych kolizji;</w:t>
      </w:r>
    </w:p>
    <w:p>
      <w:pPr>
        <w:numPr>
          <w:ilvl w:val="0"/>
          <w:numId w:val="52"/>
        </w:numPr>
        <w:spacing w:line="276" w:lineRule="auto"/>
        <w:ind w:left="1020" w:hanging="340"/>
        <w:jc w:val="both"/>
        <w:rPr>
          <w:highlight w:val="none"/>
        </w:rPr>
      </w:pPr>
      <w:r>
        <w:rPr>
          <w:color w:val="000000"/>
          <w:kern w:val="2"/>
          <w:highlight w:val="none"/>
          <w:lang w:bidi="ar-SA"/>
        </w:rPr>
        <w:t>za pisemną zgodą Zamawiającego w formie aneksu, dopuszcza się możliwość wprowadzenia zmian w wykonaniu umowy obejmującej roboty budowlane, dostawy, usługi, w odniesieniu do ustaleń zawartych w opisie zamówienia oraz projekcie, jeśli te zmiany miałyby wpłynąć korzystniej na zakres inwestycji lub zaistniałaby niemożność ich wykonania, jednakże zmiany te nie mogą wpłynąć na zmianę zakresu rzeczowego inwestycji określonego w SWZ oraz programach stanowiących dofinansowanie niniejszej inwestycji.</w:t>
      </w:r>
    </w:p>
    <w:p>
      <w:pPr>
        <w:numPr>
          <w:ilvl w:val="0"/>
          <w:numId w:val="53"/>
        </w:numPr>
        <w:tabs>
          <w:tab w:val="left" w:pos="678"/>
          <w:tab w:val="clear" w:pos="720"/>
        </w:tabs>
        <w:spacing w:line="276" w:lineRule="auto"/>
        <w:ind w:left="680" w:hanging="340"/>
        <w:jc w:val="both"/>
        <w:rPr>
          <w:color w:val="000000"/>
          <w:highlight w:val="none"/>
          <w:lang w:bidi="ar-SA"/>
        </w:rPr>
      </w:pPr>
      <w:r>
        <w:rPr>
          <w:color w:val="000000"/>
          <w:highlight w:val="none"/>
          <w:lang w:bidi="ar-SA"/>
        </w:rPr>
        <w:t>zmiany w zakresie płatności- wynagrodzenia:</w:t>
      </w:r>
    </w:p>
    <w:p>
      <w:pPr>
        <w:numPr>
          <w:ilvl w:val="0"/>
          <w:numId w:val="54"/>
        </w:numPr>
        <w:tabs>
          <w:tab w:val="left" w:pos="1020"/>
          <w:tab w:val="clear" w:pos="720"/>
        </w:tabs>
        <w:spacing w:line="276" w:lineRule="auto"/>
        <w:ind w:left="1020" w:hanging="340"/>
        <w:jc w:val="both"/>
        <w:rPr>
          <w:color w:val="000000"/>
          <w:lang w:bidi="ar-SA"/>
        </w:rPr>
      </w:pPr>
      <w:r>
        <w:rPr>
          <w:color w:val="000000"/>
          <w:lang w:bidi="ar-SA"/>
        </w:rPr>
        <w:t>w przypadku wystąpienia robót nieobjętych niniejszą umową (robót dodatkowych), w szczególności nie ujętych w dokumentacji projektowej, które nie były możliwe do przewidzenia w chwili  wszczęcia postępowania o udzielenie zamówienia publicznego, w wyniku którego doszło do   zawarcia umowy, a które są konieczne do realizacji przedmiotu umowy, gdy z przyczyn   technicznych lub gospodarczych oddzielne wykonanie tych robót wymagałoby poniesienia  niewspółmiernie wysokich kosztów lub wykonanie umowy jest uzależnione od wykonania tych  robót; Wykonawca sporządzi szczegółową kalkulację cen jednostkowych tych robót z uwzględnieniem cen czynników produkcji nie wyższych od średnich cen publikowanych w wydawnictwach branżowych (np. SEKOCENBUD, Orgbud, Intercenbud, itp.) dla województwa, w którym roboty są wykonywane, aktualnych w miesiącu poprzedzającym miesiąc, w którym   kalkulacja jest sporządzana;</w:t>
      </w:r>
    </w:p>
    <w:p>
      <w:pPr>
        <w:numPr>
          <w:ilvl w:val="0"/>
          <w:numId w:val="54"/>
        </w:numPr>
        <w:tabs>
          <w:tab w:val="left" w:pos="1020"/>
          <w:tab w:val="clear" w:pos="720"/>
        </w:tabs>
        <w:spacing w:line="276" w:lineRule="auto"/>
        <w:ind w:left="1020" w:hanging="340"/>
        <w:jc w:val="both"/>
        <w:rPr>
          <w:color w:val="000000"/>
          <w:lang w:bidi="ar-SA"/>
        </w:rPr>
      </w:pPr>
      <w:r>
        <w:rPr>
          <w:color w:val="000000"/>
          <w:lang w:bidi="ar-SA"/>
        </w:rPr>
        <w:t>gdy konieczność zmiany w zakresie wysokości wynagrodzenia należnego Wykonawcy, związana jest ze zmianą powszechnie obowiązujących przepisów prawa, w tym w zakresie zmiany wysokości urzędowej stawki podatku od towarów i usług oraz podatku akcyzowego, z zastrzeżeniem że wartość umowy netto jest niezmienna, jeżeli zmiany te będą miały wpływ na koszty wykonania zamówienia przez Wykonawcę;</w:t>
      </w:r>
    </w:p>
    <w:p>
      <w:pPr>
        <w:numPr>
          <w:ilvl w:val="0"/>
          <w:numId w:val="54"/>
        </w:numPr>
        <w:tabs>
          <w:tab w:val="left" w:pos="1020"/>
          <w:tab w:val="clear" w:pos="720"/>
        </w:tabs>
        <w:spacing w:line="276" w:lineRule="auto"/>
        <w:ind w:left="1020" w:hanging="340"/>
        <w:jc w:val="both"/>
        <w:rPr>
          <w:color w:val="000000"/>
          <w:lang w:bidi="ar-SA"/>
        </w:rPr>
      </w:pPr>
      <w:r>
        <w:rPr>
          <w:color w:val="000000"/>
          <w:lang w:bidi="ar-SA"/>
        </w:rPr>
        <w:t>gdy konieczność zmiany w zakresie wysokości wynagrodzenia należnego Wykonawcy, związana jest ze zmianą wysokości minimalnego wynagrodzenia za pracę albo wysokości minimalnej stawki godzinowej, ustalonych na podstawie przepisów ustawy z dnia 10 października 2002 r. o minimalnym wynagrodzeniu za pracę, jeżeli zmiany te będą miały wpływ na koszty   wykonywania zamówienia przez Wykonawcę;</w:t>
      </w:r>
    </w:p>
    <w:p>
      <w:pPr>
        <w:numPr>
          <w:ilvl w:val="0"/>
          <w:numId w:val="54"/>
        </w:numPr>
        <w:tabs>
          <w:tab w:val="left" w:pos="1020"/>
          <w:tab w:val="clear" w:pos="720"/>
        </w:tabs>
        <w:spacing w:line="276" w:lineRule="auto"/>
        <w:ind w:left="1020" w:hanging="340"/>
        <w:jc w:val="both"/>
      </w:pPr>
      <w:r>
        <w:rPr>
          <w:color w:val="000000"/>
          <w:lang w:bidi="ar-SA"/>
        </w:rPr>
        <w:t xml:space="preserve">gdy konieczność zmiany w zakresie wysokości wynagrodzenia należnego Wykonawcy, związana jest ze zmianą zasad podlegania ubezpieczeniom społecznym lub ubezpieczeniu zdrowotnemu lub wysokości stawki składki na ubezpieczenia </w:t>
      </w:r>
      <w:r>
        <w:rPr>
          <w:color w:val="000000"/>
          <w:kern w:val="2"/>
          <w:lang w:bidi="ar-SA"/>
        </w:rPr>
        <w:t>s</w:t>
      </w:r>
      <w:r>
        <w:rPr>
          <w:color w:val="000000"/>
          <w:lang w:bidi="ar-SA"/>
        </w:rPr>
        <w:t>połeczne lub ubezpieczenia zdrowotne, jeżeli zmiany te będą miały wpływ na koszty wykonania zamówienia przez Wykonawcę.</w:t>
      </w:r>
    </w:p>
    <w:p>
      <w:pPr>
        <w:numPr>
          <w:ilvl w:val="0"/>
          <w:numId w:val="55"/>
        </w:numPr>
        <w:tabs>
          <w:tab w:val="left" w:pos="342"/>
          <w:tab w:val="clear" w:pos="720"/>
        </w:tabs>
        <w:spacing w:line="276" w:lineRule="auto"/>
        <w:ind w:left="340" w:hanging="340"/>
        <w:jc w:val="both"/>
      </w:pPr>
      <w:r>
        <w:rPr>
          <w:color w:val="000000"/>
          <w:lang w:bidi="ar-SA"/>
        </w:rPr>
        <w:t>W przypadku wystąpienia którejkolwiek z okoliczności wymienionych w ust. 2 pkt. 1 termin wykonania umowy może ulec odpowiedniemu przedłużeniu, o czas niezbędny do zakończenia wykonywania jej  przedmiotu w sposób należyty, nie dłużej jednak niż o okres trwania tych okoliczności.</w:t>
      </w:r>
    </w:p>
    <w:p>
      <w:pPr>
        <w:numPr>
          <w:ilvl w:val="0"/>
          <w:numId w:val="55"/>
        </w:numPr>
        <w:tabs>
          <w:tab w:val="left" w:pos="342"/>
          <w:tab w:val="clear" w:pos="720"/>
        </w:tabs>
        <w:spacing w:line="276" w:lineRule="auto"/>
        <w:ind w:left="340" w:hanging="340"/>
        <w:jc w:val="both"/>
      </w:pPr>
      <w:r>
        <w:rPr>
          <w:color w:val="000000"/>
        </w:rPr>
        <w:t xml:space="preserve">Jeżeli </w:t>
      </w:r>
      <w:r>
        <w:rPr>
          <w:bCs/>
          <w:color w:val="000000"/>
        </w:rPr>
        <w:t>Wykonawca</w:t>
      </w:r>
      <w:r>
        <w:rPr>
          <w:color w:val="000000"/>
        </w:rPr>
        <w:t xml:space="preserve"> uważa się za uprawnionego do zmiany umowy na podstawie wskazanej w niniejszej umowie, zobowiązany jest do sporządzenia i przekazania Zamawiającemu wniosku dotyczącego zmiany umowy wraz z opisem zdarzenia lub okoliczności stanowiących podstawę do żądania takiej zmiany.</w:t>
      </w:r>
    </w:p>
    <w:p>
      <w:pPr>
        <w:numPr>
          <w:ilvl w:val="0"/>
          <w:numId w:val="55"/>
        </w:numPr>
        <w:tabs>
          <w:tab w:val="left" w:pos="342"/>
          <w:tab w:val="clear" w:pos="720"/>
        </w:tabs>
        <w:spacing w:line="276" w:lineRule="auto"/>
        <w:ind w:left="340" w:hanging="340"/>
        <w:jc w:val="both"/>
      </w:pPr>
      <w:r>
        <w:rPr>
          <w:bCs/>
          <w:color w:val="000000"/>
        </w:rPr>
        <w:t>Wykonawca</w:t>
      </w:r>
      <w:r>
        <w:rPr>
          <w:color w:val="000000"/>
        </w:rPr>
        <w:t xml:space="preserve"> zobowiązany jest do dostarczenia wraz z wnioskiem, wszelkich innych dokumentów wymaganych umową, w tym propozycji rozliczenia i informacji uzasadniających żądanie zmiany Umowy, stosowanie do zdarzenia lub okoliczności stanowiących podstawę żądania zmiany.</w:t>
      </w:r>
    </w:p>
    <w:p>
      <w:pPr>
        <w:numPr>
          <w:ilvl w:val="0"/>
          <w:numId w:val="55"/>
        </w:numPr>
        <w:tabs>
          <w:tab w:val="left" w:pos="342"/>
          <w:tab w:val="clear" w:pos="720"/>
        </w:tabs>
        <w:spacing w:line="276" w:lineRule="auto"/>
        <w:ind w:left="340" w:hanging="340"/>
        <w:jc w:val="both"/>
      </w:pPr>
      <w:r>
        <w:rPr>
          <w:color w:val="000000"/>
        </w:rPr>
        <w:t xml:space="preserve">W sytuacjach, o których mowa w ust. 2 pkt. 3 lit. b, c i d </w:t>
      </w:r>
      <w:r>
        <w:rPr>
          <w:rFonts w:eastAsia="Arial"/>
          <w:color w:val="000000"/>
        </w:rPr>
        <w:t>Wykonawca może przekazać Zamawiającemu  pisemny wniosek o dokonanie zmiany umowy najwcześniej w dniu wejścia w życie przepisów wprowadzających niniejsze zmiany. Wniosek powinien zawierać propozycję zmiany umowy w zakresie wysokości wynagrodzenia należnego Wykonawcy wraz z jej uzasadnieniem oraz dokumenty niezbędne do oceny przez Zamawiającego, czy zmiany, o których mowa w ust. 2 pkt. 3 lit. b, c i d mają lub będą miały wpływ na koszty wykonania zamówienia przez Wykonawcę. W przypadku uwzględnienia wniosku   Wykonawcy przez Zamawiającego, Strony podejmą działania w celu uzgodnienia treści aneksu do umowy oraz jego podpisania. Zmiana wysokości wynagrodzenia Wykonawcy dotyczyć będzie części przedmiotu niniejszej umowy, wykonanego po dniu zawarcia aneksu.</w:t>
      </w:r>
    </w:p>
    <w:p>
      <w:pPr>
        <w:numPr>
          <w:ilvl w:val="0"/>
          <w:numId w:val="55"/>
        </w:numPr>
        <w:tabs>
          <w:tab w:val="left" w:pos="342"/>
          <w:tab w:val="clear" w:pos="720"/>
        </w:tabs>
        <w:spacing w:line="276" w:lineRule="auto"/>
        <w:ind w:left="340" w:hanging="340"/>
        <w:jc w:val="both"/>
      </w:pPr>
      <w:r>
        <w:rPr>
          <w:rFonts w:eastAsia="Arial"/>
          <w:color w:val="000000"/>
        </w:rPr>
        <w:t xml:space="preserve">W przypadku zmiany </w:t>
      </w:r>
      <w:r>
        <w:rPr>
          <w:color w:val="000000"/>
          <w:lang w:bidi="ar-SA"/>
        </w:rPr>
        <w:t>wysokości urzędowej stawki podatku od towarów i usług</w:t>
      </w:r>
      <w:r>
        <w:rPr>
          <w:rFonts w:eastAsia="Arial"/>
          <w:color w:val="000000"/>
        </w:rPr>
        <w:t xml:space="preserve"> przyjętej przez Wykonawcę w ofercie w toku realizacji umowy, wynagrodzenie umowne netto pozostaje bez zmian, a Strony w drodze pisemnego aneksu wprowadzą do umowy zmienioną stawkę </w:t>
      </w:r>
      <w:r>
        <w:rPr>
          <w:color w:val="000000"/>
          <w:lang w:bidi="ar-SA"/>
        </w:rPr>
        <w:t>podatku od towarów i usług</w:t>
      </w:r>
      <w:r>
        <w:rPr>
          <w:rFonts w:eastAsia="Arial"/>
          <w:color w:val="000000"/>
        </w:rPr>
        <w:t xml:space="preserve"> i nową wartość brutto umowy.</w:t>
      </w:r>
    </w:p>
    <w:p>
      <w:pPr>
        <w:numPr>
          <w:ilvl w:val="0"/>
          <w:numId w:val="55"/>
        </w:numPr>
        <w:tabs>
          <w:tab w:val="left" w:pos="342"/>
          <w:tab w:val="clear" w:pos="720"/>
        </w:tabs>
        <w:spacing w:line="276" w:lineRule="auto"/>
        <w:ind w:left="340" w:hanging="340"/>
        <w:jc w:val="both"/>
        <w:rPr>
          <w:color w:val="000000"/>
        </w:rPr>
      </w:pPr>
      <w:r>
        <w:rPr>
          <w:color w:val="000000"/>
        </w:rPr>
        <w:t>Nie stanowi zmiany Umowy zmiana danych związanych z obsługą administracyjno-organizacyjną Umowy (np. zmiana numeru rachunku bankowego, zmiana dokumentów potwierdzających uregulowanie płatności wobec podwykonawców) oraz zmiana danych teleadresowych oraz zmiany osób wskazanych do kontaktów miedzy Stronami.</w:t>
      </w:r>
    </w:p>
    <w:p>
      <w:pPr>
        <w:numPr>
          <w:ilvl w:val="0"/>
          <w:numId w:val="55"/>
        </w:numPr>
        <w:tabs>
          <w:tab w:val="left" w:pos="342"/>
          <w:tab w:val="clear" w:pos="720"/>
        </w:tabs>
        <w:spacing w:line="276" w:lineRule="auto"/>
        <w:ind w:left="340" w:hanging="340"/>
        <w:jc w:val="both"/>
        <w:rPr>
          <w:color w:val="000000"/>
        </w:rPr>
      </w:pPr>
      <w:r>
        <w:rPr>
          <w:color w:val="000000"/>
        </w:rPr>
        <w:t>Wszystkie powyższe postanowienia stanowią katalog zmian, na które Zamawiający może wyrazić zgodę. Nie stanowią jednocześnie zobowiązania do wyrażenia takiej zgody.</w:t>
      </w:r>
    </w:p>
    <w:p>
      <w:pPr>
        <w:numPr>
          <w:ilvl w:val="0"/>
          <w:numId w:val="55"/>
        </w:numPr>
        <w:tabs>
          <w:tab w:val="left" w:pos="335"/>
          <w:tab w:val="clear" w:pos="720"/>
        </w:tabs>
        <w:spacing w:line="276" w:lineRule="auto"/>
        <w:ind w:left="340" w:hanging="340"/>
        <w:jc w:val="both"/>
        <w:rPr>
          <w:color w:val="000000"/>
        </w:rPr>
      </w:pPr>
      <w:r>
        <w:rPr>
          <w:color w:val="000000"/>
        </w:rPr>
        <w:t>Wszelkie zmiany i uzupełnienia umowy wymagają formy pisemnej pod rygorem nieważności,</w:t>
      </w:r>
      <w:r>
        <w:rPr>
          <w:color w:val="000000"/>
        </w:rPr>
        <w:br w:type="textWrapping"/>
      </w:r>
      <w:r>
        <w:rPr>
          <w:color w:val="000000"/>
        </w:rPr>
        <w:t>w drodze podpisanego przez obie Strony aneksu pod rygorem nieważności.</w:t>
      </w:r>
    </w:p>
    <w:p>
      <w:pPr>
        <w:numPr>
          <w:ilvl w:val="0"/>
          <w:numId w:val="0"/>
        </w:numPr>
        <w:tabs>
          <w:tab w:val="left" w:pos="335"/>
        </w:tabs>
        <w:suppressAutoHyphens/>
        <w:spacing w:line="276" w:lineRule="auto"/>
        <w:jc w:val="both"/>
        <w:rPr>
          <w:color w:val="000000"/>
          <w:highlight w:val="none"/>
        </w:rPr>
      </w:pPr>
    </w:p>
    <w:p>
      <w:pPr>
        <w:numPr>
          <w:ilvl w:val="0"/>
          <w:numId w:val="0"/>
        </w:numPr>
        <w:tabs>
          <w:tab w:val="left" w:pos="335"/>
        </w:tabs>
        <w:suppressAutoHyphens/>
        <w:spacing w:line="276" w:lineRule="auto"/>
        <w:jc w:val="both"/>
        <w:rPr>
          <w:color w:val="000000"/>
          <w:highlight w:val="none"/>
        </w:rPr>
      </w:pPr>
    </w:p>
    <w:p>
      <w:pPr>
        <w:spacing w:line="276" w:lineRule="auto"/>
        <w:jc w:val="center"/>
        <w:rPr>
          <w:rFonts w:hint="default"/>
          <w:b/>
          <w:color w:val="000000"/>
          <w:highlight w:val="none"/>
          <w:lang w:val="pl-PL"/>
        </w:rPr>
      </w:pPr>
      <w:r>
        <w:rPr>
          <w:b/>
          <w:color w:val="000000"/>
          <w:highlight w:val="none"/>
        </w:rPr>
        <w:t>§ 1</w:t>
      </w:r>
      <w:r>
        <w:rPr>
          <w:rFonts w:hint="default"/>
          <w:b/>
          <w:color w:val="000000"/>
          <w:highlight w:val="none"/>
          <w:lang w:val="pl-PL"/>
        </w:rPr>
        <w:t>6</w:t>
      </w:r>
    </w:p>
    <w:p>
      <w:pPr>
        <w:spacing w:line="276" w:lineRule="auto"/>
        <w:jc w:val="center"/>
        <w:rPr>
          <w:b/>
          <w:color w:val="000000"/>
          <w:highlight w:val="none"/>
        </w:rPr>
      </w:pPr>
      <w:r>
        <w:rPr>
          <w:b/>
          <w:color w:val="000000"/>
          <w:highlight w:val="none"/>
        </w:rPr>
        <w:t>Mediacje</w:t>
      </w:r>
    </w:p>
    <w:p>
      <w:pPr>
        <w:spacing w:line="276" w:lineRule="auto"/>
        <w:jc w:val="center"/>
        <w:rPr>
          <w:b/>
          <w:color w:val="000000"/>
          <w:highlight w:val="none"/>
        </w:rPr>
      </w:pPr>
    </w:p>
    <w:p>
      <w:pPr>
        <w:numPr>
          <w:ilvl w:val="0"/>
          <w:numId w:val="56"/>
        </w:numPr>
        <w:tabs>
          <w:tab w:val="left" w:pos="335"/>
          <w:tab w:val="clear" w:pos="720"/>
        </w:tabs>
        <w:spacing w:line="276" w:lineRule="auto"/>
        <w:ind w:left="340" w:hanging="340"/>
        <w:jc w:val="both"/>
        <w:rPr>
          <w:color w:val="000000"/>
        </w:rPr>
      </w:pPr>
      <w:r>
        <w:rPr>
          <w:color w:val="000000"/>
          <w:highlight w:val="none"/>
        </w:rPr>
        <w:t>Spory wynikłe w toku realizacji umowy o roszczenia cywilnoprawne, w pierwszej kolejności będą prowadzić do mediacji z wybranym mediatorem albo osobą p</w:t>
      </w:r>
      <w:r>
        <w:rPr>
          <w:color w:val="000000"/>
        </w:rPr>
        <w:t>rowadzącą polubowne rozwiązanie sporu lub do innego polubownego rozwiązania sporu przed Sądem Polubownym przy Prokuratorii Generalnej Rzeczypospolitej Polskiej, tym samym zawarcie ugody jest dopuszczalne.</w:t>
      </w:r>
    </w:p>
    <w:p>
      <w:pPr>
        <w:numPr>
          <w:ilvl w:val="0"/>
          <w:numId w:val="56"/>
        </w:numPr>
        <w:tabs>
          <w:tab w:val="left" w:pos="335"/>
          <w:tab w:val="clear" w:pos="720"/>
        </w:tabs>
        <w:spacing w:line="276" w:lineRule="auto"/>
        <w:ind w:left="340" w:hanging="340"/>
        <w:jc w:val="both"/>
        <w:rPr>
          <w:color w:val="000000"/>
        </w:rPr>
      </w:pPr>
      <w:r>
        <w:rPr>
          <w:color w:val="000000"/>
        </w:rPr>
        <w:t>W sprawach majątkowych w których zawarcie ugody jest dopuszczalne, strony sporu zobowiązują się do skierowania sprawy 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pPr>
        <w:numPr>
          <w:ilvl w:val="0"/>
          <w:numId w:val="56"/>
        </w:numPr>
        <w:tabs>
          <w:tab w:val="left" w:pos="335"/>
          <w:tab w:val="clear" w:pos="720"/>
        </w:tabs>
        <w:spacing w:line="276" w:lineRule="auto"/>
        <w:ind w:left="340" w:hanging="340"/>
        <w:jc w:val="both"/>
        <w:rPr>
          <w:color w:val="000000"/>
        </w:rPr>
      </w:pPr>
      <w:r>
        <w:rPr>
          <w:color w:val="000000"/>
        </w:rPr>
        <w:t>Jeżeli spór nie zostanie rozwiązany w terminie uzgodnionym pisemnie przez strony, każda ze stron może poddać spór pod rozstrzygnięcie sądu arbitrażowego, o którym mowa w ust. 4.</w:t>
      </w:r>
    </w:p>
    <w:p>
      <w:pPr>
        <w:numPr>
          <w:ilvl w:val="0"/>
          <w:numId w:val="56"/>
        </w:numPr>
        <w:tabs>
          <w:tab w:val="left" w:pos="335"/>
          <w:tab w:val="clear" w:pos="720"/>
        </w:tabs>
        <w:spacing w:line="276" w:lineRule="auto"/>
        <w:ind w:left="340" w:hanging="340"/>
        <w:jc w:val="both"/>
        <w:rPr>
          <w:color w:val="000000"/>
        </w:rPr>
      </w:pPr>
      <w:r>
        <w:rPr>
          <w:color w:val="000000"/>
        </w:rPr>
        <w:t>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z Regulaminem i Regułami Postępowania Stałego Sądu Arbitrażowego przy Okręgowej Izbie Radców Prawnych w Gdańsku, z tym wszakże zastrzeżeniem, że – stosownie do postanowień art. 2 § 1 ust. 1 Regulaminu i Reguł Postępowania Stałego Sądu Arbitrażowego przy Okręgowej Izbie Radców Prawnych w Gdańsku, Sąd Arbitrażowy przeprowadzi rozprawę w celu przedstawienia przez Strony twierdzeń lub dowodów na ich poparcie.</w:t>
      </w:r>
    </w:p>
    <w:p>
      <w:pPr>
        <w:numPr>
          <w:ilvl w:val="0"/>
          <w:numId w:val="56"/>
        </w:numPr>
        <w:tabs>
          <w:tab w:val="left" w:pos="335"/>
          <w:tab w:val="clear" w:pos="720"/>
        </w:tabs>
        <w:spacing w:line="276" w:lineRule="auto"/>
        <w:ind w:left="340" w:hanging="340"/>
        <w:jc w:val="both"/>
        <w:rPr>
          <w:color w:val="000000"/>
        </w:rPr>
      </w:pPr>
      <w:r>
        <w:t>Skład oraz zasady działania sądu polubownego wymagają oddzielnej umowy Stron, a w braku możliwości osiągnięcia porozumienia Stron w zakresie koniecznym do jej zawarcia, zastosowanie znajdą przepisy Kodeksu postępowania cywilnego.</w:t>
      </w:r>
    </w:p>
    <w:p>
      <w:pPr>
        <w:tabs>
          <w:tab w:val="left" w:pos="335"/>
        </w:tabs>
        <w:spacing w:line="276" w:lineRule="auto"/>
        <w:ind w:left="340"/>
        <w:jc w:val="both"/>
        <w:rPr>
          <w:color w:val="000000"/>
        </w:rPr>
      </w:pPr>
    </w:p>
    <w:p>
      <w:pPr>
        <w:tabs>
          <w:tab w:val="left" w:pos="335"/>
        </w:tabs>
        <w:spacing w:line="276" w:lineRule="auto"/>
        <w:ind w:left="340"/>
        <w:jc w:val="both"/>
        <w:rPr>
          <w:color w:val="000000"/>
        </w:rPr>
      </w:pPr>
    </w:p>
    <w:p>
      <w:pPr>
        <w:tabs>
          <w:tab w:val="left" w:pos="335"/>
        </w:tabs>
        <w:spacing w:line="276" w:lineRule="auto"/>
        <w:jc w:val="both"/>
        <w:rPr>
          <w:color w:val="000000"/>
        </w:rPr>
      </w:pPr>
    </w:p>
    <w:p>
      <w:pPr>
        <w:spacing w:line="276" w:lineRule="auto"/>
        <w:jc w:val="center"/>
        <w:rPr>
          <w:rFonts w:hint="default"/>
          <w:b/>
          <w:color w:val="000000"/>
          <w:lang w:val="pl-PL"/>
        </w:rPr>
      </w:pPr>
      <w:r>
        <w:rPr>
          <w:b/>
          <w:color w:val="000000"/>
        </w:rPr>
        <w:t>§ 1</w:t>
      </w:r>
      <w:r>
        <w:rPr>
          <w:rFonts w:hint="default"/>
          <w:b/>
          <w:color w:val="000000"/>
          <w:lang w:val="pl-PL"/>
        </w:rPr>
        <w:t>7</w:t>
      </w:r>
    </w:p>
    <w:p>
      <w:pPr>
        <w:spacing w:line="276" w:lineRule="auto"/>
        <w:jc w:val="center"/>
        <w:rPr>
          <w:b/>
          <w:color w:val="000000"/>
        </w:rPr>
      </w:pPr>
      <w:r>
        <w:rPr>
          <w:b/>
          <w:color w:val="000000"/>
        </w:rPr>
        <w:t>Zmiana wynagrodzenia Wykonawcy</w:t>
      </w:r>
    </w:p>
    <w:p>
      <w:pPr>
        <w:spacing w:line="276" w:lineRule="auto"/>
        <w:jc w:val="center"/>
      </w:pPr>
    </w:p>
    <w:p>
      <w:pPr>
        <w:numPr>
          <w:ilvl w:val="0"/>
          <w:numId w:val="57"/>
        </w:numPr>
        <w:tabs>
          <w:tab w:val="left" w:pos="343"/>
          <w:tab w:val="clear" w:pos="425"/>
        </w:tabs>
        <w:spacing w:line="276" w:lineRule="auto"/>
        <w:jc w:val="both"/>
        <w:rPr>
          <w:bCs/>
          <w:color w:val="000000"/>
        </w:rPr>
      </w:pPr>
      <w:r>
        <w:rPr>
          <w:bCs/>
          <w:color w:val="000000"/>
        </w:rPr>
        <w:t>Zamawiający przewiduje możliwość dokonania zmiany wysokości wynagrodzenia należnego Wykonawcy.</w:t>
      </w:r>
    </w:p>
    <w:p>
      <w:pPr>
        <w:numPr>
          <w:ilvl w:val="0"/>
          <w:numId w:val="57"/>
        </w:numPr>
        <w:tabs>
          <w:tab w:val="left" w:pos="343"/>
          <w:tab w:val="clear" w:pos="425"/>
        </w:tabs>
        <w:spacing w:line="276" w:lineRule="auto"/>
        <w:jc w:val="both"/>
        <w:rPr>
          <w:bCs/>
          <w:color w:val="000000"/>
        </w:rPr>
      </w:pPr>
      <w:r>
        <w:rPr>
          <w:bCs/>
          <w:color w:val="000000"/>
        </w:rPr>
        <w:t>Strony mogą żądać zmiany wysokości wynagrodzenia jeżeli poziom ceny oferty zwiększył się o 0,1% w danym kwartale.</w:t>
      </w:r>
    </w:p>
    <w:p>
      <w:pPr>
        <w:numPr>
          <w:ilvl w:val="0"/>
          <w:numId w:val="57"/>
        </w:numPr>
        <w:tabs>
          <w:tab w:val="left" w:pos="343"/>
          <w:tab w:val="clear" w:pos="425"/>
        </w:tabs>
        <w:spacing w:line="276" w:lineRule="auto"/>
        <w:jc w:val="both"/>
        <w:rPr>
          <w:bCs/>
          <w:color w:val="000000"/>
        </w:rPr>
      </w:pPr>
      <w:r>
        <w:rPr>
          <w:bCs/>
          <w:color w:val="000000"/>
        </w:rPr>
        <w:t>Na wniosek Wykonawcy, Zamawiający zwiększy wynagrodzenie o wskaźnik zmiany ceny publikowany w wydawnictwie Secocenbud - Zagregowane Wskaźniki Waloryzacyjno-Prognostyczne, tabela 40, 41 Przedszkole i Szkolna hala sportowa, wyliczając ją w następujący sposób: kwotę wynagrodzenia pozostającą do zapłaty do końca realizacji zadania zwiększy się o iloczyn kwoty i ww wskaźnika z poprzedzającego kwartału.</w:t>
      </w:r>
    </w:p>
    <w:p>
      <w:pPr>
        <w:numPr>
          <w:ilvl w:val="0"/>
          <w:numId w:val="57"/>
        </w:numPr>
        <w:tabs>
          <w:tab w:val="left" w:pos="343"/>
          <w:tab w:val="clear" w:pos="425"/>
        </w:tabs>
        <w:spacing w:line="276" w:lineRule="auto"/>
        <w:jc w:val="both"/>
        <w:rPr>
          <w:bCs/>
          <w:color w:val="000000"/>
        </w:rPr>
      </w:pPr>
      <w:r>
        <w:rPr>
          <w:bCs/>
          <w:color w:val="000000"/>
        </w:rPr>
        <w:t>Waloryzacji podlegać będzie wyłącznie wynagrodzenie Wykonawcy za roboty pozostałe do wykonania w okresie podlegającym waloryzacji.</w:t>
      </w:r>
    </w:p>
    <w:p>
      <w:pPr>
        <w:numPr>
          <w:ilvl w:val="0"/>
          <w:numId w:val="57"/>
        </w:numPr>
        <w:tabs>
          <w:tab w:val="left" w:pos="343"/>
          <w:tab w:val="clear" w:pos="425"/>
        </w:tabs>
        <w:spacing w:line="276" w:lineRule="auto"/>
        <w:jc w:val="both"/>
        <w:rPr>
          <w:bCs/>
          <w:color w:val="000000"/>
        </w:rPr>
      </w:pPr>
      <w:r>
        <w:rPr>
          <w:bCs/>
          <w:color w:val="000000"/>
        </w:rPr>
        <w:t>Waloryzacji nie będzie podlegać wynagrodzenie Wykonawcy za roboty związane ze zmianą sposobu świadczenia, w szczególności roboty dodatkowe lub zamienne.</w:t>
      </w:r>
    </w:p>
    <w:p>
      <w:pPr>
        <w:numPr>
          <w:ilvl w:val="0"/>
          <w:numId w:val="57"/>
        </w:numPr>
        <w:tabs>
          <w:tab w:val="left" w:pos="343"/>
          <w:tab w:val="clear" w:pos="425"/>
        </w:tabs>
        <w:spacing w:line="276" w:lineRule="auto"/>
        <w:jc w:val="both"/>
        <w:rPr>
          <w:bCs/>
          <w:color w:val="000000"/>
        </w:rPr>
      </w:pPr>
      <w:r>
        <w:rPr>
          <w:bCs/>
          <w:color w:val="000000"/>
        </w:rPr>
        <w:t>Waloryzacji podlegać będzie wyłącznie wynagrodzenie Wykonawcy za roboty wykonane w terminie zakończenia robót, a po upływie tego terminu wynagrodzenie nie będzie ulegało dalszym zmianom.</w:t>
      </w:r>
    </w:p>
    <w:p>
      <w:pPr>
        <w:numPr>
          <w:ilvl w:val="0"/>
          <w:numId w:val="57"/>
        </w:numPr>
        <w:tabs>
          <w:tab w:val="left" w:pos="343"/>
          <w:tab w:val="clear" w:pos="425"/>
        </w:tabs>
        <w:spacing w:line="276" w:lineRule="auto"/>
        <w:jc w:val="both"/>
        <w:rPr>
          <w:b w:val="0"/>
          <w:bCs/>
          <w:color w:val="000000"/>
          <w:highlight w:val="none"/>
        </w:rPr>
      </w:pPr>
      <w:r>
        <w:rPr>
          <w:bCs/>
          <w:color w:val="000000"/>
        </w:rPr>
        <w:t>P</w:t>
      </w:r>
      <w:r>
        <w:rPr>
          <w:b w:val="0"/>
          <w:bCs/>
          <w:color w:val="000000"/>
          <w:highlight w:val="none"/>
        </w:rPr>
        <w:t>ierwsza waloryzacja może nastąpić nie wcześniej niż w drugim kwartale kalendarzowym realizacji zadania licząc od dnia podpisania umowy. Następne mogą mieć miejsce po upływie odpowiednio kolejnego kwartału kalendarzowego (o ile taki przypadek wystąpi).</w:t>
      </w:r>
    </w:p>
    <w:p>
      <w:pPr>
        <w:numPr>
          <w:ilvl w:val="0"/>
          <w:numId w:val="57"/>
        </w:numPr>
        <w:tabs>
          <w:tab w:val="left" w:pos="343"/>
          <w:tab w:val="clear" w:pos="425"/>
        </w:tabs>
        <w:spacing w:line="276" w:lineRule="auto"/>
        <w:jc w:val="both"/>
        <w:rPr>
          <w:b w:val="0"/>
          <w:bCs/>
          <w:color w:val="000000"/>
          <w:highlight w:val="none"/>
        </w:rPr>
      </w:pPr>
      <w:r>
        <w:rPr>
          <w:b w:val="0"/>
          <w:bCs/>
          <w:color w:val="000000"/>
          <w:highlight w:val="none"/>
        </w:rPr>
        <w:t>Maksymalna wartość zmiany wynagrodzenia, jaką dopuszcza Zamawiający w efekcie zastosowania w/w postanowień nie przekroczy 10% wynagrodzenia umownego brutto, o którym mowa w § 7 ust.1.</w:t>
      </w:r>
    </w:p>
    <w:p>
      <w:pPr>
        <w:numPr>
          <w:ilvl w:val="0"/>
          <w:numId w:val="57"/>
        </w:numPr>
        <w:tabs>
          <w:tab w:val="left" w:pos="343"/>
          <w:tab w:val="clear" w:pos="425"/>
        </w:tabs>
        <w:spacing w:line="276" w:lineRule="auto"/>
        <w:jc w:val="both"/>
        <w:rPr>
          <w:b w:val="0"/>
          <w:bCs/>
          <w:color w:val="000000"/>
          <w:highlight w:val="none"/>
        </w:rPr>
      </w:pPr>
      <w:r>
        <w:rPr>
          <w:b w:val="0"/>
          <w:bCs/>
          <w:color w:val="000000"/>
          <w:highlight w:val="none"/>
        </w:rPr>
        <w:t>Zmiana wynagrodzenia w związku z zastosowaniem niniejszego paragrafu wyczerpuje roszczenia Wykonawcy związane ze zmianą ceny lub kosztów związanych z wykonaniem umowy.</w:t>
      </w:r>
    </w:p>
    <w:p>
      <w:pPr>
        <w:numPr>
          <w:ilvl w:val="0"/>
          <w:numId w:val="57"/>
        </w:numPr>
        <w:tabs>
          <w:tab w:val="left" w:pos="343"/>
          <w:tab w:val="clear" w:pos="425"/>
        </w:tabs>
        <w:spacing w:line="276" w:lineRule="auto"/>
        <w:jc w:val="both"/>
        <w:rPr>
          <w:bCs/>
          <w:color w:val="000000"/>
        </w:rPr>
      </w:pPr>
      <w:r>
        <w:rPr>
          <w:bCs/>
          <w:color w:val="000000"/>
        </w:rPr>
        <w:t>Zwiększenie wynagrodzenia Wykonawcy nastąpi w formie aneksu do umowy na wniosek Wykonawcy. Wykonawca zobowiązany jest do załączenia do wniosku wyliczenia zmiany określającego wysokość wynagrodzenia po zmianie, w tym wykazania bezpośredniego wpływu zmiany na wysokość wynagrodzenia. Wniosek o zmianę postanowień umowy musi być wyrażony na piśmie.</w:t>
      </w:r>
    </w:p>
    <w:p>
      <w:pPr>
        <w:numPr>
          <w:ilvl w:val="0"/>
          <w:numId w:val="57"/>
        </w:numPr>
        <w:tabs>
          <w:tab w:val="left" w:pos="343"/>
          <w:tab w:val="clear" w:pos="425"/>
        </w:tabs>
        <w:spacing w:line="276" w:lineRule="auto"/>
        <w:jc w:val="both"/>
        <w:rPr>
          <w:bCs/>
          <w:color w:val="000000"/>
        </w:rPr>
      </w:pPr>
      <w:r>
        <w:rPr>
          <w:bCs/>
          <w:color w:val="000000"/>
        </w:rPr>
        <w:t>Obniżenie wynagrodzenia Wykonawcy nastąpi w formie jednostronnego oświadczenia Zamawiającego i nie wymaga zawarcia aneksu do umowy.</w:t>
      </w:r>
    </w:p>
    <w:p>
      <w:pPr>
        <w:numPr>
          <w:ilvl w:val="0"/>
          <w:numId w:val="57"/>
        </w:numPr>
        <w:tabs>
          <w:tab w:val="left" w:pos="343"/>
          <w:tab w:val="clear" w:pos="425"/>
        </w:tabs>
        <w:spacing w:line="276" w:lineRule="auto"/>
        <w:jc w:val="both"/>
        <w:rPr>
          <w:bCs/>
          <w:color w:val="000000"/>
        </w:rPr>
      </w:pPr>
      <w:r>
        <w:rPr>
          <w:bCs/>
          <w:color w:val="000000"/>
        </w:rPr>
        <w:t>Zamawiający dopuszcza zmianę wynagrodzenia w wypadku wystąpienia którejkolwiek ze zmian przepisów wskazanych w art. 436 pkt 4 lit. b) ustawy z dnia 11 września 2019 r. Prawo zamówień publicznych, tj. zmiany:</w:t>
      </w:r>
    </w:p>
    <w:p>
      <w:pPr>
        <w:numPr>
          <w:ilvl w:val="0"/>
          <w:numId w:val="58"/>
        </w:numPr>
        <w:tabs>
          <w:tab w:val="left" w:pos="343"/>
          <w:tab w:val="clear" w:pos="425"/>
        </w:tabs>
        <w:spacing w:line="276" w:lineRule="auto"/>
        <w:jc w:val="both"/>
        <w:rPr>
          <w:bCs/>
          <w:color w:val="000000"/>
        </w:rPr>
      </w:pPr>
      <w:r>
        <w:rPr>
          <w:bCs/>
          <w:color w:val="000000"/>
        </w:rPr>
        <w:t>stawki podatku od towarów i usług oraz podatku akcyzowego,</w:t>
      </w:r>
    </w:p>
    <w:p>
      <w:pPr>
        <w:numPr>
          <w:ilvl w:val="0"/>
          <w:numId w:val="58"/>
        </w:numPr>
        <w:tabs>
          <w:tab w:val="left" w:pos="343"/>
          <w:tab w:val="clear" w:pos="425"/>
        </w:tabs>
        <w:spacing w:line="276" w:lineRule="auto"/>
        <w:jc w:val="both"/>
        <w:rPr>
          <w:bCs/>
          <w:color w:val="000000"/>
        </w:rPr>
      </w:pPr>
      <w:r>
        <w:rPr>
          <w:bCs/>
          <w:color w:val="000000"/>
        </w:rPr>
        <w:t>wysokości minimalnego wynagrodzenia za pracę albo wysokości minimalnej stawki godzinowej, ustalonych na podstawie ustawy z dnia 10 października 2002 r. o minimalnym wynagrodzeniu za pracę,</w:t>
      </w:r>
    </w:p>
    <w:p>
      <w:pPr>
        <w:numPr>
          <w:ilvl w:val="0"/>
          <w:numId w:val="58"/>
        </w:numPr>
        <w:tabs>
          <w:tab w:val="left" w:pos="343"/>
          <w:tab w:val="clear" w:pos="425"/>
        </w:tabs>
        <w:spacing w:line="276" w:lineRule="auto"/>
        <w:jc w:val="both"/>
        <w:rPr>
          <w:bCs/>
          <w:color w:val="000000"/>
        </w:rPr>
      </w:pPr>
      <w:r>
        <w:rPr>
          <w:bCs/>
          <w:color w:val="000000"/>
        </w:rPr>
        <w:t>zasad podlegania ubezpieczeniom społecznym lub ubezpieczeniu zdrowotnemu lub wysokości stawki składki na ubezpieczenia społeczne lub ubezpieczenie zdrowotne,</w:t>
      </w:r>
    </w:p>
    <w:p>
      <w:pPr>
        <w:numPr>
          <w:ilvl w:val="0"/>
          <w:numId w:val="58"/>
        </w:numPr>
        <w:tabs>
          <w:tab w:val="left" w:pos="343"/>
          <w:tab w:val="clear" w:pos="425"/>
        </w:tabs>
        <w:spacing w:line="276" w:lineRule="auto"/>
        <w:jc w:val="both"/>
        <w:rPr>
          <w:bCs/>
          <w:color w:val="000000"/>
          <w:highlight w:val="none"/>
        </w:rPr>
      </w:pPr>
      <w:r>
        <w:rPr>
          <w:bCs/>
          <w:color w:val="000000"/>
        </w:rPr>
        <w:t xml:space="preserve">zasad gromadzenia i wysokości wpłat do pracowniczych planów kapitałowych, o których mowa w </w:t>
      </w:r>
      <w:r>
        <w:rPr>
          <w:bCs/>
          <w:color w:val="000000"/>
          <w:highlight w:val="none"/>
        </w:rPr>
        <w:t>ustawie z dnia 4 października 2018 r. o pracowniczych planach kapitałowych,</w:t>
      </w:r>
    </w:p>
    <w:p>
      <w:pPr>
        <w:tabs>
          <w:tab w:val="left" w:pos="343"/>
        </w:tabs>
        <w:spacing w:line="276" w:lineRule="auto"/>
        <w:jc w:val="both"/>
        <w:rPr>
          <w:bCs/>
          <w:color w:val="000000"/>
          <w:highlight w:val="none"/>
        </w:rPr>
      </w:pPr>
      <w:r>
        <w:rPr>
          <w:bCs/>
          <w:color w:val="000000"/>
          <w:highlight w:val="none"/>
        </w:rPr>
        <w:tab/>
      </w:r>
      <w:r>
        <w:rPr>
          <w:bCs/>
          <w:color w:val="000000"/>
          <w:highlight w:val="none"/>
        </w:rPr>
        <w:tab/>
      </w:r>
      <w:r>
        <w:rPr>
          <w:bCs/>
          <w:color w:val="000000"/>
          <w:highlight w:val="none"/>
        </w:rPr>
        <w:t>‒ jeżeli zmiany te będą miały wpływ na koszty wykonania zamówienia przez wykonawcę.</w:t>
      </w:r>
    </w:p>
    <w:p>
      <w:pPr>
        <w:numPr>
          <w:ilvl w:val="0"/>
          <w:numId w:val="57"/>
        </w:numPr>
        <w:tabs>
          <w:tab w:val="left" w:pos="343"/>
          <w:tab w:val="clear" w:pos="425"/>
        </w:tabs>
        <w:spacing w:line="276" w:lineRule="auto"/>
        <w:jc w:val="both"/>
        <w:rPr>
          <w:bCs/>
          <w:color w:val="000000"/>
          <w:highlight w:val="none"/>
        </w:rPr>
      </w:pPr>
      <w:r>
        <w:rPr>
          <w:bCs/>
          <w:color w:val="000000"/>
          <w:highlight w:val="none"/>
        </w:rPr>
        <w:t>Zmiana wysokości wynagrodzenia obowiązywać będzie od dnia wejścia w życie zmian o których mowa w ust. 12 umowy.</w:t>
      </w:r>
    </w:p>
    <w:p>
      <w:pPr>
        <w:numPr>
          <w:ilvl w:val="0"/>
          <w:numId w:val="57"/>
        </w:numPr>
        <w:tabs>
          <w:tab w:val="left" w:pos="343"/>
          <w:tab w:val="clear" w:pos="425"/>
        </w:tabs>
        <w:spacing w:line="276" w:lineRule="auto"/>
        <w:jc w:val="both"/>
        <w:rPr>
          <w:bCs/>
          <w:color w:val="000000"/>
          <w:highlight w:val="none"/>
        </w:rPr>
      </w:pPr>
      <w:r>
        <w:rPr>
          <w:bCs/>
          <w:color w:val="000000"/>
          <w:highlight w:val="none"/>
        </w:rPr>
        <w:t>W wypadku zmiany, o której mowa w ust. 12 ppkt 1) wartość netto wynagrodzenia Wykonawcy nie zmieni się, a określona w aneksie wartość brutto wynagrodzenia zostanie wyliczona na podstawie nowych przepisów.</w:t>
      </w:r>
    </w:p>
    <w:p>
      <w:pPr>
        <w:numPr>
          <w:ilvl w:val="0"/>
          <w:numId w:val="57"/>
        </w:numPr>
        <w:tabs>
          <w:tab w:val="left" w:pos="343"/>
          <w:tab w:val="clear" w:pos="425"/>
        </w:tabs>
        <w:spacing w:line="276" w:lineRule="auto"/>
        <w:jc w:val="both"/>
        <w:rPr>
          <w:bCs/>
          <w:color w:val="000000"/>
          <w:highlight w:val="none"/>
        </w:rPr>
      </w:pPr>
      <w:r>
        <w:rPr>
          <w:bCs/>
          <w:color w:val="000000"/>
          <w:highlight w:val="none"/>
        </w:rPr>
        <w:t>W przypadku zmiany, o której mowa w ust. 12  ppkt 2) wynagrodzenie Wykonawcy ulegnie zmianie o wartość wzrostu całkowitego kosztu Wykonawcy wynikającą ze zwiększenia wynagrodzeń osób bezpośrednio wykonujących zamówienie do wysokości zmienionego minimalnego wynagrodzenia albo do wysokości zmienionej minimalnej stawki godzinowej, z uwzględnieniem wszystkich obciążeń publicznoprawnych, wynikających z tych zmian.</w:t>
      </w:r>
    </w:p>
    <w:p>
      <w:pPr>
        <w:numPr>
          <w:ilvl w:val="0"/>
          <w:numId w:val="57"/>
        </w:numPr>
        <w:tabs>
          <w:tab w:val="left" w:pos="343"/>
          <w:tab w:val="clear" w:pos="425"/>
        </w:tabs>
        <w:spacing w:line="276" w:lineRule="auto"/>
        <w:jc w:val="both"/>
        <w:rPr>
          <w:bCs/>
          <w:color w:val="000000"/>
          <w:highlight w:val="none"/>
        </w:rPr>
      </w:pPr>
      <w:r>
        <w:rPr>
          <w:bCs/>
          <w:color w:val="000000"/>
          <w:highlight w:val="none"/>
        </w:rPr>
        <w:t>W przypadku zmiany, o którym mowa w ust. 12  ppkt 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pPr>
        <w:numPr>
          <w:ilvl w:val="0"/>
          <w:numId w:val="57"/>
        </w:numPr>
        <w:tabs>
          <w:tab w:val="left" w:pos="343"/>
          <w:tab w:val="clear" w:pos="425"/>
        </w:tabs>
        <w:spacing w:line="276" w:lineRule="auto"/>
        <w:jc w:val="both"/>
        <w:rPr>
          <w:bCs/>
          <w:color w:val="000000"/>
          <w:highlight w:val="none"/>
        </w:rPr>
      </w:pPr>
      <w:r>
        <w:rPr>
          <w:bCs/>
          <w:color w:val="000000"/>
          <w:highlight w:val="none"/>
        </w:rPr>
        <w:t>W przypadku zmiany, o którym mowa w ust. 12 ppkt 4)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pPr>
        <w:numPr>
          <w:ilvl w:val="0"/>
          <w:numId w:val="57"/>
        </w:numPr>
        <w:tabs>
          <w:tab w:val="left" w:pos="343"/>
          <w:tab w:val="clear" w:pos="425"/>
        </w:tabs>
        <w:spacing w:line="276" w:lineRule="auto"/>
        <w:jc w:val="both"/>
        <w:rPr>
          <w:bCs/>
          <w:color w:val="000000"/>
        </w:rPr>
      </w:pPr>
      <w:r>
        <w:rPr>
          <w:bCs/>
          <w:color w:val="000000"/>
          <w:highlight w:val="none"/>
        </w:rPr>
        <w:t>Za wyjątkiem sytuacji o której mowa w ust. 12 ppkt 1), wprowadzenie zmian wysokości wynagrodzenia wymaga uprzedniego złożenia przez Wykonawcę oświadczenia o wysokości dodatkowych koszów wynikających z wprowadzenia zmian, o których mowa w ust. 12 ppkt 2, 3, oraz 4, oraz dokumentów potwierdzających stan sprzed i po zmianie. Zmiany mogą nastąpić nie wcześniej, niż po upływie 6 miesięcy od dnia udzielenia zamówienia.</w:t>
      </w:r>
    </w:p>
    <w:p>
      <w:pPr>
        <w:tabs>
          <w:tab w:val="left" w:pos="343"/>
        </w:tabs>
        <w:spacing w:line="276" w:lineRule="auto"/>
        <w:jc w:val="both"/>
        <w:rPr>
          <w:bCs/>
          <w:color w:val="000000"/>
        </w:rPr>
      </w:pPr>
    </w:p>
    <w:p>
      <w:pPr>
        <w:tabs>
          <w:tab w:val="left" w:pos="343"/>
        </w:tabs>
        <w:spacing w:line="276" w:lineRule="auto"/>
        <w:jc w:val="both"/>
        <w:rPr>
          <w:b/>
          <w:color w:val="000000"/>
        </w:rPr>
      </w:pPr>
    </w:p>
    <w:p>
      <w:pPr>
        <w:spacing w:line="276" w:lineRule="auto"/>
        <w:jc w:val="center"/>
        <w:rPr>
          <w:rFonts w:hint="default"/>
          <w:lang w:val="pl-PL"/>
        </w:rPr>
      </w:pPr>
      <w:r>
        <w:rPr>
          <w:b/>
          <w:color w:val="000000"/>
        </w:rPr>
        <w:t>§ 1</w:t>
      </w:r>
      <w:r>
        <w:rPr>
          <w:rFonts w:hint="default"/>
          <w:b/>
          <w:color w:val="000000"/>
          <w:lang w:val="pl-PL"/>
        </w:rPr>
        <w:t>8</w:t>
      </w:r>
    </w:p>
    <w:p>
      <w:pPr>
        <w:spacing w:line="276" w:lineRule="auto"/>
        <w:jc w:val="center"/>
        <w:rPr>
          <w:b/>
          <w:color w:val="000000"/>
        </w:rPr>
      </w:pPr>
      <w:r>
        <w:rPr>
          <w:b/>
          <w:color w:val="000000"/>
        </w:rPr>
        <w:t>Wymagania dotyczące zatrudniania na podstawie umowy o pracę</w:t>
      </w:r>
    </w:p>
    <w:p>
      <w:pPr>
        <w:spacing w:line="276" w:lineRule="auto"/>
        <w:jc w:val="center"/>
        <w:rPr>
          <w:b/>
          <w:color w:val="000000"/>
        </w:rPr>
      </w:pPr>
    </w:p>
    <w:p>
      <w:pPr>
        <w:numPr>
          <w:ilvl w:val="0"/>
          <w:numId w:val="59"/>
        </w:numPr>
        <w:tabs>
          <w:tab w:val="left" w:pos="335"/>
          <w:tab w:val="clear" w:pos="720"/>
        </w:tabs>
        <w:spacing w:line="276" w:lineRule="auto"/>
        <w:ind w:left="340" w:hanging="340"/>
        <w:jc w:val="both"/>
      </w:pPr>
      <w:r>
        <w:rPr>
          <w:color w:val="000000"/>
        </w:rPr>
        <w:t xml:space="preserve">Zamawiający stosownie do art. 95 ust. 1 ustawy Pzp wymaga, aby Wykonawca lub Podwykonawca przy realizacji przedmiotu zamówienia zatrudniał pracowników zatrudnionych na podstawie stosunku pracy w rozumieniu przepisów Kodeksu Pracy </w:t>
      </w:r>
      <w:r>
        <w:rPr>
          <w:color w:val="000000"/>
          <w:highlight w:val="white"/>
        </w:rPr>
        <w:t xml:space="preserve">(art. 22 § 1 ustawy z dnia 26 czerwca 1974 r. – Kodeks pracy), </w:t>
      </w:r>
      <w:r>
        <w:rPr>
          <w:color w:val="000000"/>
        </w:rPr>
        <w:t xml:space="preserve">tj.: </w:t>
      </w:r>
    </w:p>
    <w:p>
      <w:pPr>
        <w:pStyle w:val="248"/>
        <w:widowControl w:val="0"/>
        <w:numPr>
          <w:ilvl w:val="0"/>
          <w:numId w:val="60"/>
        </w:numPr>
        <w:tabs>
          <w:tab w:val="left" w:pos="60"/>
        </w:tabs>
        <w:spacing w:line="276" w:lineRule="auto"/>
        <w:ind w:left="680" w:hanging="340"/>
        <w:rPr>
          <w:rFonts w:ascii="Times New Roman" w:hAnsi="Times New Roman" w:cs="Times New Roman"/>
          <w:sz w:val="22"/>
          <w:szCs w:val="22"/>
        </w:rPr>
      </w:pPr>
      <w:r>
        <w:rPr>
          <w:rFonts w:ascii="Times New Roman" w:hAnsi="Times New Roman" w:cs="Times New Roman"/>
          <w:sz w:val="22"/>
          <w:szCs w:val="22"/>
        </w:rPr>
        <w:t>prace rozbiórkowe, demontażowe,</w:t>
      </w:r>
    </w:p>
    <w:p>
      <w:pPr>
        <w:pStyle w:val="248"/>
        <w:widowControl w:val="0"/>
        <w:numPr>
          <w:ilvl w:val="0"/>
          <w:numId w:val="60"/>
        </w:numPr>
        <w:tabs>
          <w:tab w:val="left" w:pos="60"/>
        </w:tabs>
        <w:spacing w:line="276" w:lineRule="auto"/>
        <w:ind w:left="680" w:hanging="340"/>
        <w:rPr>
          <w:rFonts w:ascii="Times New Roman" w:hAnsi="Times New Roman" w:cs="Times New Roman"/>
          <w:sz w:val="22"/>
          <w:szCs w:val="22"/>
        </w:rPr>
      </w:pPr>
      <w:r>
        <w:rPr>
          <w:rFonts w:ascii="Times New Roman" w:hAnsi="Times New Roman" w:cs="Times New Roman"/>
          <w:sz w:val="22"/>
          <w:szCs w:val="22"/>
        </w:rPr>
        <w:t>roboty ziemne,</w:t>
      </w:r>
    </w:p>
    <w:p>
      <w:pPr>
        <w:pStyle w:val="248"/>
        <w:widowControl w:val="0"/>
        <w:numPr>
          <w:ilvl w:val="0"/>
          <w:numId w:val="60"/>
        </w:numPr>
        <w:tabs>
          <w:tab w:val="left" w:pos="60"/>
        </w:tabs>
        <w:spacing w:line="276" w:lineRule="auto"/>
        <w:ind w:left="680" w:hanging="340"/>
        <w:rPr>
          <w:rFonts w:ascii="Times New Roman" w:hAnsi="Times New Roman" w:cs="Times New Roman"/>
          <w:sz w:val="22"/>
          <w:szCs w:val="22"/>
        </w:rPr>
      </w:pPr>
      <w:r>
        <w:rPr>
          <w:rFonts w:ascii="Times New Roman" w:hAnsi="Times New Roman" w:cs="Times New Roman"/>
          <w:sz w:val="22"/>
          <w:szCs w:val="22"/>
        </w:rPr>
        <w:t>prace przy układaniu kostki betonowej,</w:t>
      </w:r>
    </w:p>
    <w:p>
      <w:pPr>
        <w:pStyle w:val="248"/>
        <w:widowControl w:val="0"/>
        <w:numPr>
          <w:ilvl w:val="0"/>
          <w:numId w:val="60"/>
        </w:numPr>
        <w:tabs>
          <w:tab w:val="left" w:pos="60"/>
        </w:tabs>
        <w:spacing w:line="276" w:lineRule="auto"/>
        <w:ind w:left="680" w:hanging="340"/>
        <w:rPr>
          <w:rFonts w:ascii="Times New Roman" w:hAnsi="Times New Roman" w:cs="Times New Roman"/>
          <w:sz w:val="22"/>
          <w:szCs w:val="22"/>
        </w:rPr>
      </w:pPr>
      <w:r>
        <w:rPr>
          <w:rFonts w:ascii="Times New Roman" w:hAnsi="Times New Roman" w:cs="Times New Roman"/>
          <w:sz w:val="22"/>
          <w:szCs w:val="22"/>
        </w:rPr>
        <w:t>prace murarskie, tynkarskie, dekarskie,</w:t>
      </w:r>
    </w:p>
    <w:p>
      <w:pPr>
        <w:pStyle w:val="248"/>
        <w:widowControl w:val="0"/>
        <w:numPr>
          <w:ilvl w:val="0"/>
          <w:numId w:val="60"/>
        </w:numPr>
        <w:tabs>
          <w:tab w:val="left" w:pos="60"/>
        </w:tabs>
        <w:spacing w:line="276" w:lineRule="auto"/>
        <w:ind w:left="680" w:hanging="340"/>
        <w:rPr>
          <w:rFonts w:ascii="Times New Roman" w:hAnsi="Times New Roman" w:cs="Times New Roman"/>
          <w:sz w:val="22"/>
          <w:szCs w:val="22"/>
        </w:rPr>
      </w:pPr>
      <w:r>
        <w:rPr>
          <w:rFonts w:ascii="Times New Roman" w:hAnsi="Times New Roman" w:cs="Times New Roman"/>
          <w:sz w:val="22"/>
          <w:szCs w:val="22"/>
        </w:rPr>
        <w:t>prace cieślarskie,</w:t>
      </w:r>
    </w:p>
    <w:p>
      <w:pPr>
        <w:pStyle w:val="248"/>
        <w:widowControl w:val="0"/>
        <w:numPr>
          <w:ilvl w:val="0"/>
          <w:numId w:val="60"/>
        </w:numPr>
        <w:tabs>
          <w:tab w:val="left" w:pos="60"/>
        </w:tabs>
        <w:spacing w:line="276" w:lineRule="auto"/>
        <w:ind w:left="680" w:hanging="340"/>
        <w:rPr>
          <w:rFonts w:ascii="Times New Roman" w:hAnsi="Times New Roman" w:cs="Times New Roman"/>
          <w:sz w:val="22"/>
          <w:szCs w:val="22"/>
        </w:rPr>
      </w:pPr>
      <w:r>
        <w:rPr>
          <w:rFonts w:ascii="Times New Roman" w:hAnsi="Times New Roman" w:cs="Times New Roman"/>
          <w:sz w:val="22"/>
          <w:szCs w:val="22"/>
        </w:rPr>
        <w:t>prace zbrojarskie betonowe i żelbetonowe,</w:t>
      </w:r>
    </w:p>
    <w:p>
      <w:pPr>
        <w:pStyle w:val="248"/>
        <w:widowControl w:val="0"/>
        <w:numPr>
          <w:ilvl w:val="0"/>
          <w:numId w:val="60"/>
        </w:numPr>
        <w:tabs>
          <w:tab w:val="left" w:pos="60"/>
        </w:tabs>
        <w:spacing w:line="276" w:lineRule="auto"/>
        <w:ind w:left="680" w:hanging="340"/>
        <w:rPr>
          <w:rFonts w:ascii="Times New Roman" w:hAnsi="Times New Roman" w:cs="Times New Roman"/>
          <w:sz w:val="22"/>
          <w:szCs w:val="22"/>
        </w:rPr>
      </w:pPr>
      <w:r>
        <w:rPr>
          <w:rFonts w:ascii="Times New Roman" w:hAnsi="Times New Roman" w:cs="Times New Roman"/>
          <w:sz w:val="22"/>
          <w:szCs w:val="22"/>
        </w:rPr>
        <w:t>roboty instalacyjne i montażowe,</w:t>
      </w:r>
    </w:p>
    <w:p>
      <w:pPr>
        <w:pStyle w:val="248"/>
        <w:widowControl w:val="0"/>
        <w:numPr>
          <w:ilvl w:val="0"/>
          <w:numId w:val="60"/>
        </w:numPr>
        <w:tabs>
          <w:tab w:val="left" w:pos="60"/>
        </w:tabs>
        <w:spacing w:line="276" w:lineRule="auto"/>
        <w:ind w:left="680" w:hanging="340"/>
        <w:rPr>
          <w:rFonts w:ascii="Times New Roman" w:hAnsi="Times New Roman" w:cs="Times New Roman"/>
          <w:sz w:val="22"/>
          <w:szCs w:val="22"/>
        </w:rPr>
      </w:pPr>
      <w:r>
        <w:rPr>
          <w:rFonts w:ascii="Times New Roman" w:hAnsi="Times New Roman" w:cs="Times New Roman"/>
          <w:sz w:val="22"/>
          <w:szCs w:val="22"/>
        </w:rPr>
        <w:t>roboty wykończeniowe,</w:t>
      </w:r>
    </w:p>
    <w:p>
      <w:pPr>
        <w:pStyle w:val="248"/>
        <w:widowControl w:val="0"/>
        <w:numPr>
          <w:ilvl w:val="0"/>
          <w:numId w:val="60"/>
        </w:numPr>
        <w:tabs>
          <w:tab w:val="left" w:pos="60"/>
        </w:tabs>
        <w:spacing w:line="276" w:lineRule="auto"/>
        <w:ind w:left="680" w:hanging="340"/>
        <w:rPr>
          <w:rFonts w:ascii="Times New Roman" w:hAnsi="Times New Roman" w:cs="Times New Roman"/>
          <w:sz w:val="22"/>
          <w:szCs w:val="22"/>
        </w:rPr>
      </w:pPr>
      <w:r>
        <w:rPr>
          <w:rFonts w:ascii="Times New Roman" w:hAnsi="Times New Roman" w:cs="Times New Roman"/>
          <w:sz w:val="22"/>
          <w:szCs w:val="22"/>
        </w:rPr>
        <w:t>roboty malarskie,</w:t>
      </w:r>
    </w:p>
    <w:p>
      <w:pPr>
        <w:pStyle w:val="248"/>
        <w:widowControl w:val="0"/>
        <w:numPr>
          <w:ilvl w:val="0"/>
          <w:numId w:val="60"/>
        </w:numPr>
        <w:tabs>
          <w:tab w:val="left" w:pos="60"/>
        </w:tabs>
        <w:spacing w:line="276" w:lineRule="auto"/>
        <w:ind w:left="680" w:hanging="340"/>
        <w:rPr>
          <w:rFonts w:ascii="Times New Roman" w:hAnsi="Times New Roman" w:cs="Times New Roman"/>
          <w:sz w:val="22"/>
          <w:szCs w:val="22"/>
        </w:rPr>
      </w:pPr>
      <w:r>
        <w:rPr>
          <w:rFonts w:ascii="Times New Roman" w:hAnsi="Times New Roman" w:cs="Times New Roman"/>
          <w:sz w:val="22"/>
          <w:szCs w:val="22"/>
        </w:rPr>
        <w:t>prace na wysokości.</w:t>
      </w:r>
    </w:p>
    <w:p>
      <w:pPr>
        <w:numPr>
          <w:ilvl w:val="0"/>
          <w:numId w:val="59"/>
        </w:numPr>
        <w:tabs>
          <w:tab w:val="left" w:pos="335"/>
          <w:tab w:val="clear" w:pos="720"/>
        </w:tabs>
        <w:spacing w:line="276" w:lineRule="auto"/>
        <w:ind w:left="340" w:hanging="340"/>
        <w:jc w:val="both"/>
        <w:rPr>
          <w:color w:val="000000"/>
          <w:highlight w:val="white"/>
        </w:rPr>
      </w:pPr>
      <w:r>
        <w:rPr>
          <w:color w:val="000000"/>
          <w:highlight w:val="white"/>
        </w:rPr>
        <w:t>Wykonawca lub Podwykonawca zatrudni osoby, o których mowa w ust. 1, na okres realizacji zamówienia. W przypadku rozwiązania stosunku pracy przed zakończeniem tego okresu, zobowiązuje się do niezwłocznego zatrudnienia na to miejsce innej osoby.</w:t>
      </w:r>
    </w:p>
    <w:p>
      <w:pPr>
        <w:numPr>
          <w:ilvl w:val="0"/>
          <w:numId w:val="59"/>
        </w:numPr>
        <w:tabs>
          <w:tab w:val="left" w:pos="335"/>
          <w:tab w:val="clear" w:pos="720"/>
        </w:tabs>
        <w:spacing w:line="276" w:lineRule="auto"/>
        <w:ind w:left="340" w:hanging="340"/>
        <w:jc w:val="both"/>
      </w:pPr>
      <w:r>
        <w:rPr>
          <w:color w:val="000000"/>
        </w:rPr>
        <w:t>Najpóźniej w dniu przejęcia terenu budowy Wykonawca dostarczy Zamawiającemu kompletny Wykaz Pracowników przeznaczonych do realizacji zamówienia ze wskazaniem imienia i nazwiska zatrudnionego pracownika, podstawy dysponowania tymi osobami oraz z przypisanymi do tych osób czynnościami, które będą wykonywać w ramach umowy o pracę.</w:t>
      </w:r>
    </w:p>
    <w:p>
      <w:pPr>
        <w:numPr>
          <w:ilvl w:val="0"/>
          <w:numId w:val="59"/>
        </w:numPr>
        <w:tabs>
          <w:tab w:val="left" w:pos="335"/>
          <w:tab w:val="clear" w:pos="720"/>
        </w:tabs>
        <w:spacing w:line="276" w:lineRule="auto"/>
        <w:ind w:left="340" w:hanging="340"/>
        <w:jc w:val="both"/>
      </w:pPr>
      <w:r>
        <w:rPr>
          <w:color w:val="000000"/>
        </w:rPr>
        <w:t>Roboty budowlane objęte przedmiotem umowy będą świadczone przez osoby zatrudnione na podstawie stosunku pracy w rozumieniu przepisów Kodeksu pracy - zwane Pracownikami.</w:t>
      </w:r>
    </w:p>
    <w:p>
      <w:pPr>
        <w:numPr>
          <w:ilvl w:val="0"/>
          <w:numId w:val="59"/>
        </w:numPr>
        <w:tabs>
          <w:tab w:val="left" w:pos="335"/>
          <w:tab w:val="clear" w:pos="720"/>
        </w:tabs>
        <w:spacing w:line="276" w:lineRule="auto"/>
        <w:ind w:left="340" w:hanging="340"/>
        <w:jc w:val="both"/>
      </w:pPr>
      <w:r>
        <w:rPr>
          <w:color w:val="000000"/>
        </w:rPr>
        <w:t>Wykonawca zobowiązuje się, że Pracownicy wykonujący przedmiot umowy wskazani w Wykazie Pracowników będą w okresie realizacji umowy zatrudnieni na podstawie stosunku pracy w rozumieniu przepisów ustawy z dnia 26 czerwca 1974 r. - Kodeks pracy (t. j. Dz. U. z 2022 r., poz. 1510 z późn. zm.) oraz otrzymywać wynagrodzenie za pracę równe lub przekraczające równowartość wysokości wynagrodzenia minimalnego, o którym mowa w ustawie z dnia 10 października 2002 r. o minimalnym wynagrodzeniu za pracę (t.j. Dz. U. z 2020 r., poz. 2207).</w:t>
      </w:r>
    </w:p>
    <w:p>
      <w:pPr>
        <w:numPr>
          <w:ilvl w:val="0"/>
          <w:numId w:val="59"/>
        </w:numPr>
        <w:tabs>
          <w:tab w:val="left" w:pos="335"/>
          <w:tab w:val="clear" w:pos="720"/>
        </w:tabs>
        <w:spacing w:line="276" w:lineRule="auto"/>
        <w:ind w:left="340" w:hanging="340"/>
        <w:jc w:val="both"/>
      </w:pPr>
      <w:r>
        <w:rPr>
          <w:color w:val="000000"/>
        </w:rPr>
        <w:t>W celu weryfikacji czy osoby wskazane w Wykazie Pracowników są zatrudnione na podstawie stosunku pracy Zamawiający przewiduje możliwość zwrócenia się z wnioskiem o przeprowadzenie kontroli przez Państwową Inspekcję Pracy.</w:t>
      </w:r>
    </w:p>
    <w:p>
      <w:pPr>
        <w:numPr>
          <w:ilvl w:val="0"/>
          <w:numId w:val="59"/>
        </w:numPr>
        <w:tabs>
          <w:tab w:val="left" w:pos="335"/>
          <w:tab w:val="clear" w:pos="720"/>
        </w:tabs>
        <w:spacing w:line="276" w:lineRule="auto"/>
        <w:ind w:left="340" w:hanging="340"/>
        <w:jc w:val="both"/>
        <w:rPr>
          <w:color w:val="000000"/>
        </w:rPr>
      </w:pPr>
      <w:r>
        <w:rPr>
          <w:color w:val="000000"/>
        </w:rPr>
        <w:t>W celu kontroli przestrzegania postanowień umowy przez Wykonawcę przedstawiciel Zamawiającego uprawniony jest w każdym czasie do weryfikacji Personelu Wykonawcy uczestniczącego w realizacji przedmiotu umowy.</w:t>
      </w:r>
    </w:p>
    <w:p>
      <w:pPr>
        <w:numPr>
          <w:ilvl w:val="0"/>
          <w:numId w:val="59"/>
        </w:numPr>
        <w:tabs>
          <w:tab w:val="left" w:pos="335"/>
          <w:tab w:val="clear" w:pos="720"/>
        </w:tabs>
        <w:spacing w:line="276" w:lineRule="auto"/>
        <w:ind w:left="340" w:hanging="340"/>
        <w:jc w:val="both"/>
      </w:pPr>
      <w:r>
        <w:rPr>
          <w:color w:val="000000"/>
        </w:rPr>
        <w:t>Zamawiający dopuszcza możliwość zmiany osób, przy pomocy których Wykonawca świadczyć będzie przedmiot umowy, na inne posiadające, co najmniej taką samą wiedzę, doświadczenie i kwalifikacje opisane w SWZ z zachowaniem wymogów dotyczących zatrudniania na podstawie stosunku pracy. O planowanej zmianie osób, przy pomocy których Wykonawca wykonuje Przedmiot Umowy, Wykonawca zobowiązany jest niezwłocznie powiadomić Zamawiającego na piśmie przed dopuszczeniem tych osób do wykonywania prac.</w:t>
      </w:r>
    </w:p>
    <w:p>
      <w:pPr>
        <w:numPr>
          <w:ilvl w:val="0"/>
          <w:numId w:val="59"/>
        </w:numPr>
        <w:tabs>
          <w:tab w:val="left" w:pos="335"/>
          <w:tab w:val="clear" w:pos="720"/>
        </w:tabs>
        <w:spacing w:line="276" w:lineRule="auto"/>
        <w:ind w:left="340" w:hanging="340"/>
        <w:jc w:val="both"/>
      </w:pPr>
      <w:r>
        <w:rPr>
          <w:color w:val="000000"/>
        </w:rPr>
        <w:t>Za niedopełnienie wymogu zatrudniania Pracowników świadczących przedmiot umowy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przedmiot umowy na podstawie stosunku pracy w rozumieniu przepisów Kodeksu Pracy) oraz liczby miesięcy w okresie realizacji Umowy, w których nie dopełniono przedmiotowego wymogu – za każdą osobę wykonującą roboty bez podpisanej umowy o pracę zgodnie z Wykazem Pracowników o którym mowa w ust 3.</w:t>
      </w:r>
    </w:p>
    <w:p>
      <w:pPr>
        <w:numPr>
          <w:ilvl w:val="0"/>
          <w:numId w:val="59"/>
        </w:numPr>
        <w:tabs>
          <w:tab w:val="left" w:pos="335"/>
          <w:tab w:val="clear" w:pos="720"/>
        </w:tabs>
        <w:spacing w:line="276" w:lineRule="auto"/>
        <w:ind w:left="340" w:hanging="340"/>
        <w:jc w:val="both"/>
        <w:rPr>
          <w:b/>
          <w:color w:val="000000"/>
        </w:rPr>
      </w:pPr>
      <w:r>
        <w:rPr>
          <w:color w:val="000000"/>
        </w:rPr>
        <w:t>Wykonawca na każde wezwanie Zamawiającego zobowiązuje się przedstawić bieżące dokumenty/ oświadczenia potwierdzające, że Przedmiot Umowy jest wykonywany przez osoby będące Pracownikami.</w:t>
      </w:r>
    </w:p>
    <w:p>
      <w:pPr>
        <w:tabs>
          <w:tab w:val="left" w:pos="335"/>
          <w:tab w:val="left" w:pos="720"/>
        </w:tabs>
        <w:spacing w:line="276" w:lineRule="auto"/>
        <w:jc w:val="both"/>
        <w:rPr>
          <w:color w:val="000000"/>
        </w:rPr>
      </w:pPr>
    </w:p>
    <w:p>
      <w:pPr>
        <w:tabs>
          <w:tab w:val="left" w:pos="335"/>
          <w:tab w:val="left" w:pos="720"/>
        </w:tabs>
        <w:spacing w:line="276" w:lineRule="auto"/>
        <w:jc w:val="both"/>
        <w:rPr>
          <w:b/>
          <w:color w:val="000000"/>
        </w:rPr>
      </w:pPr>
      <w:bookmarkStart w:id="2" w:name="_GoBack"/>
      <w:bookmarkEnd w:id="2"/>
    </w:p>
    <w:p>
      <w:pPr>
        <w:spacing w:line="276" w:lineRule="auto"/>
        <w:jc w:val="center"/>
        <w:rPr>
          <w:rFonts w:hint="default"/>
          <w:lang w:val="pl-PL"/>
        </w:rPr>
      </w:pPr>
      <w:r>
        <w:rPr>
          <w:b/>
          <w:color w:val="000000"/>
        </w:rPr>
        <w:t>§ 1</w:t>
      </w:r>
      <w:r>
        <w:rPr>
          <w:rFonts w:hint="default"/>
          <w:b/>
          <w:color w:val="000000"/>
          <w:lang w:val="pl-PL"/>
        </w:rPr>
        <w:t>9</w:t>
      </w:r>
    </w:p>
    <w:p>
      <w:pPr>
        <w:spacing w:line="276" w:lineRule="auto"/>
        <w:jc w:val="center"/>
        <w:rPr>
          <w:b/>
          <w:color w:val="000000"/>
          <w:lang w:eastAsia="zh-CN" w:bidi="ar-SA"/>
        </w:rPr>
      </w:pPr>
      <w:r>
        <w:rPr>
          <w:b/>
          <w:color w:val="000000"/>
          <w:lang w:eastAsia="zh-CN" w:bidi="ar-SA"/>
        </w:rPr>
        <w:t>Informacja RODO</w:t>
      </w:r>
    </w:p>
    <w:p>
      <w:pPr>
        <w:spacing w:line="276" w:lineRule="auto"/>
        <w:jc w:val="both"/>
        <w:rPr>
          <w:b/>
          <w:bCs/>
          <w:color w:val="000000"/>
        </w:rPr>
      </w:pPr>
    </w:p>
    <w:p>
      <w:pPr>
        <w:pStyle w:val="251"/>
        <w:widowControl/>
        <w:numPr>
          <w:ilvl w:val="0"/>
          <w:numId w:val="61"/>
        </w:numPr>
        <w:tabs>
          <w:tab w:val="left" w:pos="335"/>
          <w:tab w:val="clear" w:pos="720"/>
        </w:tabs>
        <w:spacing w:line="276" w:lineRule="auto"/>
        <w:ind w:left="340" w:hanging="340"/>
        <w:jc w:val="both"/>
        <w:rPr>
          <w:szCs w:val="22"/>
        </w:rPr>
      </w:pPr>
      <w:r>
        <w:rPr>
          <w:rStyle w:val="198"/>
          <w:color w:val="auto"/>
          <w:szCs w:val="22"/>
          <w:lang w:bidi="hi-IN"/>
        </w:rPr>
        <w:t xml:space="preserve">Administratorem danych jest </w:t>
      </w:r>
      <w:r>
        <w:rPr>
          <w:rStyle w:val="198"/>
          <w:b/>
          <w:color w:val="auto"/>
          <w:szCs w:val="22"/>
          <w:lang w:eastAsia="pl-PL" w:bidi="hi-IN"/>
        </w:rPr>
        <w:t xml:space="preserve">Urząd Miejski w Nowym Stawie reprezentowany przez Burmistrza Nowego Stawu, ul. Gen. Józefa Bema 1, 82-230 Nowy Staw. </w:t>
      </w:r>
      <w:r>
        <w:rPr>
          <w:rStyle w:val="198"/>
          <w:bCs/>
          <w:color w:val="auto"/>
          <w:szCs w:val="22"/>
          <w:lang w:eastAsia="pl-PL" w:bidi="hi-IN"/>
        </w:rPr>
        <w:t>Kontakt</w:t>
      </w:r>
      <w:r>
        <w:rPr>
          <w:rStyle w:val="198"/>
          <w:bCs/>
          <w:color w:val="auto"/>
          <w:szCs w:val="22"/>
          <w:lang w:val="en-US" w:eastAsia="pl-PL" w:bidi="hi-IN"/>
        </w:rPr>
        <w:t xml:space="preserve"> </w:t>
      </w:r>
      <w:r>
        <w:rPr>
          <w:rStyle w:val="198"/>
          <w:bCs/>
          <w:color w:val="auto"/>
          <w:szCs w:val="22"/>
          <w:lang w:eastAsia="pl-PL" w:bidi="hi-IN"/>
        </w:rPr>
        <w:t xml:space="preserve">z administratorem możliwy jest osobiście lub korespondencyjnie na wskazany adres, telefonicznie pod numerami tel. +48 55 271 51 00, +48 55 271 51 10, +48 55 271 51 20 lub za pośrednictwem poczty elektronicznej: </w:t>
      </w:r>
      <w:r>
        <w:fldChar w:fldCharType="begin"/>
      </w:r>
      <w:r>
        <w:instrText xml:space="preserve"> HYPERLINK "mailto:um@nowystaw.pl" \h </w:instrText>
      </w:r>
      <w:r>
        <w:fldChar w:fldCharType="separate"/>
      </w:r>
      <w:r>
        <w:rPr>
          <w:rStyle w:val="203"/>
          <w:bCs/>
          <w:color w:val="0563C1"/>
          <w:szCs w:val="22"/>
          <w:lang w:eastAsia="pl-PL"/>
        </w:rPr>
        <w:t>um@nowystaw.pl</w:t>
      </w:r>
      <w:r>
        <w:rPr>
          <w:rStyle w:val="203"/>
          <w:bCs/>
          <w:color w:val="0563C1"/>
          <w:szCs w:val="22"/>
          <w:lang w:eastAsia="pl-PL"/>
        </w:rPr>
        <w:fldChar w:fldCharType="end"/>
      </w:r>
      <w:r>
        <w:rPr>
          <w:rStyle w:val="203"/>
          <w:bCs/>
          <w:color w:val="auto"/>
          <w:szCs w:val="22"/>
          <w:lang w:eastAsia="pl-PL"/>
        </w:rPr>
        <w:t>.</w:t>
      </w:r>
    </w:p>
    <w:p>
      <w:pPr>
        <w:pStyle w:val="251"/>
        <w:widowControl/>
        <w:numPr>
          <w:ilvl w:val="0"/>
          <w:numId w:val="61"/>
        </w:numPr>
        <w:tabs>
          <w:tab w:val="left" w:pos="335"/>
          <w:tab w:val="clear" w:pos="720"/>
        </w:tabs>
        <w:spacing w:line="276" w:lineRule="auto"/>
        <w:ind w:left="340" w:hanging="340"/>
        <w:jc w:val="both"/>
        <w:rPr>
          <w:szCs w:val="22"/>
        </w:rPr>
      </w:pPr>
      <w:r>
        <w:rPr>
          <w:rStyle w:val="198"/>
          <w:color w:val="auto"/>
          <w:szCs w:val="22"/>
          <w:lang w:bidi="hi-IN"/>
        </w:rPr>
        <w:t xml:space="preserve">W sprawach związanych z przetwarzaniem danych osobowych, a także przysługujących w tym zakresie praw można kontaktować się z Inspektorem Ochrony Danych wyznaczonym w Jednostce za pomocą poczty elektronicznej: </w:t>
      </w:r>
      <w:r>
        <w:fldChar w:fldCharType="begin"/>
      </w:r>
      <w:r>
        <w:instrText xml:space="preserve"> HYPERLINK "mailto:iod@nowystaw.pl" \h </w:instrText>
      </w:r>
      <w:r>
        <w:fldChar w:fldCharType="separate"/>
      </w:r>
      <w:r>
        <w:rPr>
          <w:rStyle w:val="203"/>
          <w:color w:val="0563C1"/>
          <w:szCs w:val="22"/>
        </w:rPr>
        <w:t>iod@nowystaw.pl</w:t>
      </w:r>
      <w:r>
        <w:rPr>
          <w:rStyle w:val="203"/>
          <w:color w:val="0563C1"/>
          <w:szCs w:val="22"/>
        </w:rPr>
        <w:fldChar w:fldCharType="end"/>
      </w:r>
      <w:r>
        <w:rPr>
          <w:rStyle w:val="203"/>
          <w:color w:val="auto"/>
          <w:szCs w:val="22"/>
        </w:rPr>
        <w:t xml:space="preserve"> </w:t>
      </w:r>
    </w:p>
    <w:p>
      <w:pPr>
        <w:pStyle w:val="251"/>
        <w:widowControl/>
        <w:numPr>
          <w:ilvl w:val="0"/>
          <w:numId w:val="61"/>
        </w:numPr>
        <w:tabs>
          <w:tab w:val="left" w:pos="335"/>
          <w:tab w:val="clear" w:pos="720"/>
        </w:tabs>
        <w:spacing w:line="276" w:lineRule="auto"/>
        <w:ind w:left="340" w:hanging="340"/>
        <w:jc w:val="both"/>
        <w:rPr>
          <w:szCs w:val="22"/>
          <w:lang w:eastAsia="pl-PL"/>
        </w:rPr>
      </w:pPr>
      <w:r>
        <w:rPr>
          <w:szCs w:val="22"/>
          <w:lang w:eastAsia="pl-PL"/>
        </w:rPr>
        <w:t>Dane osobowe przetwarzane będą na podstawie:</w:t>
      </w:r>
    </w:p>
    <w:p>
      <w:pPr>
        <w:pStyle w:val="242"/>
        <w:widowControl/>
        <w:numPr>
          <w:ilvl w:val="0"/>
          <w:numId w:val="62"/>
        </w:numPr>
        <w:spacing w:line="276" w:lineRule="auto"/>
        <w:ind w:left="680" w:hanging="340"/>
        <w:jc w:val="both"/>
        <w:rPr>
          <w:rFonts w:ascii="Times New Roman" w:hAnsi="Times New Roman" w:cs="Times New Roman"/>
          <w:sz w:val="22"/>
        </w:rPr>
      </w:pPr>
      <w:r>
        <w:rPr>
          <w:rFonts w:ascii="Times New Roman" w:hAnsi="Times New Roman" w:eastAsia="Times New Roman" w:cs="Times New Roman"/>
          <w:sz w:val="22"/>
        </w:rPr>
        <w:t xml:space="preserve">art. 6 ust. 1 lit. b RODO tj. </w:t>
      </w:r>
      <w:r>
        <w:rPr>
          <w:rFonts w:ascii="Times New Roman" w:hAnsi="Times New Roman" w:cs="Times New Roman"/>
          <w:sz w:val="22"/>
        </w:rPr>
        <w:t xml:space="preserve">przetwarzanie jest niezbędne do wykonania umowy, której stroną jest osoba, której dane dotyczą, lub do podjęcia działań na żądanie osoby, której dane dotyczą, przed zawarciem umowy. </w:t>
      </w:r>
    </w:p>
    <w:p>
      <w:pPr>
        <w:pStyle w:val="242"/>
        <w:widowControl/>
        <w:numPr>
          <w:ilvl w:val="0"/>
          <w:numId w:val="62"/>
        </w:numPr>
        <w:spacing w:line="276" w:lineRule="auto"/>
        <w:ind w:left="680" w:hanging="340"/>
        <w:jc w:val="both"/>
        <w:rPr>
          <w:rFonts w:ascii="Times New Roman" w:hAnsi="Times New Roman" w:eastAsia="Times New Roman" w:cs="Times New Roman"/>
          <w:sz w:val="22"/>
        </w:rPr>
      </w:pPr>
      <w:r>
        <w:rPr>
          <w:rFonts w:ascii="Times New Roman" w:hAnsi="Times New Roman" w:eastAsia="Times New Roman" w:cs="Times New Roman"/>
          <w:sz w:val="22"/>
        </w:rPr>
        <w:t>art. 6 ust. 1 lit. c RODO tj. przetwarzanie jest niezbędne do wypełnienia obowiązku prawnego ciążącego na administratorze.</w:t>
      </w:r>
    </w:p>
    <w:p>
      <w:pPr>
        <w:pStyle w:val="251"/>
        <w:widowControl/>
        <w:numPr>
          <w:ilvl w:val="0"/>
          <w:numId w:val="61"/>
        </w:numPr>
        <w:tabs>
          <w:tab w:val="left" w:pos="335"/>
          <w:tab w:val="clear" w:pos="720"/>
        </w:tabs>
        <w:spacing w:line="276" w:lineRule="auto"/>
        <w:ind w:left="340" w:hanging="340"/>
        <w:jc w:val="both"/>
        <w:rPr>
          <w:color w:val="auto"/>
          <w:kern w:val="0"/>
          <w:szCs w:val="22"/>
          <w:lang w:eastAsia="pl-PL"/>
        </w:rPr>
      </w:pPr>
      <w:r>
        <w:rPr>
          <w:color w:val="auto"/>
          <w:kern w:val="0"/>
          <w:szCs w:val="22"/>
          <w:lang w:eastAsia="pl-PL"/>
        </w:rPr>
        <w:t>Podstawą prawną ich przetwarzania są w szczególności przepisy:</w:t>
      </w:r>
    </w:p>
    <w:p>
      <w:pPr>
        <w:pStyle w:val="251"/>
        <w:widowControl/>
        <w:numPr>
          <w:ilvl w:val="0"/>
          <w:numId w:val="63"/>
        </w:numPr>
        <w:spacing w:line="276" w:lineRule="auto"/>
        <w:ind w:left="680" w:hanging="340"/>
        <w:jc w:val="both"/>
        <w:rPr>
          <w:color w:val="auto"/>
          <w:kern w:val="0"/>
          <w:szCs w:val="22"/>
          <w:lang w:eastAsia="pl-PL"/>
        </w:rPr>
      </w:pPr>
      <w:r>
        <w:rPr>
          <w:color w:val="auto"/>
          <w:kern w:val="0"/>
          <w:szCs w:val="22"/>
          <w:lang w:eastAsia="pl-PL"/>
        </w:rPr>
        <w:t>Ustawy z dnia 11 września 2019 r. Prawo zamówień publicznych,</w:t>
      </w:r>
    </w:p>
    <w:p>
      <w:pPr>
        <w:pStyle w:val="251"/>
        <w:widowControl/>
        <w:numPr>
          <w:ilvl w:val="0"/>
          <w:numId w:val="63"/>
        </w:numPr>
        <w:spacing w:line="276" w:lineRule="auto"/>
        <w:ind w:left="680" w:hanging="340"/>
        <w:jc w:val="both"/>
        <w:rPr>
          <w:szCs w:val="22"/>
        </w:rPr>
      </w:pPr>
      <w:r>
        <w:rPr>
          <w:szCs w:val="22"/>
        </w:rPr>
        <w:t>Ustawy z dnia 27 sierpnia 2009 r. o finansach publicznych</w:t>
      </w:r>
    </w:p>
    <w:p>
      <w:pPr>
        <w:pStyle w:val="251"/>
        <w:widowControl/>
        <w:numPr>
          <w:ilvl w:val="0"/>
          <w:numId w:val="63"/>
        </w:numPr>
        <w:spacing w:line="276" w:lineRule="auto"/>
        <w:ind w:left="680" w:hanging="340"/>
        <w:jc w:val="both"/>
        <w:rPr>
          <w:szCs w:val="22"/>
        </w:rPr>
      </w:pPr>
      <w:r>
        <w:rPr>
          <w:szCs w:val="22"/>
        </w:rPr>
        <w:t xml:space="preserve">Ustawy z dnia 29 września 1994 r. o rachunkowości </w:t>
      </w:r>
    </w:p>
    <w:p>
      <w:pPr>
        <w:pStyle w:val="251"/>
        <w:widowControl/>
        <w:spacing w:line="276" w:lineRule="auto"/>
        <w:ind w:left="680" w:hanging="340"/>
        <w:jc w:val="both"/>
        <w:rPr>
          <w:szCs w:val="22"/>
        </w:rPr>
      </w:pPr>
      <w:r>
        <w:rPr>
          <w:szCs w:val="22"/>
        </w:rPr>
        <w:t>oraz przepisów podatkowych.</w:t>
      </w:r>
    </w:p>
    <w:p>
      <w:pPr>
        <w:pStyle w:val="242"/>
        <w:widowControl/>
        <w:numPr>
          <w:ilvl w:val="0"/>
          <w:numId w:val="61"/>
        </w:numPr>
        <w:tabs>
          <w:tab w:val="left" w:pos="335"/>
          <w:tab w:val="clear" w:pos="720"/>
        </w:tabs>
        <w:spacing w:line="276" w:lineRule="auto"/>
        <w:ind w:left="340" w:hanging="340"/>
        <w:jc w:val="both"/>
        <w:rPr>
          <w:rFonts w:ascii="Times New Roman" w:hAnsi="Times New Roman" w:cs="Times New Roman"/>
          <w:sz w:val="22"/>
        </w:rPr>
      </w:pPr>
      <w:r>
        <w:rPr>
          <w:rStyle w:val="198"/>
          <w:rFonts w:ascii="Times New Roman" w:hAnsi="Times New Roman" w:eastAsia="Calibri" w:cs="Times New Roman"/>
          <w:sz w:val="22"/>
          <w:lang w:eastAsia="hi-IN"/>
        </w:rPr>
        <w:t xml:space="preserve">Odbiorcami Pani/Pana danych osobowych będą </w:t>
      </w:r>
      <w:r>
        <w:rPr>
          <w:rStyle w:val="198"/>
          <w:rFonts w:ascii="Times New Roman" w:hAnsi="Times New Roman" w:eastAsia="Calibri" w:cs="Times New Roman"/>
          <w:sz w:val="22"/>
          <w:lang w:eastAsia="en-US"/>
        </w:rPr>
        <w:t xml:space="preserve">osoby lub podmioty, którym udostępniona zostanie dokumentacja postępowania w oparciu o art. 18 oraz art. 74 ustawy Pzp oraz </w:t>
      </w:r>
      <w:r>
        <w:rPr>
          <w:rStyle w:val="198"/>
          <w:rFonts w:ascii="Times New Roman" w:hAnsi="Times New Roman" w:eastAsia="Calibri" w:cs="Times New Roman"/>
          <w:sz w:val="22"/>
          <w:lang w:eastAsia="hi-IN"/>
        </w:rPr>
        <w:t>zgodnie z zasadami określonymi w umowie o dofinansowanie,</w:t>
      </w:r>
      <w:r>
        <w:rPr>
          <w:rStyle w:val="198"/>
          <w:rFonts w:ascii="Times New Roman" w:hAnsi="Times New Roman" w:eastAsia="Calibri" w:cs="Times New Roman"/>
          <w:sz w:val="22"/>
          <w:lang w:eastAsia="en-US"/>
        </w:rPr>
        <w:t xml:space="preserve"> </w:t>
      </w:r>
      <w:r>
        <w:rPr>
          <w:rFonts w:ascii="Times New Roman" w:hAnsi="Times New Roman" w:cs="Times New Roman"/>
          <w:sz w:val="22"/>
        </w:rPr>
        <w:t>upoważnione z mocy prawa podmioty, w tym organy władzy publicznej oraz podmioty wykonujące zadania publiczne w zakresie i celach wynikających z przepisów prawa, dostawcy systemów IT, z którymi współpracuje Administrator, w celu utrzymania ciągłości  oraz poprawności działania systemów, podmiotom prowadzącym działalność pocztową lub kurierską,  w celu dostarczenia korespondencji, podmiotom z którymi współpracuje Administrator na podstawie stosownych umów powierzenia przetwarzania danych, a także osobom lub podmiotom, którym udostępniona zostanie dokumentacja postępowania w oparciu o przepisy ustawy z dnia 6 września 2001 r.  o dostępie do informacji publicznej.</w:t>
      </w:r>
    </w:p>
    <w:p>
      <w:pPr>
        <w:pStyle w:val="242"/>
        <w:widowControl/>
        <w:numPr>
          <w:ilvl w:val="0"/>
          <w:numId w:val="61"/>
        </w:numPr>
        <w:tabs>
          <w:tab w:val="left" w:pos="335"/>
          <w:tab w:val="clear" w:pos="720"/>
        </w:tabs>
        <w:spacing w:line="276" w:lineRule="auto"/>
        <w:ind w:left="340" w:hanging="340"/>
        <w:jc w:val="both"/>
        <w:rPr>
          <w:rFonts w:ascii="Times New Roman" w:hAnsi="Times New Roman" w:cs="Times New Roman"/>
          <w:sz w:val="22"/>
        </w:rPr>
      </w:pPr>
      <w:r>
        <w:rPr>
          <w:rFonts w:ascii="Times New Roman" w:hAnsi="Times New Roman" w:cs="Times New Roman"/>
          <w:bCs/>
          <w:sz w:val="22"/>
        </w:rPr>
        <w:t>Podanie</w:t>
      </w:r>
      <w:r>
        <w:rPr>
          <w:rFonts w:ascii="Times New Roman" w:hAnsi="Times New Roman" w:cs="Times New Roman"/>
          <w:sz w:val="22"/>
        </w:rPr>
        <w:t xml:space="preserve"> danych stanowi wymóg zawarcia i realizacji umowy.</w:t>
      </w:r>
    </w:p>
    <w:p>
      <w:pPr>
        <w:pStyle w:val="242"/>
        <w:widowControl/>
        <w:numPr>
          <w:ilvl w:val="0"/>
          <w:numId w:val="61"/>
        </w:numPr>
        <w:tabs>
          <w:tab w:val="left" w:pos="335"/>
          <w:tab w:val="clear" w:pos="720"/>
        </w:tabs>
        <w:spacing w:line="276" w:lineRule="auto"/>
        <w:ind w:left="340" w:hanging="340"/>
        <w:jc w:val="both"/>
        <w:rPr>
          <w:rFonts w:ascii="Times New Roman" w:hAnsi="Times New Roman" w:cs="Times New Roman"/>
          <w:sz w:val="22"/>
        </w:rPr>
      </w:pPr>
      <w:r>
        <w:rPr>
          <w:rFonts w:ascii="Times New Roman" w:hAnsi="Times New Roman" w:cs="Times New Roman"/>
          <w:sz w:val="22"/>
        </w:rPr>
        <w:t xml:space="preserve">Dane przechowywane będą przez czas trwania umowy </w:t>
      </w:r>
      <w:r>
        <w:rPr>
          <w:rFonts w:ascii="Times New Roman" w:hAnsi="Times New Roman" w:eastAsia="Arial" w:cs="Times New Roman"/>
          <w:sz w:val="22"/>
        </w:rPr>
        <w:t>oraz nie krócej niż przez okres przewidziany w instrukcji kancelaryjnej, stanowiącej załącznik nr 1 do rozporządzenia Prezesa Rady Ministrów z dnia 18 stycznia 2011 r. w sprawie instrukcji kancelaryjnej, jednolitych rzeczowych wykazów akt, instrukcji  w sprawie organizacji i zakresu działania archiwów zakładowych oraz umów o dofinansowanie.</w:t>
      </w:r>
    </w:p>
    <w:p>
      <w:pPr>
        <w:pStyle w:val="242"/>
        <w:widowControl/>
        <w:numPr>
          <w:ilvl w:val="0"/>
          <w:numId w:val="61"/>
        </w:numPr>
        <w:tabs>
          <w:tab w:val="left" w:pos="335"/>
          <w:tab w:val="clear" w:pos="720"/>
        </w:tabs>
        <w:spacing w:line="276" w:lineRule="auto"/>
        <w:ind w:left="340" w:hanging="340"/>
        <w:jc w:val="both"/>
        <w:rPr>
          <w:rFonts w:ascii="Times New Roman" w:hAnsi="Times New Roman" w:cs="Times New Roman"/>
          <w:sz w:val="22"/>
        </w:rPr>
      </w:pPr>
      <w:r>
        <w:rPr>
          <w:rFonts w:ascii="Times New Roman" w:hAnsi="Times New Roman" w:cs="Times New Roman"/>
          <w:sz w:val="22"/>
        </w:rPr>
        <w:t>W związku z przetwarzaniem udostępnionych przez Panią/Pana danych osobowych, w sytuacjach przewidzianych w Rozporządzeniu RODO przysługuje Pani/Panu prawo do: dostępu do swoich danych</w:t>
      </w:r>
      <w:r>
        <w:rPr>
          <w:rFonts w:ascii="Times New Roman" w:hAnsi="Times New Roman" w:cs="Times New Roman"/>
          <w:sz w:val="22"/>
        </w:rPr>
        <w:br w:type="textWrapping"/>
      </w:r>
      <w:r>
        <w:rPr>
          <w:rFonts w:ascii="Times New Roman" w:hAnsi="Times New Roman" w:cs="Times New Roman"/>
          <w:sz w:val="22"/>
        </w:rPr>
        <w:t>(art. 15 Rozporządzenia RODO), sprostowania (art. 16 Rozporządzenia RODO), usunięcia (wyłącznie w przypadkach określonych w art. 17 Rozporządzenia RODO), ograniczenia przetwarzania (art. 18 Rozporządzenia RODO).</w:t>
      </w:r>
    </w:p>
    <w:p>
      <w:pPr>
        <w:pStyle w:val="242"/>
        <w:widowControl/>
        <w:numPr>
          <w:ilvl w:val="0"/>
          <w:numId w:val="61"/>
        </w:numPr>
        <w:tabs>
          <w:tab w:val="left" w:pos="335"/>
          <w:tab w:val="clear" w:pos="720"/>
        </w:tabs>
        <w:spacing w:line="276" w:lineRule="auto"/>
        <w:ind w:left="340" w:hanging="340"/>
        <w:jc w:val="both"/>
        <w:rPr>
          <w:rFonts w:ascii="Times New Roman" w:hAnsi="Times New Roman" w:eastAsia="Times New Roman" w:cs="Times New Roman"/>
          <w:sz w:val="22"/>
        </w:rPr>
      </w:pPr>
      <w:r>
        <w:rPr>
          <w:rFonts w:ascii="Times New Roman" w:hAnsi="Times New Roman" w:eastAsia="Times New Roman" w:cs="Times New Roman"/>
          <w:sz w:val="22"/>
        </w:rPr>
        <w:t>W przypadku uznania, że przetwarzanie przez w/w administratora Pani/Pana danych osobowych narusza przepisy Rozporządzenia RODO, przysługuje Pani/Panu prawo do wniesienia skargi do organu nadzorczego tj. Urzędu Ochrony Danych Osobowych, ul. Stawki 2, 00-193 Warszawa.</w:t>
      </w:r>
    </w:p>
    <w:p>
      <w:pPr>
        <w:pStyle w:val="242"/>
        <w:widowControl/>
        <w:tabs>
          <w:tab w:val="left" w:pos="335"/>
        </w:tabs>
        <w:spacing w:line="276" w:lineRule="auto"/>
        <w:ind w:left="340" w:hanging="340"/>
        <w:jc w:val="both"/>
        <w:rPr>
          <w:rFonts w:ascii="Times New Roman" w:hAnsi="Times New Roman" w:eastAsia="Times New Roman" w:cs="Times New Roman"/>
          <w:sz w:val="22"/>
        </w:rPr>
      </w:pPr>
    </w:p>
    <w:p>
      <w:pPr>
        <w:pStyle w:val="242"/>
        <w:widowControl/>
        <w:tabs>
          <w:tab w:val="left" w:pos="335"/>
        </w:tabs>
        <w:spacing w:line="276" w:lineRule="auto"/>
        <w:ind w:left="0" w:leftChars="0" w:firstLine="0" w:firstLineChars="0"/>
        <w:jc w:val="both"/>
        <w:rPr>
          <w:rFonts w:ascii="Times New Roman" w:hAnsi="Times New Roman" w:eastAsia="Times New Roman" w:cs="Times New Roman"/>
          <w:sz w:val="22"/>
        </w:rPr>
      </w:pPr>
    </w:p>
    <w:p>
      <w:pPr>
        <w:spacing w:line="276" w:lineRule="auto"/>
        <w:jc w:val="center"/>
        <w:rPr>
          <w:rFonts w:hint="default"/>
          <w:lang w:val="pl-PL"/>
        </w:rPr>
      </w:pPr>
      <w:r>
        <w:rPr>
          <w:b/>
          <w:color w:val="000000"/>
        </w:rPr>
        <w:t xml:space="preserve">§ </w:t>
      </w:r>
      <w:r>
        <w:rPr>
          <w:rFonts w:hint="default"/>
          <w:b/>
          <w:color w:val="000000"/>
          <w:lang w:val="pl-PL"/>
        </w:rPr>
        <w:t>20</w:t>
      </w:r>
    </w:p>
    <w:p>
      <w:pPr>
        <w:spacing w:line="276" w:lineRule="auto"/>
        <w:jc w:val="center"/>
        <w:rPr>
          <w:b/>
          <w:color w:val="000000"/>
        </w:rPr>
      </w:pPr>
      <w:r>
        <w:rPr>
          <w:b/>
          <w:color w:val="000000"/>
        </w:rPr>
        <w:t>Postanowienia końcowe</w:t>
      </w:r>
    </w:p>
    <w:p>
      <w:pPr>
        <w:spacing w:line="276" w:lineRule="auto"/>
        <w:jc w:val="center"/>
        <w:rPr>
          <w:b/>
          <w:color w:val="000000"/>
        </w:rPr>
      </w:pPr>
    </w:p>
    <w:p>
      <w:pPr>
        <w:numPr>
          <w:ilvl w:val="0"/>
          <w:numId w:val="56"/>
        </w:numPr>
        <w:tabs>
          <w:tab w:val="left" w:pos="335"/>
          <w:tab w:val="clear" w:pos="720"/>
        </w:tabs>
        <w:spacing w:line="276" w:lineRule="auto"/>
        <w:ind w:left="340" w:hanging="340"/>
        <w:jc w:val="both"/>
        <w:rPr>
          <w:color w:val="000000"/>
        </w:rPr>
      </w:pPr>
      <w:r>
        <w:rPr>
          <w:color w:val="000000"/>
        </w:rPr>
        <w:t>Wykonawca ponosi pełną odpowiedzialność za naruszenie praw autorskich, patentowych, znaków ochronnych itp. odnoszących się do zastosowanych rozwiązań, sprzętu, urządzeń, technologii i materiałów potrzebnych przy realizacji robót.</w:t>
      </w:r>
    </w:p>
    <w:p>
      <w:pPr>
        <w:numPr>
          <w:ilvl w:val="0"/>
          <w:numId w:val="56"/>
        </w:numPr>
        <w:tabs>
          <w:tab w:val="left" w:pos="335"/>
          <w:tab w:val="clear" w:pos="720"/>
        </w:tabs>
        <w:spacing w:line="276" w:lineRule="auto"/>
        <w:ind w:left="340" w:hanging="340"/>
        <w:jc w:val="both"/>
        <w:rPr>
          <w:color w:val="000000"/>
        </w:rPr>
      </w:pPr>
      <w:r>
        <w:rPr>
          <w:color w:val="000000"/>
        </w:rPr>
        <w:t>Zamawiający dopuszcza możliwość zmiany ustaleń zawartej umowy, na uzasadniony wniosek Wykonawcy/ Zamawiającego w przypadkach określonych w SWZ i niniejszej umowie.</w:t>
      </w:r>
    </w:p>
    <w:p>
      <w:pPr>
        <w:numPr>
          <w:ilvl w:val="0"/>
          <w:numId w:val="56"/>
        </w:numPr>
        <w:tabs>
          <w:tab w:val="left" w:pos="335"/>
          <w:tab w:val="clear" w:pos="720"/>
        </w:tabs>
        <w:spacing w:line="276" w:lineRule="auto"/>
        <w:ind w:left="340" w:hanging="340"/>
        <w:jc w:val="both"/>
        <w:rPr>
          <w:color w:val="000000"/>
        </w:rPr>
      </w:pPr>
      <w:r>
        <w:rPr>
          <w:color w:val="000000"/>
        </w:rPr>
        <w:t>Niedopuszczalna jest - pod rygorem nieważności - zmiana postanowień zawartej umowy w stosunku do treści oferty, na podstawie której dokonano wyboru Wykonawcy z wyjątkiem postanowień zawartych w SWZ i niniejszej umowie.</w:t>
      </w:r>
    </w:p>
    <w:p>
      <w:pPr>
        <w:numPr>
          <w:ilvl w:val="0"/>
          <w:numId w:val="56"/>
        </w:numPr>
        <w:tabs>
          <w:tab w:val="left" w:pos="335"/>
          <w:tab w:val="clear" w:pos="720"/>
        </w:tabs>
        <w:spacing w:line="276" w:lineRule="auto"/>
        <w:ind w:left="340" w:hanging="340"/>
        <w:jc w:val="both"/>
        <w:rPr>
          <w:color w:val="000000"/>
        </w:rPr>
      </w:pPr>
      <w:r>
        <w:rPr>
          <w:color w:val="000000"/>
        </w:rPr>
        <w:t>Wszelkie zmiany niniejszej umowy wymagają formy pisemnej w postaci aneksu pod rygorem nieważności.</w:t>
      </w:r>
    </w:p>
    <w:p>
      <w:pPr>
        <w:numPr>
          <w:ilvl w:val="0"/>
          <w:numId w:val="56"/>
        </w:numPr>
        <w:tabs>
          <w:tab w:val="left" w:pos="335"/>
          <w:tab w:val="clear" w:pos="720"/>
        </w:tabs>
        <w:spacing w:line="276" w:lineRule="auto"/>
        <w:ind w:left="340" w:hanging="340"/>
        <w:jc w:val="both"/>
        <w:rPr>
          <w:color w:val="000000"/>
        </w:rPr>
      </w:pPr>
      <w:r>
        <w:rPr>
          <w:color w:val="000000"/>
        </w:rPr>
        <w:t>Wierzytelność z tytułu wynagrodzenia Wykonawcy może być przeniesiona w drodze przelewu na osobę trzecią, stosownie do art 509 § 1 Kodeksu cywilnego tylko pod warunkiem pisemnej zgody Zamawiającego.</w:t>
      </w:r>
    </w:p>
    <w:p>
      <w:pPr>
        <w:numPr>
          <w:ilvl w:val="0"/>
          <w:numId w:val="56"/>
        </w:numPr>
        <w:tabs>
          <w:tab w:val="left" w:pos="335"/>
          <w:tab w:val="clear" w:pos="720"/>
        </w:tabs>
        <w:spacing w:line="276" w:lineRule="auto"/>
        <w:ind w:left="340" w:hanging="340"/>
        <w:jc w:val="both"/>
        <w:rPr>
          <w:color w:val="000000"/>
        </w:rPr>
      </w:pPr>
      <w:r>
        <w:rPr>
          <w:color w:val="000000"/>
        </w:rPr>
        <w:t>Dla rozstrzygnięcia ewentualnych sporów właściwy jest Sąd Powszechny, właściwy dla siedziby Zamawiającego.</w:t>
      </w:r>
    </w:p>
    <w:p>
      <w:pPr>
        <w:numPr>
          <w:ilvl w:val="0"/>
          <w:numId w:val="56"/>
        </w:numPr>
        <w:tabs>
          <w:tab w:val="left" w:pos="335"/>
          <w:tab w:val="clear" w:pos="720"/>
        </w:tabs>
        <w:spacing w:line="276" w:lineRule="auto"/>
        <w:ind w:left="340" w:hanging="340"/>
        <w:jc w:val="both"/>
        <w:rPr>
          <w:color w:val="000000"/>
        </w:rPr>
      </w:pPr>
      <w:r>
        <w:rPr>
          <w:color w:val="000000"/>
        </w:rPr>
        <w:t>W sprawach nieuregulowanych niniejszą umową mają zastosowanie przepisy Kodeksu cywilnego, Prawa zamówień publicznych oraz właściwe przepisy szczególne.</w:t>
      </w:r>
    </w:p>
    <w:p>
      <w:pPr>
        <w:numPr>
          <w:ilvl w:val="0"/>
          <w:numId w:val="56"/>
        </w:numPr>
        <w:tabs>
          <w:tab w:val="left" w:pos="335"/>
          <w:tab w:val="clear" w:pos="720"/>
        </w:tabs>
        <w:spacing w:line="276" w:lineRule="auto"/>
        <w:ind w:left="340" w:hanging="340"/>
        <w:jc w:val="both"/>
        <w:rPr>
          <w:color w:val="000000"/>
        </w:rPr>
      </w:pPr>
      <w:r>
        <w:rPr>
          <w:color w:val="000000"/>
        </w:rPr>
        <w:t>Umowa została sporządzona w trzech jednobrzmiących egzemplarzach, dwa dla Zamawiającego i jeden dla Wykonawcy.</w:t>
      </w:r>
    </w:p>
    <w:p>
      <w:pPr>
        <w:pStyle w:val="5"/>
        <w:tabs>
          <w:tab w:val="left" w:pos="7205"/>
        </w:tabs>
        <w:spacing w:line="276" w:lineRule="auto"/>
        <w:ind w:left="0"/>
        <w:rPr>
          <w:color w:val="000000"/>
          <w:spacing w:val="-3"/>
        </w:rPr>
      </w:pPr>
    </w:p>
    <w:p>
      <w:pPr>
        <w:pStyle w:val="5"/>
        <w:tabs>
          <w:tab w:val="left" w:pos="7205"/>
        </w:tabs>
        <w:spacing w:line="276" w:lineRule="auto"/>
        <w:ind w:left="0"/>
        <w:rPr>
          <w:color w:val="000000"/>
          <w:spacing w:val="-3"/>
        </w:rPr>
      </w:pPr>
    </w:p>
    <w:p>
      <w:pPr>
        <w:pStyle w:val="5"/>
        <w:tabs>
          <w:tab w:val="left" w:pos="7205"/>
        </w:tabs>
        <w:spacing w:line="276" w:lineRule="auto"/>
        <w:ind w:left="826"/>
        <w:rPr>
          <w:color w:val="000000"/>
        </w:rPr>
      </w:pPr>
      <w:r>
        <w:rPr>
          <w:color w:val="000000"/>
          <w:spacing w:val="-3"/>
        </w:rPr>
        <w:t>WYKONAWCA</w:t>
      </w:r>
      <w:r>
        <w:rPr>
          <w:color w:val="000000"/>
          <w:spacing w:val="-3"/>
        </w:rPr>
        <w:tab/>
      </w:r>
      <w:r>
        <w:rPr>
          <w:color w:val="000000"/>
        </w:rPr>
        <w:t>ZAMAWIAJĄCY</w:t>
      </w:r>
    </w:p>
    <w:p>
      <w:pPr>
        <w:pStyle w:val="5"/>
        <w:tabs>
          <w:tab w:val="left" w:pos="7205"/>
        </w:tabs>
        <w:spacing w:line="276" w:lineRule="auto"/>
        <w:ind w:left="826"/>
        <w:rPr>
          <w:color w:val="000000"/>
        </w:rPr>
      </w:pPr>
    </w:p>
    <w:p>
      <w:pPr>
        <w:pStyle w:val="5"/>
        <w:tabs>
          <w:tab w:val="left" w:pos="7205"/>
        </w:tabs>
        <w:spacing w:line="276" w:lineRule="auto"/>
        <w:ind w:left="826"/>
        <w:jc w:val="center"/>
        <w:rPr>
          <w:color w:val="000000"/>
        </w:rPr>
      </w:pPr>
    </w:p>
    <w:p>
      <w:pPr>
        <w:pStyle w:val="5"/>
        <w:tabs>
          <w:tab w:val="left" w:pos="7205"/>
        </w:tabs>
        <w:spacing w:line="276" w:lineRule="auto"/>
        <w:ind w:left="826"/>
        <w:jc w:val="center"/>
        <w:rPr>
          <w:color w:val="000000"/>
        </w:rPr>
      </w:pPr>
    </w:p>
    <w:p>
      <w:pPr>
        <w:pStyle w:val="5"/>
        <w:tabs>
          <w:tab w:val="left" w:pos="7205"/>
        </w:tabs>
        <w:spacing w:line="276" w:lineRule="auto"/>
        <w:ind w:left="826"/>
        <w:jc w:val="center"/>
        <w:rPr>
          <w:color w:val="000000"/>
        </w:rPr>
      </w:pPr>
    </w:p>
    <w:p>
      <w:pPr>
        <w:pStyle w:val="5"/>
        <w:tabs>
          <w:tab w:val="left" w:pos="7205"/>
        </w:tabs>
        <w:spacing w:line="276" w:lineRule="auto"/>
        <w:ind w:left="826"/>
        <w:jc w:val="center"/>
        <w:rPr>
          <w:color w:val="000000"/>
        </w:rPr>
      </w:pPr>
    </w:p>
    <w:p>
      <w:pPr>
        <w:pStyle w:val="5"/>
        <w:tabs>
          <w:tab w:val="left" w:pos="7205"/>
        </w:tabs>
        <w:spacing w:line="276" w:lineRule="auto"/>
        <w:ind w:left="826"/>
        <w:jc w:val="center"/>
        <w:rPr>
          <w:color w:val="000000"/>
        </w:rPr>
      </w:pPr>
    </w:p>
    <w:p>
      <w:pPr>
        <w:pStyle w:val="5"/>
        <w:tabs>
          <w:tab w:val="left" w:pos="7205"/>
        </w:tabs>
        <w:spacing w:line="276" w:lineRule="auto"/>
        <w:ind w:left="826"/>
        <w:jc w:val="center"/>
        <w:rPr>
          <w:color w:val="000000"/>
        </w:rPr>
      </w:pPr>
    </w:p>
    <w:p>
      <w:pPr>
        <w:pStyle w:val="5"/>
        <w:tabs>
          <w:tab w:val="left" w:pos="7205"/>
        </w:tabs>
        <w:spacing w:line="276" w:lineRule="auto"/>
        <w:ind w:left="0"/>
        <w:rPr>
          <w:color w:val="000000"/>
        </w:rPr>
      </w:pPr>
    </w:p>
    <w:p>
      <w:pPr>
        <w:pStyle w:val="5"/>
        <w:tabs>
          <w:tab w:val="left" w:pos="7205"/>
        </w:tabs>
        <w:spacing w:line="276" w:lineRule="auto"/>
        <w:ind w:left="0"/>
        <w:rPr>
          <w:color w:val="000000"/>
        </w:rPr>
      </w:pPr>
    </w:p>
    <w:p>
      <w:pPr>
        <w:pStyle w:val="5"/>
        <w:tabs>
          <w:tab w:val="left" w:pos="7205"/>
        </w:tabs>
        <w:spacing w:line="276" w:lineRule="auto"/>
        <w:ind w:left="0"/>
        <w:rPr>
          <w:color w:val="000000"/>
        </w:rPr>
      </w:pPr>
    </w:p>
    <w:p>
      <w:pPr>
        <w:pStyle w:val="5"/>
        <w:tabs>
          <w:tab w:val="left" w:pos="7205"/>
        </w:tabs>
        <w:spacing w:line="276" w:lineRule="auto"/>
        <w:ind w:left="826"/>
        <w:jc w:val="center"/>
        <w:rPr>
          <w:color w:val="000000"/>
        </w:rPr>
      </w:pPr>
    </w:p>
    <w:p>
      <w:pPr>
        <w:pStyle w:val="5"/>
        <w:tabs>
          <w:tab w:val="left" w:pos="7205"/>
        </w:tabs>
        <w:spacing w:line="276" w:lineRule="auto"/>
        <w:ind w:left="826"/>
        <w:jc w:val="center"/>
      </w:pPr>
      <w:r>
        <w:rPr>
          <w:color w:val="000000"/>
        </w:rPr>
        <w:t>KONTRASYGNATA SKARBNIKA GMINY</w:t>
      </w:r>
    </w:p>
    <w:p>
      <w:pPr>
        <w:spacing w:after="240" w:line="276" w:lineRule="auto"/>
        <w:jc w:val="both"/>
        <w:rPr>
          <w:color w:val="000000"/>
        </w:rPr>
      </w:pPr>
    </w:p>
    <w:p>
      <w:pPr>
        <w:spacing w:after="240" w:line="276" w:lineRule="auto"/>
        <w:jc w:val="both"/>
        <w:rPr>
          <w:color w:val="000000"/>
        </w:rPr>
      </w:pPr>
    </w:p>
    <w:p>
      <w:pPr>
        <w:spacing w:after="240" w:line="276" w:lineRule="auto"/>
        <w:jc w:val="both"/>
        <w:rPr>
          <w:color w:val="000000"/>
        </w:rPr>
      </w:pPr>
    </w:p>
    <w:p>
      <w:pPr>
        <w:spacing w:after="240" w:line="276" w:lineRule="auto"/>
        <w:jc w:val="both"/>
        <w:rPr>
          <w:color w:val="000000"/>
        </w:rPr>
      </w:pPr>
    </w:p>
    <w:p>
      <w:pPr>
        <w:spacing w:after="240" w:line="276" w:lineRule="auto"/>
        <w:jc w:val="both"/>
        <w:rPr>
          <w:color w:val="000000"/>
        </w:rPr>
      </w:pPr>
    </w:p>
    <w:p>
      <w:pPr>
        <w:spacing w:after="240" w:line="276" w:lineRule="auto"/>
        <w:jc w:val="both"/>
        <w:rPr>
          <w:color w:val="000000"/>
        </w:rPr>
      </w:pPr>
    </w:p>
    <w:p>
      <w:pPr>
        <w:spacing w:after="240" w:line="276" w:lineRule="auto"/>
        <w:jc w:val="both"/>
        <w:rPr>
          <w:color w:val="000000"/>
        </w:rPr>
      </w:pPr>
    </w:p>
    <w:p>
      <w:pPr>
        <w:spacing w:after="240" w:line="276" w:lineRule="auto"/>
        <w:jc w:val="both"/>
        <w:rPr>
          <w:color w:val="000000"/>
        </w:rPr>
      </w:pPr>
    </w:p>
    <w:p>
      <w:pPr>
        <w:spacing w:after="240" w:line="276" w:lineRule="auto"/>
        <w:jc w:val="both"/>
        <w:rPr>
          <w:color w:val="000000"/>
        </w:rPr>
      </w:pPr>
    </w:p>
    <w:p>
      <w:pPr>
        <w:spacing w:after="240" w:line="276" w:lineRule="auto"/>
        <w:jc w:val="both"/>
        <w:rPr>
          <w:color w:val="000000"/>
        </w:rPr>
      </w:pPr>
      <w:r>
        <w:rPr>
          <w:color w:val="000000"/>
        </w:rPr>
        <w:t>Załączniki:</w:t>
      </w:r>
    </w:p>
    <w:p>
      <w:pPr>
        <w:numPr>
          <w:ilvl w:val="0"/>
          <w:numId w:val="64"/>
        </w:numPr>
        <w:tabs>
          <w:tab w:val="left" w:pos="310"/>
          <w:tab w:val="clear" w:pos="425"/>
        </w:tabs>
        <w:spacing w:before="1" w:after="240" w:line="276" w:lineRule="auto"/>
        <w:jc w:val="both"/>
      </w:pPr>
      <w:r>
        <w:t>Formularz oferty,</w:t>
      </w:r>
    </w:p>
    <w:p>
      <w:pPr>
        <w:numPr>
          <w:ilvl w:val="0"/>
          <w:numId w:val="64"/>
        </w:numPr>
        <w:tabs>
          <w:tab w:val="left" w:pos="310"/>
          <w:tab w:val="clear" w:pos="425"/>
        </w:tabs>
        <w:spacing w:before="1" w:after="240" w:line="276" w:lineRule="auto"/>
        <w:jc w:val="both"/>
      </w:pPr>
      <w:r>
        <w:t xml:space="preserve">Kosztorys </w:t>
      </w:r>
      <w:r>
        <w:rPr>
          <w:spacing w:val="-1"/>
        </w:rPr>
        <w:t>ofertowy.</w:t>
      </w:r>
    </w:p>
    <w:p>
      <w:pPr>
        <w:tabs>
          <w:tab w:val="left" w:pos="310"/>
          <w:tab w:val="left" w:pos="425"/>
        </w:tabs>
        <w:spacing w:before="1" w:after="240" w:line="276" w:lineRule="auto"/>
        <w:jc w:val="both"/>
        <w:rPr>
          <w:highlight w:val="yellow"/>
        </w:rPr>
      </w:pPr>
    </w:p>
    <w:sectPr>
      <w:headerReference r:id="rId3" w:type="default"/>
      <w:footerReference r:id="rId4" w:type="default"/>
      <w:pgSz w:w="11906" w:h="16838"/>
      <w:pgMar w:top="1693" w:right="1020" w:bottom="1264" w:left="1020" w:header="0" w:footer="567" w:gutter="0"/>
      <w:cols w:space="708"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w:panose1 w:val="020B0602030504020204"/>
    <w:charset w:val="00"/>
    <w:family w:val="swiss"/>
    <w:pitch w:val="default"/>
    <w:sig w:usb0="00000003" w:usb1="00000000" w:usb2="00000000" w:usb3="00000000" w:csb0="20000001" w:csb1="00000000"/>
  </w:font>
  <w:font w:name="Liberation Serif;Times New Rom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EE"/>
    <w:family w:val="swiss"/>
    <w:pitch w:val="default"/>
    <w:sig w:usb0="E1002EFF" w:usb1="C000605B" w:usb2="00000029" w:usb3="00000000" w:csb0="200101FF" w:csb1="20280000"/>
  </w:font>
  <w:font w:name="Mangal">
    <w:altName w:val="Liberation Mono"/>
    <w:panose1 w:val="00000400000000000000"/>
    <w:charset w:val="00"/>
    <w:family w:val="roman"/>
    <w:pitch w:val="default"/>
    <w:sig w:usb0="00000000" w:usb1="00000000" w:usb2="00000000" w:usb3="00000000" w:csb0="00000001" w:csb1="00000000"/>
  </w:font>
  <w:font w:name="Liberation Mono">
    <w:panose1 w:val="02070409020205020404"/>
    <w:charset w:val="00"/>
    <w:family w:val="auto"/>
    <w:pitch w:val="default"/>
    <w:sig w:usb0="E0000AFF" w:usb1="400078FF" w:usb2="00000001" w:usb3="00000000" w:csb0="600001BF" w:csb1="DFF70000"/>
  </w:font>
  <w:font w:name="Symbol">
    <w:panose1 w:val="05050102010706020507"/>
    <w:charset w:val="02"/>
    <w:family w:val="roman"/>
    <w:pitch w:val="default"/>
    <w:sig w:usb0="00000000" w:usb1="00000000" w:usb2="00000000" w:usb3="00000000" w:csb0="80000000" w:csb1="00000000"/>
  </w:font>
  <w:font w:name="OpenSymbol;Arial Unicode MS">
    <w:altName w:val="Segoe Print"/>
    <w:panose1 w:val="00000000000000000000"/>
    <w:charset w:val="00"/>
    <w:family w:val="roman"/>
    <w:pitch w:val="default"/>
    <w:sig w:usb0="00000000" w:usb1="00000000" w:usb2="00000000" w:usb3="00000000" w:csb0="00000000" w:csb1="00000000"/>
  </w:font>
  <w:font w:name="Liberation Sans;Arial">
    <w:altName w:val="Segoe Print"/>
    <w:panose1 w:val="00000000000000000000"/>
    <w:charset w:val="00"/>
    <w:family w:val="roman"/>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003F01FF" w:csb1="00000000"/>
  </w:font>
  <w:font w:name="NSimSun">
    <w:panose1 w:val="02010609030101010101"/>
    <w:charset w:val="86"/>
    <w:family w:val="modern"/>
    <w:pitch w:val="default"/>
    <w:sig w:usb0="00000283" w:usb1="288F0000" w:usb2="00000006" w:usb3="00000000" w:csb0="00040001"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1131"/>
        <w:tab w:val="right" w:pos="9360"/>
        <w:tab w:val="clear" w:pos="6922"/>
        <w:tab w:val="clear" w:pos="13844"/>
      </w:tabs>
      <w:jc w:val="center"/>
    </w:pPr>
    <w:r>
      <w:rPr>
        <w:sz w:val="16"/>
      </w:rPr>
      <mc:AlternateContent>
        <mc:Choice Requires="wps">
          <w:drawing>
            <wp:anchor distT="0" distB="0" distL="114300" distR="114300" simplePos="0" relativeHeight="251661312" behindDoc="0" locked="0" layoutInCell="1" allowOverlap="1">
              <wp:simplePos x="0" y="0"/>
              <wp:positionH relativeFrom="margin">
                <wp:posOffset>6283960</wp:posOffset>
              </wp:positionH>
              <wp:positionV relativeFrom="paragraph">
                <wp:posOffset>32385</wp:posOffset>
              </wp:positionV>
              <wp:extent cx="144145" cy="140335"/>
              <wp:effectExtent l="0" t="0" r="8890" b="12700"/>
              <wp:wrapNone/>
              <wp:docPr id="2" name="Pole tekstowe 2"/>
              <wp:cNvGraphicFramePr/>
              <a:graphic xmlns:a="http://schemas.openxmlformats.org/drawingml/2006/main">
                <a:graphicData uri="http://schemas.microsoft.com/office/word/2010/wordprocessingShape">
                  <wps:wsp>
                    <wps:cNvSpPr txBox="1"/>
                    <wps:spPr>
                      <a:xfrm rot="10800000" flipV="1">
                        <a:off x="0" y="0"/>
                        <a:ext cx="143933" cy="14012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flip:y;margin-left:494.8pt;margin-top:2.55pt;height:11.05pt;width:11.35pt;mso-position-horizontal-relative:margin;rotation:11796480f;z-index:251661312;mso-width-relative:page;mso-height-relative:page;" filled="f" stroked="f" coordsize="21600,21600" o:gfxdata="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10aRw1wAAAAkBAAAPAAAAAAAAAAEAIAAAACIAAABkcnMvZG93bnJldi54&#10;bWxQSwECFAAUAAAACACHTuJAY/8s7TQCAAByBAAADgAAAAAAAAABACAAAAAmAQAAZHJzL2Uyb0Rv&#10;Yy54bWxQSwUGAAAAAAYABgBZAQAAzAUAAAAA&#10;">
              <v:fill on="f" focussize="0,0"/>
              <v:stroke on="f" weight="0.5pt"/>
              <v:imagedata o:title=""/>
              <o:lock v:ext="edit" aspectratio="f"/>
              <v:textbox inset="0mm,0mm,0mm,0mm">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r>
      <w:rPr>
        <w:rFonts w:eastAsia="MS Mincho"/>
        <w:sz w:val="16"/>
        <w:szCs w:val="16"/>
      </w:rPr>
      <w:t>ZP.271.</w:t>
    </w:r>
    <w:r>
      <w:rPr>
        <w:rFonts w:eastAsia="MS Mincho"/>
        <w:sz w:val="16"/>
        <w:szCs w:val="16"/>
        <w:lang w:val="en-US"/>
      </w:rPr>
      <w:t>1.2</w:t>
    </w:r>
    <w:r>
      <w:rPr>
        <w:rFonts w:eastAsia="MS Mincho"/>
        <w:sz w:val="16"/>
        <w:szCs w:val="16"/>
      </w:rPr>
      <w:t xml:space="preserve">.2023 </w:t>
    </w:r>
    <w:r>
      <w:rPr>
        <w:rFonts w:eastAsia="MS Mincho"/>
        <w:sz w:val="16"/>
        <w:szCs w:val="16"/>
      </w:rPr>
      <w:tab/>
    </w:r>
    <w:r>
      <w:rPr>
        <w:rFonts w:eastAsia="MS Mincho"/>
        <w:sz w:val="16"/>
        <w:szCs w:val="16"/>
      </w:rPr>
      <w:t>Budowa infrastruktury sportowej i rozbudowa infrastruktury edukacyjnej Zespołu Szkolno-Przedszkolnego w Nowym Stawie</w:t>
    </w:r>
  </w:p>
  <w:p>
    <w:pPr>
      <w:pStyle w:val="1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Calibri" w:hAnsi="Calibri" w:cs="Calibri"/>
        <w:b/>
        <w:bCs/>
        <w:sz w:val="20"/>
        <w:szCs w:val="20"/>
      </w:rPr>
      <w:drawing>
        <wp:anchor distT="0" distB="0" distL="114300" distR="114300" simplePos="0" relativeHeight="251662336" behindDoc="0" locked="0" layoutInCell="1" allowOverlap="1">
          <wp:simplePos x="0" y="0"/>
          <wp:positionH relativeFrom="column">
            <wp:posOffset>2359025</wp:posOffset>
          </wp:positionH>
          <wp:positionV relativeFrom="paragraph">
            <wp:posOffset>260350</wp:posOffset>
          </wp:positionV>
          <wp:extent cx="1181100" cy="693420"/>
          <wp:effectExtent l="0" t="0" r="0" b="11430"/>
          <wp:wrapSquare wrapText="bothSides"/>
          <wp:docPr id="1" name="Obraz 1" descr="MSiT z tekst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MSiT z tekstem(1)"/>
                  <pic:cNvPicPr>
                    <a:picLocks noChangeAspect="1"/>
                  </pic:cNvPicPr>
                </pic:nvPicPr>
                <pic:blipFill>
                  <a:blip r:embed="rId1"/>
                  <a:stretch>
                    <a:fillRect/>
                  </a:stretch>
                </pic:blipFill>
                <pic:spPr>
                  <a:xfrm>
                    <a:off x="0" y="0"/>
                    <a:ext cx="1181100" cy="693420"/>
                  </a:xfrm>
                  <a:prstGeom prst="rect">
                    <a:avLst/>
                  </a:prstGeom>
                </pic:spPr>
              </pic:pic>
            </a:graphicData>
          </a:graphic>
        </wp:anchor>
      </w:drawing>
    </w:r>
    <w:r>
      <w:rPr>
        <w:rFonts w:ascii="Calibri" w:hAnsi="Calibri" w:cs="Calibri"/>
        <w:b/>
        <w:bCs/>
        <w:sz w:val="20"/>
        <w:szCs w:val="20"/>
      </w:rPr>
      <w:drawing>
        <wp:anchor distT="0" distB="0" distL="0" distR="0" simplePos="0" relativeHeight="251659264" behindDoc="0" locked="0" layoutInCell="1" allowOverlap="1">
          <wp:simplePos x="0" y="0"/>
          <wp:positionH relativeFrom="column">
            <wp:posOffset>173355</wp:posOffset>
          </wp:positionH>
          <wp:positionV relativeFrom="paragraph">
            <wp:posOffset>185420</wp:posOffset>
          </wp:positionV>
          <wp:extent cx="1896745" cy="671830"/>
          <wp:effectExtent l="0" t="0" r="8255" b="13970"/>
          <wp:wrapTopAndBottom/>
          <wp:docPr id="4" name="Obraz 4" descr="C:\Users\k.moscicki\Desktop\Polski-l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C:\Users\k.moscicki\Desktop\Polski-la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896745" cy="671830"/>
                  </a:xfrm>
                  <a:prstGeom prst="rect">
                    <a:avLst/>
                  </a:prstGeom>
                  <a:noFill/>
                  <a:ln>
                    <a:noFill/>
                  </a:ln>
                </pic:spPr>
              </pic:pic>
            </a:graphicData>
          </a:graphic>
        </wp:anchor>
      </w:drawing>
    </w:r>
    <w:r>
      <w:rPr>
        <w:rFonts w:ascii="Calibri" w:hAnsi="Calibri" w:cs="Calibri"/>
        <w:b/>
        <w:bCs/>
        <w:sz w:val="20"/>
        <w:szCs w:val="20"/>
      </w:rPr>
      <w:drawing>
        <wp:anchor distT="0" distB="0" distL="0" distR="0" simplePos="0" relativeHeight="251660288" behindDoc="0" locked="0" layoutInCell="1" allowOverlap="1">
          <wp:simplePos x="0" y="0"/>
          <wp:positionH relativeFrom="column">
            <wp:posOffset>3732530</wp:posOffset>
          </wp:positionH>
          <wp:positionV relativeFrom="paragraph">
            <wp:posOffset>170180</wp:posOffset>
          </wp:positionV>
          <wp:extent cx="2428875" cy="777875"/>
          <wp:effectExtent l="0" t="0" r="9525" b="3175"/>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2428875" cy="7778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0550F9"/>
    <w:multiLevelType w:val="singleLevel"/>
    <w:tmpl w:val="B50550F9"/>
    <w:lvl w:ilvl="0" w:tentative="0">
      <w:start w:val="1"/>
      <w:numFmt w:val="lowerLetter"/>
      <w:lvlText w:val="%1)"/>
      <w:lvlJc w:val="left"/>
      <w:pPr>
        <w:tabs>
          <w:tab w:val="left" w:pos="425"/>
        </w:tabs>
        <w:ind w:left="865" w:hanging="425"/>
      </w:pPr>
      <w:rPr>
        <w:rFonts w:hint="default"/>
      </w:rPr>
    </w:lvl>
  </w:abstractNum>
  <w:abstractNum w:abstractNumId="1">
    <w:nsid w:val="C0ACDF0C"/>
    <w:multiLevelType w:val="singleLevel"/>
    <w:tmpl w:val="C0ACDF0C"/>
    <w:lvl w:ilvl="0" w:tentative="0">
      <w:start w:val="1"/>
      <w:numFmt w:val="decimal"/>
      <w:lvlText w:val="%1."/>
      <w:lvlJc w:val="left"/>
      <w:pPr>
        <w:tabs>
          <w:tab w:val="left" w:pos="425"/>
        </w:tabs>
        <w:ind w:left="425" w:hanging="425"/>
      </w:pPr>
      <w:rPr>
        <w:rFonts w:hint="default"/>
      </w:rPr>
    </w:lvl>
  </w:abstractNum>
  <w:abstractNum w:abstractNumId="2">
    <w:nsid w:val="CD8D675E"/>
    <w:multiLevelType w:val="multilevel"/>
    <w:tmpl w:val="CD8D675E"/>
    <w:lvl w:ilvl="0" w:tentative="0">
      <w:start w:val="1"/>
      <w:numFmt w:val="lowerLetter"/>
      <w:lvlText w:val="%1)"/>
      <w:lvlJc w:val="left"/>
      <w:pPr>
        <w:tabs>
          <w:tab w:val="left" w:pos="425"/>
        </w:tabs>
        <w:ind w:left="425" w:hanging="65"/>
      </w:pPr>
      <w:rPr>
        <w:rFonts w:hint="default" w:ascii="Times New Roman" w:hAnsi="Times New Roman"/>
      </w:rPr>
    </w:lvl>
    <w:lvl w:ilvl="1" w:tentative="0">
      <w:start w:val="1"/>
      <w:numFmt w:val="lowerLetter"/>
      <w:lvlText w:val="%2."/>
      <w:lvlJc w:val="left"/>
      <w:pPr>
        <w:tabs>
          <w:tab w:val="left" w:pos="425"/>
        </w:tabs>
        <w:ind w:left="425" w:firstLine="295"/>
      </w:pPr>
      <w:rPr>
        <w:rFonts w:hint="default" w:ascii="Times New Roman" w:hAnsi="Times New Roman"/>
      </w:rPr>
    </w:lvl>
    <w:lvl w:ilvl="2" w:tentative="0">
      <w:start w:val="1"/>
      <w:numFmt w:val="lowerRoman"/>
      <w:lvlText w:val="%3."/>
      <w:lvlJc w:val="left"/>
      <w:pPr>
        <w:tabs>
          <w:tab w:val="left" w:pos="425"/>
        </w:tabs>
        <w:ind w:left="425" w:firstLine="655"/>
      </w:pPr>
      <w:rPr>
        <w:rFonts w:hint="default" w:ascii="Times New Roman" w:hAnsi="Times New Roman"/>
      </w:rPr>
    </w:lvl>
    <w:lvl w:ilvl="3" w:tentative="0">
      <w:start w:val="1"/>
      <w:numFmt w:val="decimal"/>
      <w:lvlText w:val="%4."/>
      <w:lvlJc w:val="left"/>
      <w:pPr>
        <w:tabs>
          <w:tab w:val="left" w:pos="425"/>
        </w:tabs>
        <w:ind w:left="425" w:firstLine="1015"/>
      </w:pPr>
      <w:rPr>
        <w:rFonts w:hint="default" w:ascii="Times New Roman" w:hAnsi="Times New Roman"/>
      </w:rPr>
    </w:lvl>
    <w:lvl w:ilvl="4" w:tentative="0">
      <w:start w:val="1"/>
      <w:numFmt w:val="lowerLetter"/>
      <w:lvlText w:val="%5."/>
      <w:lvlJc w:val="left"/>
      <w:pPr>
        <w:tabs>
          <w:tab w:val="left" w:pos="425"/>
        </w:tabs>
        <w:ind w:left="425" w:firstLine="1375"/>
      </w:pPr>
      <w:rPr>
        <w:rFonts w:hint="default" w:ascii="Times New Roman" w:hAnsi="Times New Roman"/>
      </w:rPr>
    </w:lvl>
    <w:lvl w:ilvl="5" w:tentative="0">
      <w:start w:val="1"/>
      <w:numFmt w:val="lowerRoman"/>
      <w:lvlText w:val="%6."/>
      <w:lvlJc w:val="left"/>
      <w:pPr>
        <w:tabs>
          <w:tab w:val="left" w:pos="425"/>
        </w:tabs>
        <w:ind w:left="425" w:firstLine="1735"/>
      </w:pPr>
      <w:rPr>
        <w:rFonts w:hint="default" w:ascii="Times New Roman" w:hAnsi="Times New Roman"/>
      </w:rPr>
    </w:lvl>
    <w:lvl w:ilvl="6" w:tentative="0">
      <w:start w:val="1"/>
      <w:numFmt w:val="decimal"/>
      <w:lvlText w:val="%7."/>
      <w:lvlJc w:val="left"/>
      <w:pPr>
        <w:tabs>
          <w:tab w:val="left" w:pos="425"/>
        </w:tabs>
        <w:ind w:left="425" w:firstLine="2095"/>
      </w:pPr>
      <w:rPr>
        <w:rFonts w:hint="default" w:ascii="Times New Roman" w:hAnsi="Times New Roman"/>
      </w:rPr>
    </w:lvl>
    <w:lvl w:ilvl="7" w:tentative="0">
      <w:start w:val="1"/>
      <w:numFmt w:val="lowerLetter"/>
      <w:lvlText w:val="%8."/>
      <w:lvlJc w:val="left"/>
      <w:pPr>
        <w:tabs>
          <w:tab w:val="left" w:pos="425"/>
        </w:tabs>
        <w:ind w:left="425" w:firstLine="2455"/>
      </w:pPr>
      <w:rPr>
        <w:rFonts w:hint="default" w:ascii="Times New Roman" w:hAnsi="Times New Roman"/>
      </w:rPr>
    </w:lvl>
    <w:lvl w:ilvl="8" w:tentative="0">
      <w:start w:val="1"/>
      <w:numFmt w:val="lowerRoman"/>
      <w:lvlText w:val="%9."/>
      <w:lvlJc w:val="left"/>
      <w:pPr>
        <w:tabs>
          <w:tab w:val="left" w:pos="425"/>
        </w:tabs>
        <w:ind w:left="425" w:firstLine="2815"/>
      </w:pPr>
      <w:rPr>
        <w:rFonts w:hint="default" w:ascii="Times New Roman" w:hAnsi="Times New Roman"/>
      </w:rPr>
    </w:lvl>
  </w:abstractNum>
  <w:abstractNum w:abstractNumId="3">
    <w:nsid w:val="D80415DB"/>
    <w:multiLevelType w:val="singleLevel"/>
    <w:tmpl w:val="D80415DB"/>
    <w:lvl w:ilvl="0" w:tentative="0">
      <w:start w:val="1"/>
      <w:numFmt w:val="decimal"/>
      <w:lvlText w:val="%1."/>
      <w:lvlJc w:val="left"/>
      <w:pPr>
        <w:tabs>
          <w:tab w:val="left" w:pos="425"/>
        </w:tabs>
        <w:ind w:left="425" w:hanging="425"/>
      </w:pPr>
      <w:rPr>
        <w:rFonts w:hint="default"/>
      </w:rPr>
    </w:lvl>
  </w:abstractNum>
  <w:abstractNum w:abstractNumId="4">
    <w:nsid w:val="ECFC3919"/>
    <w:multiLevelType w:val="multilevel"/>
    <w:tmpl w:val="ECFC3919"/>
    <w:lvl w:ilvl="0" w:tentative="0">
      <w:start w:val="1"/>
      <w:numFmt w:val="decimal"/>
      <w:lvlText w:val="%1)"/>
      <w:lvlJc w:val="left"/>
      <w:pPr>
        <w:tabs>
          <w:tab w:val="left" w:pos="425"/>
        </w:tabs>
        <w:ind w:left="425" w:hanging="65"/>
      </w:pPr>
      <w:rPr>
        <w:rFonts w:hint="default" w:ascii="Times New Roman" w:hAnsi="Times New Roman"/>
      </w:rPr>
    </w:lvl>
    <w:lvl w:ilvl="1" w:tentative="0">
      <w:start w:val="1"/>
      <w:numFmt w:val="lowerLetter"/>
      <w:lvlText w:val="%2."/>
      <w:lvlJc w:val="left"/>
      <w:pPr>
        <w:tabs>
          <w:tab w:val="left" w:pos="425"/>
        </w:tabs>
        <w:ind w:left="425" w:firstLine="295"/>
      </w:pPr>
      <w:rPr>
        <w:rFonts w:hint="default" w:ascii="Times New Roman" w:hAnsi="Times New Roman"/>
      </w:rPr>
    </w:lvl>
    <w:lvl w:ilvl="2" w:tentative="0">
      <w:start w:val="1"/>
      <w:numFmt w:val="lowerRoman"/>
      <w:lvlText w:val="%3."/>
      <w:lvlJc w:val="left"/>
      <w:pPr>
        <w:tabs>
          <w:tab w:val="left" w:pos="425"/>
        </w:tabs>
        <w:ind w:left="425" w:firstLine="655"/>
      </w:pPr>
      <w:rPr>
        <w:rFonts w:hint="default" w:ascii="Times New Roman" w:hAnsi="Times New Roman"/>
      </w:rPr>
    </w:lvl>
    <w:lvl w:ilvl="3" w:tentative="0">
      <w:start w:val="1"/>
      <w:numFmt w:val="decimal"/>
      <w:lvlText w:val="%4."/>
      <w:lvlJc w:val="left"/>
      <w:pPr>
        <w:tabs>
          <w:tab w:val="left" w:pos="425"/>
        </w:tabs>
        <w:ind w:left="425" w:firstLine="1015"/>
      </w:pPr>
      <w:rPr>
        <w:rFonts w:hint="default" w:ascii="Times New Roman" w:hAnsi="Times New Roman"/>
      </w:rPr>
    </w:lvl>
    <w:lvl w:ilvl="4" w:tentative="0">
      <w:start w:val="1"/>
      <w:numFmt w:val="lowerLetter"/>
      <w:lvlText w:val="%5."/>
      <w:lvlJc w:val="left"/>
      <w:pPr>
        <w:tabs>
          <w:tab w:val="left" w:pos="425"/>
        </w:tabs>
        <w:ind w:left="425" w:firstLine="1375"/>
      </w:pPr>
      <w:rPr>
        <w:rFonts w:hint="default" w:ascii="Times New Roman" w:hAnsi="Times New Roman"/>
      </w:rPr>
    </w:lvl>
    <w:lvl w:ilvl="5" w:tentative="0">
      <w:start w:val="1"/>
      <w:numFmt w:val="lowerRoman"/>
      <w:lvlText w:val="%6."/>
      <w:lvlJc w:val="left"/>
      <w:pPr>
        <w:tabs>
          <w:tab w:val="left" w:pos="425"/>
        </w:tabs>
        <w:ind w:left="425" w:firstLine="1735"/>
      </w:pPr>
      <w:rPr>
        <w:rFonts w:hint="default" w:ascii="Times New Roman" w:hAnsi="Times New Roman"/>
      </w:rPr>
    </w:lvl>
    <w:lvl w:ilvl="6" w:tentative="0">
      <w:start w:val="1"/>
      <w:numFmt w:val="decimal"/>
      <w:lvlText w:val="%7."/>
      <w:lvlJc w:val="left"/>
      <w:pPr>
        <w:tabs>
          <w:tab w:val="left" w:pos="425"/>
        </w:tabs>
        <w:ind w:left="425" w:firstLine="2095"/>
      </w:pPr>
      <w:rPr>
        <w:rFonts w:hint="default" w:ascii="Times New Roman" w:hAnsi="Times New Roman"/>
      </w:rPr>
    </w:lvl>
    <w:lvl w:ilvl="7" w:tentative="0">
      <w:start w:val="1"/>
      <w:numFmt w:val="lowerLetter"/>
      <w:lvlText w:val="%8."/>
      <w:lvlJc w:val="left"/>
      <w:pPr>
        <w:tabs>
          <w:tab w:val="left" w:pos="425"/>
        </w:tabs>
        <w:ind w:left="425" w:firstLine="2455"/>
      </w:pPr>
      <w:rPr>
        <w:rFonts w:hint="default" w:ascii="Times New Roman" w:hAnsi="Times New Roman"/>
      </w:rPr>
    </w:lvl>
    <w:lvl w:ilvl="8" w:tentative="0">
      <w:start w:val="1"/>
      <w:numFmt w:val="lowerRoman"/>
      <w:lvlText w:val="%9."/>
      <w:lvlJc w:val="left"/>
      <w:pPr>
        <w:tabs>
          <w:tab w:val="left" w:pos="425"/>
        </w:tabs>
        <w:ind w:left="425" w:firstLine="2815"/>
      </w:pPr>
      <w:rPr>
        <w:rFonts w:hint="default" w:ascii="Times New Roman" w:hAnsi="Times New Roman"/>
      </w:rPr>
    </w:lvl>
  </w:abstractNum>
  <w:abstractNum w:abstractNumId="5">
    <w:nsid w:val="00C6EA4F"/>
    <w:multiLevelType w:val="singleLevel"/>
    <w:tmpl w:val="00C6EA4F"/>
    <w:lvl w:ilvl="0" w:tentative="0">
      <w:start w:val="1"/>
      <w:numFmt w:val="lowerRoman"/>
      <w:lvlText w:val="%1."/>
      <w:lvlJc w:val="left"/>
      <w:pPr>
        <w:tabs>
          <w:tab w:val="left" w:pos="425"/>
        </w:tabs>
        <w:ind w:left="505" w:hanging="425"/>
      </w:pPr>
      <w:rPr>
        <w:rFonts w:hint="default"/>
      </w:rPr>
    </w:lvl>
  </w:abstractNum>
  <w:abstractNum w:abstractNumId="6">
    <w:nsid w:val="058862FB"/>
    <w:multiLevelType w:val="multilevel"/>
    <w:tmpl w:val="058862FB"/>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7">
    <w:nsid w:val="068555B6"/>
    <w:multiLevelType w:val="multilevel"/>
    <w:tmpl w:val="068555B6"/>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8">
    <w:nsid w:val="06F50F29"/>
    <w:multiLevelType w:val="multilevel"/>
    <w:tmpl w:val="06F50F29"/>
    <w:lvl w:ilvl="0" w:tentative="0">
      <w:start w:val="3"/>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9">
    <w:nsid w:val="07A57A40"/>
    <w:multiLevelType w:val="multilevel"/>
    <w:tmpl w:val="07A57A40"/>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10">
    <w:nsid w:val="08619AE3"/>
    <w:multiLevelType w:val="singleLevel"/>
    <w:tmpl w:val="08619AE3"/>
    <w:lvl w:ilvl="0" w:tentative="0">
      <w:start w:val="1"/>
      <w:numFmt w:val="lowerLetter"/>
      <w:lvlText w:val="%1)"/>
      <w:lvlJc w:val="left"/>
      <w:pPr>
        <w:tabs>
          <w:tab w:val="left" w:pos="425"/>
        </w:tabs>
        <w:ind w:left="1085" w:hanging="425"/>
      </w:pPr>
      <w:rPr>
        <w:rFonts w:hint="default"/>
      </w:rPr>
    </w:lvl>
  </w:abstractNum>
  <w:abstractNum w:abstractNumId="11">
    <w:nsid w:val="096E7969"/>
    <w:multiLevelType w:val="multilevel"/>
    <w:tmpl w:val="096E7969"/>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2">
    <w:nsid w:val="0B403D32"/>
    <w:multiLevelType w:val="multilevel"/>
    <w:tmpl w:val="0B403D32"/>
    <w:lvl w:ilvl="0" w:tentative="0">
      <w:start w:val="1"/>
      <w:numFmt w:val="decimal"/>
      <w:lvlText w:val="%1)"/>
      <w:lvlJc w:val="left"/>
      <w:pPr>
        <w:tabs>
          <w:tab w:val="left" w:pos="720"/>
        </w:tabs>
        <w:ind w:left="1260" w:hanging="360"/>
      </w:pPr>
      <w:rPr>
        <w:rFonts w:ascii="Times New Roman" w:hAnsi="Times New Roman" w:cs="Times New Roman"/>
        <w:sz w:val="22"/>
        <w:szCs w:val="22"/>
      </w:rPr>
    </w:lvl>
    <w:lvl w:ilvl="1" w:tentative="0">
      <w:start w:val="1"/>
      <w:numFmt w:val="decimal"/>
      <w:lvlText w:val="%2)"/>
      <w:lvlJc w:val="left"/>
      <w:pPr>
        <w:tabs>
          <w:tab w:val="left" w:pos="1080"/>
        </w:tabs>
        <w:ind w:left="1620" w:hanging="360"/>
      </w:pPr>
      <w:rPr>
        <w:rFonts w:ascii="Times New Roman" w:hAnsi="Times New Roman" w:cs="Times New Roman"/>
        <w:sz w:val="22"/>
        <w:szCs w:val="22"/>
      </w:rPr>
    </w:lvl>
    <w:lvl w:ilvl="2" w:tentative="0">
      <w:start w:val="1"/>
      <w:numFmt w:val="decimal"/>
      <w:lvlText w:val="%3)"/>
      <w:lvlJc w:val="left"/>
      <w:pPr>
        <w:tabs>
          <w:tab w:val="left" w:pos="1440"/>
        </w:tabs>
        <w:ind w:left="1980" w:hanging="360"/>
      </w:pPr>
      <w:rPr>
        <w:rFonts w:ascii="Times New Roman" w:hAnsi="Times New Roman" w:cs="Times New Roman"/>
        <w:sz w:val="22"/>
        <w:szCs w:val="22"/>
      </w:rPr>
    </w:lvl>
    <w:lvl w:ilvl="3" w:tentative="0">
      <w:start w:val="1"/>
      <w:numFmt w:val="decimal"/>
      <w:lvlText w:val="%4)"/>
      <w:lvlJc w:val="left"/>
      <w:pPr>
        <w:tabs>
          <w:tab w:val="left" w:pos="1800"/>
        </w:tabs>
        <w:ind w:left="2340" w:hanging="360"/>
      </w:pPr>
      <w:rPr>
        <w:rFonts w:ascii="Times New Roman" w:hAnsi="Times New Roman" w:cs="Times New Roman"/>
        <w:sz w:val="22"/>
        <w:szCs w:val="22"/>
      </w:rPr>
    </w:lvl>
    <w:lvl w:ilvl="4" w:tentative="0">
      <w:start w:val="1"/>
      <w:numFmt w:val="decimal"/>
      <w:lvlText w:val="%5)"/>
      <w:lvlJc w:val="left"/>
      <w:pPr>
        <w:tabs>
          <w:tab w:val="left" w:pos="2160"/>
        </w:tabs>
        <w:ind w:left="2700" w:hanging="360"/>
      </w:pPr>
      <w:rPr>
        <w:rFonts w:ascii="Times New Roman" w:hAnsi="Times New Roman" w:cs="Times New Roman"/>
        <w:sz w:val="22"/>
        <w:szCs w:val="22"/>
      </w:rPr>
    </w:lvl>
    <w:lvl w:ilvl="5" w:tentative="0">
      <w:start w:val="1"/>
      <w:numFmt w:val="decimal"/>
      <w:lvlText w:val="%6)"/>
      <w:lvlJc w:val="left"/>
      <w:pPr>
        <w:tabs>
          <w:tab w:val="left" w:pos="2520"/>
        </w:tabs>
        <w:ind w:left="3060" w:hanging="360"/>
      </w:pPr>
      <w:rPr>
        <w:rFonts w:ascii="Times New Roman" w:hAnsi="Times New Roman" w:cs="Times New Roman"/>
        <w:sz w:val="22"/>
        <w:szCs w:val="22"/>
      </w:rPr>
    </w:lvl>
    <w:lvl w:ilvl="6" w:tentative="0">
      <w:start w:val="1"/>
      <w:numFmt w:val="decimal"/>
      <w:lvlText w:val="%7)"/>
      <w:lvlJc w:val="left"/>
      <w:pPr>
        <w:tabs>
          <w:tab w:val="left" w:pos="2880"/>
        </w:tabs>
        <w:ind w:left="3420" w:hanging="360"/>
      </w:pPr>
      <w:rPr>
        <w:rFonts w:ascii="Times New Roman" w:hAnsi="Times New Roman" w:cs="Times New Roman"/>
        <w:sz w:val="22"/>
        <w:szCs w:val="22"/>
      </w:rPr>
    </w:lvl>
    <w:lvl w:ilvl="7" w:tentative="0">
      <w:start w:val="1"/>
      <w:numFmt w:val="decimal"/>
      <w:lvlText w:val="%8)"/>
      <w:lvlJc w:val="left"/>
      <w:pPr>
        <w:tabs>
          <w:tab w:val="left" w:pos="3240"/>
        </w:tabs>
        <w:ind w:left="3780" w:hanging="360"/>
      </w:pPr>
      <w:rPr>
        <w:rFonts w:ascii="Times New Roman" w:hAnsi="Times New Roman" w:cs="Times New Roman"/>
        <w:sz w:val="22"/>
        <w:szCs w:val="22"/>
      </w:rPr>
    </w:lvl>
    <w:lvl w:ilvl="8" w:tentative="0">
      <w:start w:val="1"/>
      <w:numFmt w:val="decimal"/>
      <w:lvlText w:val="%9)"/>
      <w:lvlJc w:val="left"/>
      <w:pPr>
        <w:tabs>
          <w:tab w:val="left" w:pos="3600"/>
        </w:tabs>
        <w:ind w:left="4140" w:hanging="360"/>
      </w:pPr>
      <w:rPr>
        <w:rFonts w:ascii="Times New Roman" w:hAnsi="Times New Roman" w:cs="Times New Roman"/>
        <w:sz w:val="22"/>
        <w:szCs w:val="22"/>
      </w:rPr>
    </w:lvl>
  </w:abstractNum>
  <w:abstractNum w:abstractNumId="13">
    <w:nsid w:val="0C292EEE"/>
    <w:multiLevelType w:val="multilevel"/>
    <w:tmpl w:val="0C292EEE"/>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4">
    <w:nsid w:val="105712F0"/>
    <w:multiLevelType w:val="multilevel"/>
    <w:tmpl w:val="105712F0"/>
    <w:lvl w:ilvl="0" w:tentative="0">
      <w:start w:val="1"/>
      <w:numFmt w:val="decimal"/>
      <w:lvlText w:val="%1)"/>
      <w:lvlJc w:val="left"/>
      <w:pPr>
        <w:tabs>
          <w:tab w:val="left" w:pos="720"/>
        </w:tabs>
        <w:ind w:left="1040" w:hanging="360"/>
      </w:pPr>
      <w:rPr>
        <w:rFonts w:ascii="Times New Roman" w:hAnsi="Times New Roman" w:cs="Times New Roman"/>
        <w:sz w:val="22"/>
        <w:szCs w:val="22"/>
      </w:rPr>
    </w:lvl>
    <w:lvl w:ilvl="1" w:tentative="0">
      <w:start w:val="1"/>
      <w:numFmt w:val="decimal"/>
      <w:lvlText w:val="%2)"/>
      <w:lvlJc w:val="left"/>
      <w:pPr>
        <w:tabs>
          <w:tab w:val="left" w:pos="1080"/>
        </w:tabs>
        <w:ind w:left="1400" w:hanging="360"/>
      </w:pPr>
      <w:rPr>
        <w:rFonts w:ascii="Times New Roman" w:hAnsi="Times New Roman" w:cs="Times New Roman"/>
        <w:sz w:val="22"/>
        <w:szCs w:val="22"/>
      </w:rPr>
    </w:lvl>
    <w:lvl w:ilvl="2" w:tentative="0">
      <w:start w:val="1"/>
      <w:numFmt w:val="decimal"/>
      <w:lvlText w:val="%3)"/>
      <w:lvlJc w:val="left"/>
      <w:pPr>
        <w:tabs>
          <w:tab w:val="left" w:pos="1440"/>
        </w:tabs>
        <w:ind w:left="1760" w:hanging="360"/>
      </w:pPr>
      <w:rPr>
        <w:rFonts w:ascii="Times New Roman" w:hAnsi="Times New Roman" w:cs="Times New Roman"/>
        <w:sz w:val="22"/>
        <w:szCs w:val="22"/>
      </w:rPr>
    </w:lvl>
    <w:lvl w:ilvl="3" w:tentative="0">
      <w:start w:val="1"/>
      <w:numFmt w:val="decimal"/>
      <w:lvlText w:val="%4)"/>
      <w:lvlJc w:val="left"/>
      <w:pPr>
        <w:tabs>
          <w:tab w:val="left" w:pos="1800"/>
        </w:tabs>
        <w:ind w:left="2120" w:hanging="360"/>
      </w:pPr>
      <w:rPr>
        <w:rFonts w:ascii="Times New Roman" w:hAnsi="Times New Roman" w:cs="Times New Roman"/>
        <w:sz w:val="22"/>
        <w:szCs w:val="22"/>
      </w:rPr>
    </w:lvl>
    <w:lvl w:ilvl="4" w:tentative="0">
      <w:start w:val="1"/>
      <w:numFmt w:val="decimal"/>
      <w:lvlText w:val="%5)"/>
      <w:lvlJc w:val="left"/>
      <w:pPr>
        <w:tabs>
          <w:tab w:val="left" w:pos="2160"/>
        </w:tabs>
        <w:ind w:left="2480" w:hanging="360"/>
      </w:pPr>
      <w:rPr>
        <w:rFonts w:ascii="Times New Roman" w:hAnsi="Times New Roman" w:cs="Times New Roman"/>
        <w:sz w:val="22"/>
        <w:szCs w:val="22"/>
      </w:rPr>
    </w:lvl>
    <w:lvl w:ilvl="5" w:tentative="0">
      <w:start w:val="1"/>
      <w:numFmt w:val="decimal"/>
      <w:lvlText w:val="%6)"/>
      <w:lvlJc w:val="left"/>
      <w:pPr>
        <w:tabs>
          <w:tab w:val="left" w:pos="2520"/>
        </w:tabs>
        <w:ind w:left="2840" w:hanging="360"/>
      </w:pPr>
      <w:rPr>
        <w:rFonts w:ascii="Times New Roman" w:hAnsi="Times New Roman" w:cs="Times New Roman"/>
        <w:sz w:val="22"/>
        <w:szCs w:val="22"/>
      </w:rPr>
    </w:lvl>
    <w:lvl w:ilvl="6" w:tentative="0">
      <w:start w:val="1"/>
      <w:numFmt w:val="decimal"/>
      <w:lvlText w:val="%7)"/>
      <w:lvlJc w:val="left"/>
      <w:pPr>
        <w:tabs>
          <w:tab w:val="left" w:pos="2880"/>
        </w:tabs>
        <w:ind w:left="3200" w:hanging="360"/>
      </w:pPr>
      <w:rPr>
        <w:rFonts w:ascii="Times New Roman" w:hAnsi="Times New Roman" w:cs="Times New Roman"/>
        <w:sz w:val="22"/>
        <w:szCs w:val="22"/>
      </w:rPr>
    </w:lvl>
    <w:lvl w:ilvl="7" w:tentative="0">
      <w:start w:val="1"/>
      <w:numFmt w:val="decimal"/>
      <w:lvlText w:val="%8)"/>
      <w:lvlJc w:val="left"/>
      <w:pPr>
        <w:tabs>
          <w:tab w:val="left" w:pos="3240"/>
        </w:tabs>
        <w:ind w:left="3560" w:hanging="360"/>
      </w:pPr>
      <w:rPr>
        <w:rFonts w:ascii="Times New Roman" w:hAnsi="Times New Roman" w:cs="Times New Roman"/>
        <w:sz w:val="22"/>
        <w:szCs w:val="22"/>
      </w:rPr>
    </w:lvl>
    <w:lvl w:ilvl="8" w:tentative="0">
      <w:start w:val="1"/>
      <w:numFmt w:val="decimal"/>
      <w:lvlText w:val="%9)"/>
      <w:lvlJc w:val="left"/>
      <w:pPr>
        <w:tabs>
          <w:tab w:val="left" w:pos="3600"/>
        </w:tabs>
        <w:ind w:left="3920" w:hanging="360"/>
      </w:pPr>
      <w:rPr>
        <w:rFonts w:ascii="Times New Roman" w:hAnsi="Times New Roman" w:cs="Times New Roman"/>
        <w:sz w:val="22"/>
        <w:szCs w:val="22"/>
      </w:rPr>
    </w:lvl>
  </w:abstractNum>
  <w:abstractNum w:abstractNumId="15">
    <w:nsid w:val="129177C8"/>
    <w:multiLevelType w:val="multilevel"/>
    <w:tmpl w:val="129177C8"/>
    <w:lvl w:ilvl="0" w:tentative="0">
      <w:start w:val="1"/>
      <w:numFmt w:val="decimal"/>
      <w:lvlText w:val="%1."/>
      <w:lvlJc w:val="left"/>
      <w:pPr>
        <w:tabs>
          <w:tab w:val="left" w:pos="720"/>
        </w:tabs>
        <w:ind w:left="720" w:hanging="360"/>
      </w:pPr>
      <w:rPr>
        <w:rFonts w:ascii="Times New Roman" w:hAnsi="Times New Roman" w:eastAsia="Times New Roman" w:cs="Times New Roman"/>
        <w:b w:val="0"/>
        <w:bCs w:val="0"/>
        <w:color w:val="000000"/>
        <w:kern w:val="2"/>
        <w:sz w:val="22"/>
        <w:szCs w:val="22"/>
        <w:lang w:val="pl-PL" w:eastAsia="pl-PL" w:bidi="ar-SA"/>
      </w:rPr>
    </w:lvl>
    <w:lvl w:ilvl="1" w:tentative="0">
      <w:start w:val="1"/>
      <w:numFmt w:val="decimal"/>
      <w:lvlText w:val="%2."/>
      <w:lvlJc w:val="left"/>
      <w:pPr>
        <w:tabs>
          <w:tab w:val="left" w:pos="1080"/>
        </w:tabs>
        <w:ind w:left="1080" w:hanging="360"/>
      </w:pPr>
      <w:rPr>
        <w:rFonts w:ascii="Times New Roman" w:hAnsi="Times New Roman" w:eastAsia="Times New Roman" w:cs="Times New Roman"/>
        <w:b w:val="0"/>
        <w:bCs w:val="0"/>
        <w:color w:val="000000"/>
        <w:kern w:val="2"/>
        <w:sz w:val="22"/>
        <w:szCs w:val="22"/>
        <w:lang w:val="pl-PL" w:eastAsia="pl-PL" w:bidi="ar-SA"/>
      </w:rPr>
    </w:lvl>
    <w:lvl w:ilvl="2" w:tentative="0">
      <w:start w:val="1"/>
      <w:numFmt w:val="decimal"/>
      <w:lvlText w:val="%3."/>
      <w:lvlJc w:val="left"/>
      <w:pPr>
        <w:tabs>
          <w:tab w:val="left" w:pos="1440"/>
        </w:tabs>
        <w:ind w:left="1440" w:hanging="360"/>
      </w:pPr>
      <w:rPr>
        <w:rFonts w:ascii="Times New Roman" w:hAnsi="Times New Roman" w:eastAsia="Times New Roman" w:cs="Times New Roman"/>
        <w:b w:val="0"/>
        <w:bCs w:val="0"/>
        <w:color w:val="000000"/>
        <w:kern w:val="2"/>
        <w:sz w:val="22"/>
        <w:szCs w:val="22"/>
        <w:lang w:val="pl-PL" w:eastAsia="pl-PL" w:bidi="ar-SA"/>
      </w:rPr>
    </w:lvl>
    <w:lvl w:ilvl="3" w:tentative="0">
      <w:start w:val="1"/>
      <w:numFmt w:val="decimal"/>
      <w:lvlText w:val="%4."/>
      <w:lvlJc w:val="left"/>
      <w:pPr>
        <w:tabs>
          <w:tab w:val="left" w:pos="1800"/>
        </w:tabs>
        <w:ind w:left="1800" w:hanging="360"/>
      </w:pPr>
      <w:rPr>
        <w:rFonts w:ascii="Times New Roman" w:hAnsi="Times New Roman" w:eastAsia="Times New Roman" w:cs="Times New Roman"/>
        <w:b w:val="0"/>
        <w:bCs w:val="0"/>
        <w:color w:val="000000"/>
        <w:kern w:val="2"/>
        <w:sz w:val="22"/>
        <w:szCs w:val="22"/>
        <w:lang w:val="pl-PL" w:eastAsia="pl-PL" w:bidi="ar-SA"/>
      </w:rPr>
    </w:lvl>
    <w:lvl w:ilvl="4" w:tentative="0">
      <w:start w:val="1"/>
      <w:numFmt w:val="decimal"/>
      <w:lvlText w:val="%5."/>
      <w:lvlJc w:val="left"/>
      <w:pPr>
        <w:tabs>
          <w:tab w:val="left" w:pos="2160"/>
        </w:tabs>
        <w:ind w:left="2160" w:hanging="360"/>
      </w:pPr>
      <w:rPr>
        <w:rFonts w:ascii="Times New Roman" w:hAnsi="Times New Roman" w:eastAsia="Times New Roman" w:cs="Times New Roman"/>
        <w:b w:val="0"/>
        <w:bCs w:val="0"/>
        <w:color w:val="000000"/>
        <w:kern w:val="2"/>
        <w:sz w:val="22"/>
        <w:szCs w:val="22"/>
        <w:lang w:val="pl-PL" w:eastAsia="pl-PL" w:bidi="ar-SA"/>
      </w:rPr>
    </w:lvl>
    <w:lvl w:ilvl="5" w:tentative="0">
      <w:start w:val="1"/>
      <w:numFmt w:val="decimal"/>
      <w:lvlText w:val="%6."/>
      <w:lvlJc w:val="left"/>
      <w:pPr>
        <w:tabs>
          <w:tab w:val="left" w:pos="2520"/>
        </w:tabs>
        <w:ind w:left="2520" w:hanging="360"/>
      </w:pPr>
      <w:rPr>
        <w:rFonts w:ascii="Times New Roman" w:hAnsi="Times New Roman" w:eastAsia="Times New Roman" w:cs="Times New Roman"/>
        <w:b w:val="0"/>
        <w:bCs w:val="0"/>
        <w:color w:val="000000"/>
        <w:kern w:val="2"/>
        <w:sz w:val="22"/>
        <w:szCs w:val="22"/>
        <w:lang w:val="pl-PL" w:eastAsia="pl-PL" w:bidi="ar-SA"/>
      </w:rPr>
    </w:lvl>
    <w:lvl w:ilvl="6" w:tentative="0">
      <w:start w:val="1"/>
      <w:numFmt w:val="decimal"/>
      <w:lvlText w:val="%7."/>
      <w:lvlJc w:val="left"/>
      <w:pPr>
        <w:tabs>
          <w:tab w:val="left" w:pos="2880"/>
        </w:tabs>
        <w:ind w:left="2880" w:hanging="360"/>
      </w:pPr>
      <w:rPr>
        <w:rFonts w:ascii="Times New Roman" w:hAnsi="Times New Roman" w:eastAsia="Times New Roman" w:cs="Times New Roman"/>
        <w:b w:val="0"/>
        <w:bCs w:val="0"/>
        <w:color w:val="000000"/>
        <w:kern w:val="2"/>
        <w:sz w:val="22"/>
        <w:szCs w:val="22"/>
        <w:lang w:val="pl-PL" w:eastAsia="pl-PL" w:bidi="ar-SA"/>
      </w:rPr>
    </w:lvl>
    <w:lvl w:ilvl="7" w:tentative="0">
      <w:start w:val="1"/>
      <w:numFmt w:val="decimal"/>
      <w:lvlText w:val="%8."/>
      <w:lvlJc w:val="left"/>
      <w:pPr>
        <w:tabs>
          <w:tab w:val="left" w:pos="3240"/>
        </w:tabs>
        <w:ind w:left="3240" w:hanging="360"/>
      </w:pPr>
      <w:rPr>
        <w:rFonts w:ascii="Times New Roman" w:hAnsi="Times New Roman" w:eastAsia="Times New Roman" w:cs="Times New Roman"/>
        <w:b w:val="0"/>
        <w:bCs w:val="0"/>
        <w:color w:val="000000"/>
        <w:kern w:val="2"/>
        <w:sz w:val="22"/>
        <w:szCs w:val="22"/>
        <w:lang w:val="pl-PL" w:eastAsia="pl-PL" w:bidi="ar-SA"/>
      </w:rPr>
    </w:lvl>
    <w:lvl w:ilvl="8" w:tentative="0">
      <w:start w:val="1"/>
      <w:numFmt w:val="decimal"/>
      <w:lvlText w:val="%9."/>
      <w:lvlJc w:val="left"/>
      <w:pPr>
        <w:tabs>
          <w:tab w:val="left" w:pos="3600"/>
        </w:tabs>
        <w:ind w:left="3600" w:hanging="360"/>
      </w:pPr>
      <w:rPr>
        <w:rFonts w:ascii="Times New Roman" w:hAnsi="Times New Roman" w:eastAsia="Times New Roman" w:cs="Times New Roman"/>
        <w:b w:val="0"/>
        <w:bCs w:val="0"/>
        <w:color w:val="000000"/>
        <w:kern w:val="2"/>
        <w:sz w:val="22"/>
        <w:szCs w:val="22"/>
        <w:lang w:val="pl-PL" w:eastAsia="pl-PL" w:bidi="ar-SA"/>
      </w:rPr>
    </w:lvl>
  </w:abstractNum>
  <w:abstractNum w:abstractNumId="16">
    <w:nsid w:val="140A6FD9"/>
    <w:multiLevelType w:val="multilevel"/>
    <w:tmpl w:val="140A6FD9"/>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7">
    <w:nsid w:val="148562FE"/>
    <w:multiLevelType w:val="multilevel"/>
    <w:tmpl w:val="148562FE"/>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8">
    <w:nsid w:val="1D23B9E1"/>
    <w:multiLevelType w:val="singleLevel"/>
    <w:tmpl w:val="1D23B9E1"/>
    <w:lvl w:ilvl="0" w:tentative="0">
      <w:start w:val="1"/>
      <w:numFmt w:val="lowerLetter"/>
      <w:lvlText w:val="%1)"/>
      <w:lvlJc w:val="left"/>
      <w:pPr>
        <w:tabs>
          <w:tab w:val="left" w:pos="425"/>
        </w:tabs>
        <w:ind w:left="865" w:hanging="425"/>
      </w:pPr>
      <w:rPr>
        <w:rFonts w:hint="default"/>
        <w:color w:val="auto"/>
      </w:rPr>
    </w:lvl>
  </w:abstractNum>
  <w:abstractNum w:abstractNumId="19">
    <w:nsid w:val="1E044516"/>
    <w:multiLevelType w:val="multilevel"/>
    <w:tmpl w:val="1E044516"/>
    <w:lvl w:ilvl="0" w:tentative="0">
      <w:start w:val="1"/>
      <w:numFmt w:val="decimal"/>
      <w:lvlText w:val="%1."/>
      <w:lvlJc w:val="left"/>
      <w:pPr>
        <w:ind w:left="360" w:hanging="360"/>
      </w:pPr>
    </w:lvl>
    <w:lvl w:ilvl="1" w:tentative="0">
      <w:start w:val="6"/>
      <w:numFmt w:val="bullet"/>
      <w:lvlText w:val=""/>
      <w:lvlJc w:val="left"/>
      <w:pPr>
        <w:ind w:left="1080" w:hanging="360"/>
      </w:pPr>
      <w:rPr>
        <w:rFonts w:hint="default" w:ascii="Symbol" w:hAnsi="Symbol" w:eastAsia="Times New Roman" w:cs="Times New Roman"/>
      </w:r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0">
    <w:nsid w:val="1E7105AF"/>
    <w:multiLevelType w:val="multilevel"/>
    <w:tmpl w:val="1E7105AF"/>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1">
    <w:nsid w:val="1F6B7E29"/>
    <w:multiLevelType w:val="multilevel"/>
    <w:tmpl w:val="1F6B7E29"/>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2">
    <w:nsid w:val="20300323"/>
    <w:multiLevelType w:val="multilevel"/>
    <w:tmpl w:val="20300323"/>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highlight w:val="yellow"/>
      </w:rPr>
    </w:lvl>
    <w:lvl w:ilvl="2" w:tentative="0">
      <w:start w:val="1"/>
      <w:numFmt w:val="decimal"/>
      <w:lvlText w:val="%3)"/>
      <w:lvlJc w:val="left"/>
      <w:pPr>
        <w:tabs>
          <w:tab w:val="left" w:pos="1440"/>
        </w:tabs>
        <w:ind w:left="1440" w:hanging="360"/>
      </w:pPr>
      <w:rPr>
        <w:rFonts w:ascii="Times New Roman" w:hAnsi="Times New Roman" w:cs="Times New Roman"/>
        <w:sz w:val="22"/>
        <w:szCs w:val="22"/>
        <w:highlight w:val="yellow"/>
      </w:rPr>
    </w:lvl>
    <w:lvl w:ilvl="3" w:tentative="0">
      <w:start w:val="1"/>
      <w:numFmt w:val="decimal"/>
      <w:lvlText w:val="%4)"/>
      <w:lvlJc w:val="left"/>
      <w:pPr>
        <w:tabs>
          <w:tab w:val="left" w:pos="1800"/>
        </w:tabs>
        <w:ind w:left="1800" w:hanging="360"/>
      </w:pPr>
      <w:rPr>
        <w:rFonts w:ascii="Times New Roman" w:hAnsi="Times New Roman" w:cs="Times New Roman"/>
        <w:sz w:val="22"/>
        <w:szCs w:val="22"/>
        <w:highlight w:val="yellow"/>
      </w:rPr>
    </w:lvl>
    <w:lvl w:ilvl="4" w:tentative="0">
      <w:start w:val="1"/>
      <w:numFmt w:val="decimal"/>
      <w:lvlText w:val="%5)"/>
      <w:lvlJc w:val="left"/>
      <w:pPr>
        <w:tabs>
          <w:tab w:val="left" w:pos="2160"/>
        </w:tabs>
        <w:ind w:left="2160" w:hanging="360"/>
      </w:pPr>
      <w:rPr>
        <w:rFonts w:ascii="Times New Roman" w:hAnsi="Times New Roman" w:cs="Times New Roman"/>
        <w:sz w:val="22"/>
        <w:szCs w:val="22"/>
        <w:highlight w:val="yellow"/>
      </w:rPr>
    </w:lvl>
    <w:lvl w:ilvl="5" w:tentative="0">
      <w:start w:val="1"/>
      <w:numFmt w:val="decimal"/>
      <w:lvlText w:val="%6)"/>
      <w:lvlJc w:val="left"/>
      <w:pPr>
        <w:tabs>
          <w:tab w:val="left" w:pos="2520"/>
        </w:tabs>
        <w:ind w:left="2520" w:hanging="360"/>
      </w:pPr>
      <w:rPr>
        <w:rFonts w:ascii="Times New Roman" w:hAnsi="Times New Roman" w:cs="Times New Roman"/>
        <w:sz w:val="22"/>
        <w:szCs w:val="22"/>
        <w:highlight w:val="yellow"/>
      </w:rPr>
    </w:lvl>
    <w:lvl w:ilvl="6" w:tentative="0">
      <w:start w:val="1"/>
      <w:numFmt w:val="decimal"/>
      <w:lvlText w:val="%7)"/>
      <w:lvlJc w:val="left"/>
      <w:pPr>
        <w:tabs>
          <w:tab w:val="left" w:pos="2880"/>
        </w:tabs>
        <w:ind w:left="2880" w:hanging="360"/>
      </w:pPr>
      <w:rPr>
        <w:rFonts w:ascii="Times New Roman" w:hAnsi="Times New Roman" w:cs="Times New Roman"/>
        <w:sz w:val="22"/>
        <w:szCs w:val="22"/>
        <w:highlight w:val="yellow"/>
      </w:rPr>
    </w:lvl>
    <w:lvl w:ilvl="7" w:tentative="0">
      <w:start w:val="1"/>
      <w:numFmt w:val="decimal"/>
      <w:lvlText w:val="%8)"/>
      <w:lvlJc w:val="left"/>
      <w:pPr>
        <w:tabs>
          <w:tab w:val="left" w:pos="3240"/>
        </w:tabs>
        <w:ind w:left="3240" w:hanging="360"/>
      </w:pPr>
      <w:rPr>
        <w:rFonts w:ascii="Times New Roman" w:hAnsi="Times New Roman" w:cs="Times New Roman"/>
        <w:sz w:val="22"/>
        <w:szCs w:val="22"/>
        <w:highlight w:val="yellow"/>
      </w:rPr>
    </w:lvl>
    <w:lvl w:ilvl="8" w:tentative="0">
      <w:start w:val="1"/>
      <w:numFmt w:val="decimal"/>
      <w:lvlText w:val="%9)"/>
      <w:lvlJc w:val="left"/>
      <w:pPr>
        <w:tabs>
          <w:tab w:val="left" w:pos="3600"/>
        </w:tabs>
        <w:ind w:left="3600" w:hanging="360"/>
      </w:pPr>
      <w:rPr>
        <w:rFonts w:ascii="Times New Roman" w:hAnsi="Times New Roman" w:cs="Times New Roman"/>
        <w:sz w:val="22"/>
        <w:szCs w:val="22"/>
        <w:highlight w:val="yellow"/>
      </w:rPr>
    </w:lvl>
  </w:abstractNum>
  <w:abstractNum w:abstractNumId="23">
    <w:nsid w:val="23082500"/>
    <w:multiLevelType w:val="multilevel"/>
    <w:tmpl w:val="23082500"/>
    <w:lvl w:ilvl="0" w:tentative="0">
      <w:start w:val="2"/>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4">
    <w:nsid w:val="25D816EC"/>
    <w:multiLevelType w:val="multilevel"/>
    <w:tmpl w:val="25D816EC"/>
    <w:lvl w:ilvl="0" w:tentative="0">
      <w:start w:val="1"/>
      <w:numFmt w:val="lowerLetter"/>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5">
    <w:nsid w:val="274F3761"/>
    <w:multiLevelType w:val="multilevel"/>
    <w:tmpl w:val="274F3761"/>
    <w:lvl w:ilvl="0" w:tentative="0">
      <w:start w:val="1"/>
      <w:numFmt w:val="decimal"/>
      <w:lvlText w:val="%1)"/>
      <w:lvlJc w:val="left"/>
      <w:pPr>
        <w:tabs>
          <w:tab w:val="left" w:pos="720"/>
        </w:tabs>
        <w:ind w:left="720" w:hanging="360"/>
      </w:pPr>
      <w:rPr>
        <w:rFonts w:ascii="Times New Roman" w:hAnsi="Times New Roman" w:cs="Times New Roman"/>
        <w:strike w:val="0"/>
        <w:dstrike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strike/>
        <w:sz w:val="22"/>
        <w:szCs w:val="22"/>
        <w:highlight w:val="yellow"/>
      </w:rPr>
    </w:lvl>
    <w:lvl w:ilvl="2" w:tentative="0">
      <w:start w:val="1"/>
      <w:numFmt w:val="decimal"/>
      <w:lvlText w:val="%3)"/>
      <w:lvlJc w:val="left"/>
      <w:pPr>
        <w:tabs>
          <w:tab w:val="left" w:pos="1440"/>
        </w:tabs>
        <w:ind w:left="1440" w:hanging="360"/>
      </w:pPr>
      <w:rPr>
        <w:rFonts w:ascii="Times New Roman" w:hAnsi="Times New Roman" w:cs="Times New Roman"/>
        <w:strike/>
        <w:sz w:val="22"/>
        <w:szCs w:val="22"/>
        <w:highlight w:val="yellow"/>
      </w:rPr>
    </w:lvl>
    <w:lvl w:ilvl="3" w:tentative="0">
      <w:start w:val="1"/>
      <w:numFmt w:val="decimal"/>
      <w:lvlText w:val="%4)"/>
      <w:lvlJc w:val="left"/>
      <w:pPr>
        <w:tabs>
          <w:tab w:val="left" w:pos="1800"/>
        </w:tabs>
        <w:ind w:left="1800" w:hanging="360"/>
      </w:pPr>
      <w:rPr>
        <w:rFonts w:ascii="Times New Roman" w:hAnsi="Times New Roman" w:cs="Times New Roman"/>
        <w:strike/>
        <w:sz w:val="22"/>
        <w:szCs w:val="22"/>
        <w:highlight w:val="yellow"/>
      </w:rPr>
    </w:lvl>
    <w:lvl w:ilvl="4" w:tentative="0">
      <w:start w:val="1"/>
      <w:numFmt w:val="decimal"/>
      <w:lvlText w:val="%5)"/>
      <w:lvlJc w:val="left"/>
      <w:pPr>
        <w:tabs>
          <w:tab w:val="left" w:pos="2160"/>
        </w:tabs>
        <w:ind w:left="2160" w:hanging="360"/>
      </w:pPr>
      <w:rPr>
        <w:rFonts w:ascii="Times New Roman" w:hAnsi="Times New Roman" w:cs="Times New Roman"/>
        <w:strike/>
        <w:sz w:val="22"/>
        <w:szCs w:val="22"/>
        <w:highlight w:val="yellow"/>
      </w:rPr>
    </w:lvl>
    <w:lvl w:ilvl="5" w:tentative="0">
      <w:start w:val="1"/>
      <w:numFmt w:val="decimal"/>
      <w:lvlText w:val="%6)"/>
      <w:lvlJc w:val="left"/>
      <w:pPr>
        <w:tabs>
          <w:tab w:val="left" w:pos="2520"/>
        </w:tabs>
        <w:ind w:left="2520" w:hanging="360"/>
      </w:pPr>
      <w:rPr>
        <w:rFonts w:ascii="Times New Roman" w:hAnsi="Times New Roman" w:cs="Times New Roman"/>
        <w:strike/>
        <w:sz w:val="22"/>
        <w:szCs w:val="22"/>
        <w:highlight w:val="yellow"/>
      </w:rPr>
    </w:lvl>
    <w:lvl w:ilvl="6" w:tentative="0">
      <w:start w:val="1"/>
      <w:numFmt w:val="decimal"/>
      <w:lvlText w:val="%7)"/>
      <w:lvlJc w:val="left"/>
      <w:pPr>
        <w:tabs>
          <w:tab w:val="left" w:pos="2880"/>
        </w:tabs>
        <w:ind w:left="2880" w:hanging="360"/>
      </w:pPr>
      <w:rPr>
        <w:rFonts w:ascii="Times New Roman" w:hAnsi="Times New Roman" w:cs="Times New Roman"/>
        <w:strike/>
        <w:sz w:val="22"/>
        <w:szCs w:val="22"/>
        <w:highlight w:val="yellow"/>
      </w:rPr>
    </w:lvl>
    <w:lvl w:ilvl="7" w:tentative="0">
      <w:start w:val="1"/>
      <w:numFmt w:val="decimal"/>
      <w:lvlText w:val="%8)"/>
      <w:lvlJc w:val="left"/>
      <w:pPr>
        <w:tabs>
          <w:tab w:val="left" w:pos="3240"/>
        </w:tabs>
        <w:ind w:left="3240" w:hanging="360"/>
      </w:pPr>
      <w:rPr>
        <w:rFonts w:ascii="Times New Roman" w:hAnsi="Times New Roman" w:cs="Times New Roman"/>
        <w:strike/>
        <w:sz w:val="22"/>
        <w:szCs w:val="22"/>
        <w:highlight w:val="yellow"/>
      </w:rPr>
    </w:lvl>
    <w:lvl w:ilvl="8" w:tentative="0">
      <w:start w:val="1"/>
      <w:numFmt w:val="decimal"/>
      <w:lvlText w:val="%9)"/>
      <w:lvlJc w:val="left"/>
      <w:pPr>
        <w:tabs>
          <w:tab w:val="left" w:pos="3600"/>
        </w:tabs>
        <w:ind w:left="3600" w:hanging="360"/>
      </w:pPr>
      <w:rPr>
        <w:rFonts w:ascii="Times New Roman" w:hAnsi="Times New Roman" w:cs="Times New Roman"/>
        <w:strike/>
        <w:sz w:val="22"/>
        <w:szCs w:val="22"/>
        <w:highlight w:val="yellow"/>
      </w:rPr>
    </w:lvl>
  </w:abstractNum>
  <w:abstractNum w:abstractNumId="26">
    <w:nsid w:val="28421469"/>
    <w:multiLevelType w:val="multilevel"/>
    <w:tmpl w:val="28421469"/>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7">
    <w:nsid w:val="28D1123D"/>
    <w:multiLevelType w:val="multilevel"/>
    <w:tmpl w:val="28D1123D"/>
    <w:lvl w:ilvl="0" w:tentative="0">
      <w:start w:val="1"/>
      <w:numFmt w:val="decimal"/>
      <w:lvlText w:val="%1)"/>
      <w:lvlJc w:val="left"/>
      <w:pPr>
        <w:tabs>
          <w:tab w:val="left" w:pos="720"/>
        </w:tabs>
        <w:ind w:left="720" w:hanging="360"/>
      </w:pPr>
      <w:rPr>
        <w:rFonts w:ascii="Times New Roman" w:hAnsi="Times New Roman" w:eastAsia="Times New Roman" w:cs="Times New Roman"/>
        <w:b w:val="0"/>
        <w:bCs w:val="0"/>
        <w:vanish w:val="0"/>
        <w:color w:val="000000"/>
        <w:sz w:val="22"/>
        <w:szCs w:val="22"/>
        <w:lang w:val="pl-PL"/>
      </w:rPr>
    </w:lvl>
    <w:lvl w:ilvl="1" w:tentative="0">
      <w:start w:val="1"/>
      <w:numFmt w:val="decimal"/>
      <w:lvlText w:val="%2)"/>
      <w:lvlJc w:val="left"/>
      <w:pPr>
        <w:tabs>
          <w:tab w:val="left" w:pos="1080"/>
        </w:tabs>
        <w:ind w:left="1080" w:hanging="360"/>
      </w:pPr>
      <w:rPr>
        <w:rFonts w:ascii="Times New Roman" w:hAnsi="Times New Roman" w:eastAsia="Times New Roman" w:cs="Times New Roman"/>
        <w:b w:val="0"/>
        <w:bCs w:val="0"/>
        <w:vanish w:val="0"/>
        <w:color w:val="000000"/>
        <w:sz w:val="22"/>
        <w:szCs w:val="22"/>
        <w:lang w:val="pl-PL"/>
      </w:rPr>
    </w:lvl>
    <w:lvl w:ilvl="2" w:tentative="0">
      <w:start w:val="1"/>
      <w:numFmt w:val="decimal"/>
      <w:lvlText w:val="%3)"/>
      <w:lvlJc w:val="left"/>
      <w:pPr>
        <w:tabs>
          <w:tab w:val="left" w:pos="1440"/>
        </w:tabs>
        <w:ind w:left="1440" w:hanging="360"/>
      </w:pPr>
      <w:rPr>
        <w:rFonts w:ascii="Times New Roman" w:hAnsi="Times New Roman" w:eastAsia="Times New Roman" w:cs="Times New Roman"/>
        <w:b w:val="0"/>
        <w:bCs w:val="0"/>
        <w:vanish w:val="0"/>
        <w:color w:val="000000"/>
        <w:sz w:val="22"/>
        <w:szCs w:val="22"/>
        <w:lang w:val="pl-PL"/>
      </w:rPr>
    </w:lvl>
    <w:lvl w:ilvl="3" w:tentative="0">
      <w:start w:val="1"/>
      <w:numFmt w:val="decimal"/>
      <w:lvlText w:val="%4)"/>
      <w:lvlJc w:val="left"/>
      <w:pPr>
        <w:tabs>
          <w:tab w:val="left" w:pos="1800"/>
        </w:tabs>
        <w:ind w:left="1800" w:hanging="360"/>
      </w:pPr>
      <w:rPr>
        <w:rFonts w:ascii="Times New Roman" w:hAnsi="Times New Roman" w:eastAsia="Times New Roman" w:cs="Times New Roman"/>
        <w:b w:val="0"/>
        <w:bCs w:val="0"/>
        <w:vanish w:val="0"/>
        <w:color w:val="000000"/>
        <w:sz w:val="22"/>
        <w:szCs w:val="22"/>
        <w:lang w:val="pl-PL"/>
      </w:rPr>
    </w:lvl>
    <w:lvl w:ilvl="4" w:tentative="0">
      <w:start w:val="1"/>
      <w:numFmt w:val="decimal"/>
      <w:lvlText w:val="%5)"/>
      <w:lvlJc w:val="left"/>
      <w:pPr>
        <w:tabs>
          <w:tab w:val="left" w:pos="2160"/>
        </w:tabs>
        <w:ind w:left="2160" w:hanging="360"/>
      </w:pPr>
      <w:rPr>
        <w:rFonts w:ascii="Times New Roman" w:hAnsi="Times New Roman" w:eastAsia="Times New Roman" w:cs="Times New Roman"/>
        <w:b w:val="0"/>
        <w:bCs w:val="0"/>
        <w:vanish w:val="0"/>
        <w:color w:val="000000"/>
        <w:sz w:val="22"/>
        <w:szCs w:val="22"/>
        <w:lang w:val="pl-PL"/>
      </w:rPr>
    </w:lvl>
    <w:lvl w:ilvl="5" w:tentative="0">
      <w:start w:val="1"/>
      <w:numFmt w:val="decimal"/>
      <w:lvlText w:val="%6)"/>
      <w:lvlJc w:val="left"/>
      <w:pPr>
        <w:tabs>
          <w:tab w:val="left" w:pos="2520"/>
        </w:tabs>
        <w:ind w:left="2520" w:hanging="360"/>
      </w:pPr>
      <w:rPr>
        <w:rFonts w:ascii="Times New Roman" w:hAnsi="Times New Roman" w:eastAsia="Times New Roman" w:cs="Times New Roman"/>
        <w:b w:val="0"/>
        <w:bCs w:val="0"/>
        <w:vanish w:val="0"/>
        <w:color w:val="000000"/>
        <w:sz w:val="22"/>
        <w:szCs w:val="22"/>
        <w:lang w:val="pl-PL"/>
      </w:rPr>
    </w:lvl>
    <w:lvl w:ilvl="6" w:tentative="0">
      <w:start w:val="1"/>
      <w:numFmt w:val="decimal"/>
      <w:lvlText w:val="%7)"/>
      <w:lvlJc w:val="left"/>
      <w:pPr>
        <w:tabs>
          <w:tab w:val="left" w:pos="2880"/>
        </w:tabs>
        <w:ind w:left="2880" w:hanging="360"/>
      </w:pPr>
      <w:rPr>
        <w:rFonts w:ascii="Times New Roman" w:hAnsi="Times New Roman" w:eastAsia="Times New Roman" w:cs="Times New Roman"/>
        <w:b w:val="0"/>
        <w:bCs w:val="0"/>
        <w:vanish w:val="0"/>
        <w:color w:val="000000"/>
        <w:sz w:val="22"/>
        <w:szCs w:val="22"/>
        <w:lang w:val="pl-PL"/>
      </w:rPr>
    </w:lvl>
    <w:lvl w:ilvl="7" w:tentative="0">
      <w:start w:val="1"/>
      <w:numFmt w:val="decimal"/>
      <w:lvlText w:val="%8)"/>
      <w:lvlJc w:val="left"/>
      <w:pPr>
        <w:tabs>
          <w:tab w:val="left" w:pos="3240"/>
        </w:tabs>
        <w:ind w:left="3240" w:hanging="360"/>
      </w:pPr>
      <w:rPr>
        <w:rFonts w:ascii="Times New Roman" w:hAnsi="Times New Roman" w:eastAsia="Times New Roman" w:cs="Times New Roman"/>
        <w:b w:val="0"/>
        <w:bCs w:val="0"/>
        <w:vanish w:val="0"/>
        <w:color w:val="000000"/>
        <w:sz w:val="22"/>
        <w:szCs w:val="22"/>
        <w:lang w:val="pl-PL"/>
      </w:rPr>
    </w:lvl>
    <w:lvl w:ilvl="8" w:tentative="0">
      <w:start w:val="1"/>
      <w:numFmt w:val="decimal"/>
      <w:lvlText w:val="%9)"/>
      <w:lvlJc w:val="left"/>
      <w:pPr>
        <w:tabs>
          <w:tab w:val="left" w:pos="3600"/>
        </w:tabs>
        <w:ind w:left="3600" w:hanging="360"/>
      </w:pPr>
      <w:rPr>
        <w:rFonts w:ascii="Times New Roman" w:hAnsi="Times New Roman" w:eastAsia="Times New Roman" w:cs="Times New Roman"/>
        <w:b w:val="0"/>
        <w:bCs w:val="0"/>
        <w:vanish w:val="0"/>
        <w:color w:val="000000"/>
        <w:sz w:val="22"/>
        <w:szCs w:val="22"/>
        <w:lang w:val="pl-PL"/>
      </w:rPr>
    </w:lvl>
  </w:abstractNum>
  <w:abstractNum w:abstractNumId="28">
    <w:nsid w:val="31582C13"/>
    <w:multiLevelType w:val="multilevel"/>
    <w:tmpl w:val="31582C13"/>
    <w:lvl w:ilvl="0" w:tentative="0">
      <w:start w:val="1"/>
      <w:numFmt w:val="lowerLetter"/>
      <w:lvlText w:val="%1)"/>
      <w:lvlJc w:val="left"/>
      <w:pPr>
        <w:ind w:left="1114" w:hanging="360"/>
      </w:pPr>
    </w:lvl>
    <w:lvl w:ilvl="1" w:tentative="0">
      <w:start w:val="1"/>
      <w:numFmt w:val="lowerLetter"/>
      <w:lvlText w:val="%2."/>
      <w:lvlJc w:val="left"/>
      <w:pPr>
        <w:ind w:left="1834" w:hanging="360"/>
      </w:pPr>
    </w:lvl>
    <w:lvl w:ilvl="2" w:tentative="0">
      <w:start w:val="1"/>
      <w:numFmt w:val="lowerRoman"/>
      <w:lvlText w:val="%3."/>
      <w:lvlJc w:val="right"/>
      <w:pPr>
        <w:ind w:left="2554" w:hanging="180"/>
      </w:pPr>
    </w:lvl>
    <w:lvl w:ilvl="3" w:tentative="0">
      <w:start w:val="1"/>
      <w:numFmt w:val="decimal"/>
      <w:lvlText w:val="%4."/>
      <w:lvlJc w:val="left"/>
      <w:pPr>
        <w:ind w:left="3274" w:hanging="360"/>
      </w:pPr>
    </w:lvl>
    <w:lvl w:ilvl="4" w:tentative="0">
      <w:start w:val="1"/>
      <w:numFmt w:val="lowerLetter"/>
      <w:lvlText w:val="%5."/>
      <w:lvlJc w:val="left"/>
      <w:pPr>
        <w:ind w:left="3994" w:hanging="360"/>
      </w:pPr>
    </w:lvl>
    <w:lvl w:ilvl="5" w:tentative="0">
      <w:start w:val="1"/>
      <w:numFmt w:val="lowerRoman"/>
      <w:lvlText w:val="%6."/>
      <w:lvlJc w:val="right"/>
      <w:pPr>
        <w:ind w:left="4714" w:hanging="180"/>
      </w:pPr>
    </w:lvl>
    <w:lvl w:ilvl="6" w:tentative="0">
      <w:start w:val="1"/>
      <w:numFmt w:val="decimal"/>
      <w:lvlText w:val="%7."/>
      <w:lvlJc w:val="left"/>
      <w:pPr>
        <w:ind w:left="5434" w:hanging="360"/>
      </w:pPr>
    </w:lvl>
    <w:lvl w:ilvl="7" w:tentative="0">
      <w:start w:val="1"/>
      <w:numFmt w:val="lowerLetter"/>
      <w:lvlText w:val="%8."/>
      <w:lvlJc w:val="left"/>
      <w:pPr>
        <w:ind w:left="6154" w:hanging="360"/>
      </w:pPr>
    </w:lvl>
    <w:lvl w:ilvl="8" w:tentative="0">
      <w:start w:val="1"/>
      <w:numFmt w:val="lowerRoman"/>
      <w:lvlText w:val="%9."/>
      <w:lvlJc w:val="right"/>
      <w:pPr>
        <w:ind w:left="6874" w:hanging="180"/>
      </w:pPr>
    </w:lvl>
  </w:abstractNum>
  <w:abstractNum w:abstractNumId="29">
    <w:nsid w:val="33E80FC4"/>
    <w:multiLevelType w:val="multilevel"/>
    <w:tmpl w:val="33E80FC4"/>
    <w:lvl w:ilvl="0" w:tentative="0">
      <w:start w:val="2"/>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30">
    <w:nsid w:val="3763048D"/>
    <w:multiLevelType w:val="multilevel"/>
    <w:tmpl w:val="3763048D"/>
    <w:lvl w:ilvl="0" w:tentative="0">
      <w:start w:val="1"/>
      <w:numFmt w:val="lowerLetter"/>
      <w:lvlText w:val="%1)"/>
      <w:lvlJc w:val="left"/>
      <w:pPr>
        <w:tabs>
          <w:tab w:val="left" w:pos="720"/>
        </w:tabs>
        <w:ind w:left="720" w:hanging="360"/>
      </w:pPr>
      <w:rPr>
        <w:rFonts w:ascii="Times New Roman" w:hAnsi="Times New Roman" w:eastAsia="Times New Roman" w:cs="Times New Roman"/>
        <w:color w:val="000000"/>
        <w:kern w:val="2"/>
        <w:sz w:val="22"/>
        <w:szCs w:val="22"/>
        <w:lang w:val="pl-PL" w:eastAsia="pl-PL" w:bidi="ar-SA"/>
      </w:rPr>
    </w:lvl>
    <w:lvl w:ilvl="1" w:tentative="0">
      <w:start w:val="1"/>
      <w:numFmt w:val="lowerLetter"/>
      <w:lvlText w:val="%2)"/>
      <w:lvlJc w:val="left"/>
      <w:pPr>
        <w:tabs>
          <w:tab w:val="left" w:pos="1080"/>
        </w:tabs>
        <w:ind w:left="1080" w:hanging="360"/>
      </w:pPr>
      <w:rPr>
        <w:rFonts w:ascii="Times New Roman" w:hAnsi="Times New Roman" w:eastAsia="Times New Roman" w:cs="Times New Roman"/>
        <w:color w:val="000000"/>
        <w:kern w:val="2"/>
        <w:sz w:val="22"/>
        <w:szCs w:val="22"/>
        <w:lang w:val="pl-PL" w:eastAsia="pl-PL" w:bidi="ar-SA"/>
      </w:rPr>
    </w:lvl>
    <w:lvl w:ilvl="2" w:tentative="0">
      <w:start w:val="1"/>
      <w:numFmt w:val="lowerLetter"/>
      <w:lvlText w:val="%3)"/>
      <w:lvlJc w:val="left"/>
      <w:pPr>
        <w:tabs>
          <w:tab w:val="left" w:pos="1440"/>
        </w:tabs>
        <w:ind w:left="1440" w:hanging="360"/>
      </w:pPr>
      <w:rPr>
        <w:rFonts w:ascii="Times New Roman" w:hAnsi="Times New Roman" w:eastAsia="Times New Roman" w:cs="Times New Roman"/>
        <w:color w:val="000000"/>
        <w:kern w:val="2"/>
        <w:sz w:val="22"/>
        <w:szCs w:val="22"/>
        <w:lang w:val="pl-PL" w:eastAsia="pl-PL" w:bidi="ar-SA"/>
      </w:rPr>
    </w:lvl>
    <w:lvl w:ilvl="3" w:tentative="0">
      <w:start w:val="1"/>
      <w:numFmt w:val="lowerLetter"/>
      <w:lvlText w:val="%4)"/>
      <w:lvlJc w:val="left"/>
      <w:pPr>
        <w:tabs>
          <w:tab w:val="left" w:pos="1800"/>
        </w:tabs>
        <w:ind w:left="1800" w:hanging="360"/>
      </w:pPr>
      <w:rPr>
        <w:rFonts w:ascii="Times New Roman" w:hAnsi="Times New Roman" w:eastAsia="Times New Roman" w:cs="Times New Roman"/>
        <w:color w:val="000000"/>
        <w:kern w:val="2"/>
        <w:sz w:val="22"/>
        <w:szCs w:val="22"/>
        <w:lang w:val="pl-PL" w:eastAsia="pl-PL" w:bidi="ar-SA"/>
      </w:rPr>
    </w:lvl>
    <w:lvl w:ilvl="4" w:tentative="0">
      <w:start w:val="1"/>
      <w:numFmt w:val="lowerLetter"/>
      <w:lvlText w:val="%5)"/>
      <w:lvlJc w:val="left"/>
      <w:pPr>
        <w:tabs>
          <w:tab w:val="left" w:pos="2160"/>
        </w:tabs>
        <w:ind w:left="2160" w:hanging="360"/>
      </w:pPr>
      <w:rPr>
        <w:rFonts w:ascii="Times New Roman" w:hAnsi="Times New Roman" w:eastAsia="Times New Roman" w:cs="Times New Roman"/>
        <w:color w:val="000000"/>
        <w:kern w:val="2"/>
        <w:sz w:val="22"/>
        <w:szCs w:val="22"/>
        <w:lang w:val="pl-PL" w:eastAsia="pl-PL" w:bidi="ar-SA"/>
      </w:rPr>
    </w:lvl>
    <w:lvl w:ilvl="5" w:tentative="0">
      <w:start w:val="1"/>
      <w:numFmt w:val="lowerLetter"/>
      <w:lvlText w:val="%6)"/>
      <w:lvlJc w:val="left"/>
      <w:pPr>
        <w:tabs>
          <w:tab w:val="left" w:pos="2520"/>
        </w:tabs>
        <w:ind w:left="2520" w:hanging="360"/>
      </w:pPr>
      <w:rPr>
        <w:rFonts w:ascii="Times New Roman" w:hAnsi="Times New Roman" w:eastAsia="Times New Roman" w:cs="Times New Roman"/>
        <w:color w:val="000000"/>
        <w:kern w:val="2"/>
        <w:sz w:val="22"/>
        <w:szCs w:val="22"/>
        <w:lang w:val="pl-PL" w:eastAsia="pl-PL" w:bidi="ar-SA"/>
      </w:rPr>
    </w:lvl>
    <w:lvl w:ilvl="6" w:tentative="0">
      <w:start w:val="1"/>
      <w:numFmt w:val="lowerLetter"/>
      <w:lvlText w:val="%7)"/>
      <w:lvlJc w:val="left"/>
      <w:pPr>
        <w:tabs>
          <w:tab w:val="left" w:pos="2880"/>
        </w:tabs>
        <w:ind w:left="2880" w:hanging="360"/>
      </w:pPr>
      <w:rPr>
        <w:rFonts w:ascii="Times New Roman" w:hAnsi="Times New Roman" w:eastAsia="Times New Roman" w:cs="Times New Roman"/>
        <w:color w:val="000000"/>
        <w:kern w:val="2"/>
        <w:sz w:val="22"/>
        <w:szCs w:val="22"/>
        <w:lang w:val="pl-PL" w:eastAsia="pl-PL" w:bidi="ar-SA"/>
      </w:rPr>
    </w:lvl>
    <w:lvl w:ilvl="7" w:tentative="0">
      <w:start w:val="1"/>
      <w:numFmt w:val="lowerLetter"/>
      <w:lvlText w:val="%8)"/>
      <w:lvlJc w:val="left"/>
      <w:pPr>
        <w:tabs>
          <w:tab w:val="left" w:pos="3240"/>
        </w:tabs>
        <w:ind w:left="3240" w:hanging="360"/>
      </w:pPr>
      <w:rPr>
        <w:rFonts w:ascii="Times New Roman" w:hAnsi="Times New Roman" w:eastAsia="Times New Roman" w:cs="Times New Roman"/>
        <w:color w:val="000000"/>
        <w:kern w:val="2"/>
        <w:sz w:val="22"/>
        <w:szCs w:val="22"/>
        <w:lang w:val="pl-PL" w:eastAsia="pl-PL" w:bidi="ar-SA"/>
      </w:rPr>
    </w:lvl>
    <w:lvl w:ilvl="8" w:tentative="0">
      <w:start w:val="1"/>
      <w:numFmt w:val="lowerLetter"/>
      <w:lvlText w:val="%9)"/>
      <w:lvlJc w:val="left"/>
      <w:pPr>
        <w:tabs>
          <w:tab w:val="left" w:pos="3600"/>
        </w:tabs>
        <w:ind w:left="3600" w:hanging="360"/>
      </w:pPr>
      <w:rPr>
        <w:rFonts w:ascii="Times New Roman" w:hAnsi="Times New Roman" w:eastAsia="Times New Roman" w:cs="Times New Roman"/>
        <w:color w:val="000000"/>
        <w:kern w:val="2"/>
        <w:sz w:val="22"/>
        <w:szCs w:val="22"/>
        <w:lang w:val="pl-PL" w:eastAsia="pl-PL" w:bidi="ar-SA"/>
      </w:rPr>
    </w:lvl>
  </w:abstractNum>
  <w:abstractNum w:abstractNumId="31">
    <w:nsid w:val="385F6379"/>
    <w:multiLevelType w:val="multilevel"/>
    <w:tmpl w:val="385F6379"/>
    <w:lvl w:ilvl="0" w:tentative="0">
      <w:start w:val="2"/>
      <w:numFmt w:val="decimal"/>
      <w:lvlText w:val="%1."/>
      <w:lvlJc w:val="left"/>
      <w:pPr>
        <w:tabs>
          <w:tab w:val="left" w:pos="720"/>
        </w:tabs>
        <w:ind w:left="720" w:hanging="360"/>
      </w:pPr>
      <w:rPr>
        <w:rFonts w:ascii="Times New Roman" w:hAnsi="Times New Roman" w:cs="Times New Roman"/>
        <w:b w:val="0"/>
        <w:bCs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color w:val="000000"/>
        <w:sz w:val="22"/>
        <w:szCs w:val="22"/>
      </w:rPr>
    </w:lvl>
  </w:abstractNum>
  <w:abstractNum w:abstractNumId="32">
    <w:nsid w:val="3C9E324C"/>
    <w:multiLevelType w:val="multilevel"/>
    <w:tmpl w:val="3C9E324C"/>
    <w:lvl w:ilvl="0" w:tentative="0">
      <w:start w:val="1"/>
      <w:numFmt w:val="lowerLetter"/>
      <w:lvlText w:val="%1)"/>
      <w:lvlJc w:val="left"/>
      <w:pPr>
        <w:tabs>
          <w:tab w:val="left" w:pos="720"/>
        </w:tabs>
        <w:ind w:left="720" w:hanging="360"/>
      </w:pPr>
      <w:rPr>
        <w:rFonts w:ascii="Times New Roman" w:hAnsi="Times New Roman" w:eastAsia="Times New Roman" w:cs="Times New Roman"/>
        <w:color w:val="000000"/>
        <w:kern w:val="2"/>
        <w:sz w:val="22"/>
        <w:szCs w:val="22"/>
        <w:lang w:val="pl-PL" w:eastAsia="pl-PL" w:bidi="ar-SA"/>
      </w:rPr>
    </w:lvl>
    <w:lvl w:ilvl="1" w:tentative="0">
      <w:start w:val="1"/>
      <w:numFmt w:val="decimal"/>
      <w:lvlText w:val="%2)"/>
      <w:lvlJc w:val="left"/>
      <w:pPr>
        <w:tabs>
          <w:tab w:val="left" w:pos="1080"/>
        </w:tabs>
        <w:ind w:left="1080" w:hanging="360"/>
      </w:pPr>
      <w:rPr>
        <w:rFonts w:ascii="Times New Roman" w:hAnsi="Times New Roman" w:eastAsia="Times New Roman" w:cs="Times New Roman"/>
        <w:color w:val="000000"/>
        <w:kern w:val="2"/>
        <w:sz w:val="22"/>
        <w:szCs w:val="22"/>
        <w:lang w:val="pl-PL" w:eastAsia="pl-PL" w:bidi="ar-SA"/>
      </w:rPr>
    </w:lvl>
    <w:lvl w:ilvl="2" w:tentative="0">
      <w:start w:val="1"/>
      <w:numFmt w:val="decimal"/>
      <w:lvlText w:val="%3)"/>
      <w:lvlJc w:val="left"/>
      <w:pPr>
        <w:tabs>
          <w:tab w:val="left" w:pos="1440"/>
        </w:tabs>
        <w:ind w:left="1440" w:hanging="360"/>
      </w:pPr>
      <w:rPr>
        <w:rFonts w:ascii="Times New Roman" w:hAnsi="Times New Roman" w:eastAsia="Times New Roman" w:cs="Times New Roman"/>
        <w:color w:val="000000"/>
        <w:kern w:val="2"/>
        <w:sz w:val="22"/>
        <w:szCs w:val="22"/>
        <w:lang w:val="pl-PL" w:eastAsia="pl-PL" w:bidi="ar-SA"/>
      </w:rPr>
    </w:lvl>
    <w:lvl w:ilvl="3" w:tentative="0">
      <w:start w:val="1"/>
      <w:numFmt w:val="decimal"/>
      <w:lvlText w:val="%4)"/>
      <w:lvlJc w:val="left"/>
      <w:pPr>
        <w:tabs>
          <w:tab w:val="left" w:pos="1800"/>
        </w:tabs>
        <w:ind w:left="1800" w:hanging="360"/>
      </w:pPr>
      <w:rPr>
        <w:rFonts w:ascii="Times New Roman" w:hAnsi="Times New Roman" w:eastAsia="Times New Roman" w:cs="Times New Roman"/>
        <w:color w:val="000000"/>
        <w:kern w:val="2"/>
        <w:sz w:val="22"/>
        <w:szCs w:val="22"/>
        <w:lang w:val="pl-PL" w:eastAsia="pl-PL" w:bidi="ar-SA"/>
      </w:rPr>
    </w:lvl>
    <w:lvl w:ilvl="4" w:tentative="0">
      <w:start w:val="1"/>
      <w:numFmt w:val="decimal"/>
      <w:lvlText w:val="%5)"/>
      <w:lvlJc w:val="left"/>
      <w:pPr>
        <w:tabs>
          <w:tab w:val="left" w:pos="2160"/>
        </w:tabs>
        <w:ind w:left="2160" w:hanging="360"/>
      </w:pPr>
      <w:rPr>
        <w:rFonts w:ascii="Times New Roman" w:hAnsi="Times New Roman" w:eastAsia="Times New Roman" w:cs="Times New Roman"/>
        <w:color w:val="000000"/>
        <w:kern w:val="2"/>
        <w:sz w:val="22"/>
        <w:szCs w:val="22"/>
        <w:lang w:val="pl-PL" w:eastAsia="pl-PL" w:bidi="ar-SA"/>
      </w:rPr>
    </w:lvl>
    <w:lvl w:ilvl="5" w:tentative="0">
      <w:start w:val="1"/>
      <w:numFmt w:val="decimal"/>
      <w:lvlText w:val="%6)"/>
      <w:lvlJc w:val="left"/>
      <w:pPr>
        <w:tabs>
          <w:tab w:val="left" w:pos="2520"/>
        </w:tabs>
        <w:ind w:left="2520" w:hanging="360"/>
      </w:pPr>
      <w:rPr>
        <w:rFonts w:ascii="Times New Roman" w:hAnsi="Times New Roman" w:eastAsia="Times New Roman" w:cs="Times New Roman"/>
        <w:color w:val="000000"/>
        <w:kern w:val="2"/>
        <w:sz w:val="22"/>
        <w:szCs w:val="22"/>
        <w:lang w:val="pl-PL" w:eastAsia="pl-PL" w:bidi="ar-SA"/>
      </w:rPr>
    </w:lvl>
    <w:lvl w:ilvl="6" w:tentative="0">
      <w:start w:val="1"/>
      <w:numFmt w:val="decimal"/>
      <w:lvlText w:val="%7)"/>
      <w:lvlJc w:val="left"/>
      <w:pPr>
        <w:tabs>
          <w:tab w:val="left" w:pos="2880"/>
        </w:tabs>
        <w:ind w:left="2880" w:hanging="360"/>
      </w:pPr>
      <w:rPr>
        <w:rFonts w:ascii="Times New Roman" w:hAnsi="Times New Roman" w:eastAsia="Times New Roman" w:cs="Times New Roman"/>
        <w:color w:val="000000"/>
        <w:kern w:val="2"/>
        <w:sz w:val="22"/>
        <w:szCs w:val="22"/>
        <w:lang w:val="pl-PL" w:eastAsia="pl-PL" w:bidi="ar-SA"/>
      </w:rPr>
    </w:lvl>
    <w:lvl w:ilvl="7" w:tentative="0">
      <w:start w:val="1"/>
      <w:numFmt w:val="decimal"/>
      <w:lvlText w:val="%8)"/>
      <w:lvlJc w:val="left"/>
      <w:pPr>
        <w:tabs>
          <w:tab w:val="left" w:pos="3240"/>
        </w:tabs>
        <w:ind w:left="3240" w:hanging="360"/>
      </w:pPr>
      <w:rPr>
        <w:rFonts w:ascii="Times New Roman" w:hAnsi="Times New Roman" w:eastAsia="Times New Roman" w:cs="Times New Roman"/>
        <w:color w:val="000000"/>
        <w:kern w:val="2"/>
        <w:sz w:val="22"/>
        <w:szCs w:val="22"/>
        <w:lang w:val="pl-PL" w:eastAsia="pl-PL" w:bidi="ar-SA"/>
      </w:rPr>
    </w:lvl>
    <w:lvl w:ilvl="8" w:tentative="0">
      <w:start w:val="1"/>
      <w:numFmt w:val="decimal"/>
      <w:lvlText w:val="%9)"/>
      <w:lvlJc w:val="left"/>
      <w:pPr>
        <w:tabs>
          <w:tab w:val="left" w:pos="3600"/>
        </w:tabs>
        <w:ind w:left="3600" w:hanging="360"/>
      </w:pPr>
      <w:rPr>
        <w:rFonts w:ascii="Times New Roman" w:hAnsi="Times New Roman" w:eastAsia="Times New Roman" w:cs="Times New Roman"/>
        <w:color w:val="000000"/>
        <w:kern w:val="2"/>
        <w:sz w:val="22"/>
        <w:szCs w:val="22"/>
        <w:lang w:val="pl-PL" w:eastAsia="pl-PL" w:bidi="ar-SA"/>
      </w:rPr>
    </w:lvl>
  </w:abstractNum>
  <w:abstractNum w:abstractNumId="33">
    <w:nsid w:val="3D441873"/>
    <w:multiLevelType w:val="multilevel"/>
    <w:tmpl w:val="3D441873"/>
    <w:lvl w:ilvl="0" w:tentative="0">
      <w:start w:val="1"/>
      <w:numFmt w:val="lowerLetter"/>
      <w:lvlText w:val="%1)"/>
      <w:lvlJc w:val="left"/>
      <w:pPr>
        <w:tabs>
          <w:tab w:val="left" w:pos="720"/>
        </w:tabs>
        <w:ind w:left="720" w:hanging="360"/>
      </w:pPr>
      <w:rPr>
        <w:rFonts w:ascii="Times New Roman" w:hAnsi="Times New Roman" w:eastAsia="Times New Roman" w:cs="Times New Roman"/>
        <w:color w:val="000000"/>
        <w:sz w:val="22"/>
        <w:szCs w:val="22"/>
        <w:lang w:eastAsia="pl-PL" w:bidi="ar-SA"/>
      </w:rPr>
    </w:lvl>
    <w:lvl w:ilvl="1" w:tentative="0">
      <w:start w:val="1"/>
      <w:numFmt w:val="lowerLetter"/>
      <w:lvlText w:val="%2)"/>
      <w:lvlJc w:val="left"/>
      <w:pPr>
        <w:tabs>
          <w:tab w:val="left" w:pos="1080"/>
        </w:tabs>
        <w:ind w:left="1080" w:hanging="360"/>
      </w:pPr>
      <w:rPr>
        <w:rFonts w:ascii="Times New Roman" w:hAnsi="Times New Roman" w:eastAsia="Times New Roman" w:cs="Times New Roman"/>
        <w:color w:val="000000"/>
        <w:sz w:val="22"/>
        <w:szCs w:val="22"/>
        <w:lang w:eastAsia="pl-PL" w:bidi="ar-SA"/>
      </w:rPr>
    </w:lvl>
    <w:lvl w:ilvl="2" w:tentative="0">
      <w:start w:val="1"/>
      <w:numFmt w:val="lowerLetter"/>
      <w:lvlText w:val="%3)"/>
      <w:lvlJc w:val="left"/>
      <w:pPr>
        <w:tabs>
          <w:tab w:val="left" w:pos="1440"/>
        </w:tabs>
        <w:ind w:left="1440" w:hanging="360"/>
      </w:pPr>
      <w:rPr>
        <w:rFonts w:ascii="Times New Roman" w:hAnsi="Times New Roman" w:eastAsia="Times New Roman" w:cs="Times New Roman"/>
        <w:color w:val="000000"/>
        <w:sz w:val="22"/>
        <w:szCs w:val="22"/>
        <w:lang w:eastAsia="pl-PL" w:bidi="ar-SA"/>
      </w:rPr>
    </w:lvl>
    <w:lvl w:ilvl="3" w:tentative="0">
      <w:start w:val="1"/>
      <w:numFmt w:val="lowerLetter"/>
      <w:lvlText w:val="%4)"/>
      <w:lvlJc w:val="left"/>
      <w:pPr>
        <w:tabs>
          <w:tab w:val="left" w:pos="1800"/>
        </w:tabs>
        <w:ind w:left="1800" w:hanging="360"/>
      </w:pPr>
      <w:rPr>
        <w:rFonts w:ascii="Times New Roman" w:hAnsi="Times New Roman" w:eastAsia="Times New Roman" w:cs="Times New Roman"/>
        <w:color w:val="000000"/>
        <w:sz w:val="22"/>
        <w:szCs w:val="22"/>
        <w:lang w:eastAsia="pl-PL" w:bidi="ar-SA"/>
      </w:rPr>
    </w:lvl>
    <w:lvl w:ilvl="4" w:tentative="0">
      <w:start w:val="1"/>
      <w:numFmt w:val="lowerLetter"/>
      <w:lvlText w:val="%5)"/>
      <w:lvlJc w:val="left"/>
      <w:pPr>
        <w:tabs>
          <w:tab w:val="left" w:pos="2160"/>
        </w:tabs>
        <w:ind w:left="2160" w:hanging="360"/>
      </w:pPr>
      <w:rPr>
        <w:rFonts w:ascii="Times New Roman" w:hAnsi="Times New Roman" w:eastAsia="Times New Roman" w:cs="Times New Roman"/>
        <w:color w:val="000000"/>
        <w:sz w:val="22"/>
        <w:szCs w:val="22"/>
        <w:lang w:eastAsia="pl-PL" w:bidi="ar-SA"/>
      </w:rPr>
    </w:lvl>
    <w:lvl w:ilvl="5" w:tentative="0">
      <w:start w:val="1"/>
      <w:numFmt w:val="lowerLetter"/>
      <w:lvlText w:val="%6)"/>
      <w:lvlJc w:val="left"/>
      <w:pPr>
        <w:tabs>
          <w:tab w:val="left" w:pos="2520"/>
        </w:tabs>
        <w:ind w:left="2520" w:hanging="360"/>
      </w:pPr>
      <w:rPr>
        <w:rFonts w:ascii="Times New Roman" w:hAnsi="Times New Roman" w:eastAsia="Times New Roman" w:cs="Times New Roman"/>
        <w:color w:val="000000"/>
        <w:sz w:val="22"/>
        <w:szCs w:val="22"/>
        <w:lang w:eastAsia="pl-PL" w:bidi="ar-SA"/>
      </w:rPr>
    </w:lvl>
    <w:lvl w:ilvl="6" w:tentative="0">
      <w:start w:val="1"/>
      <w:numFmt w:val="lowerLetter"/>
      <w:lvlText w:val="%7)"/>
      <w:lvlJc w:val="left"/>
      <w:pPr>
        <w:tabs>
          <w:tab w:val="left" w:pos="2880"/>
        </w:tabs>
        <w:ind w:left="2880" w:hanging="360"/>
      </w:pPr>
      <w:rPr>
        <w:rFonts w:ascii="Times New Roman" w:hAnsi="Times New Roman" w:eastAsia="Times New Roman" w:cs="Times New Roman"/>
        <w:color w:val="000000"/>
        <w:sz w:val="22"/>
        <w:szCs w:val="22"/>
        <w:lang w:eastAsia="pl-PL" w:bidi="ar-SA"/>
      </w:rPr>
    </w:lvl>
    <w:lvl w:ilvl="7" w:tentative="0">
      <w:start w:val="1"/>
      <w:numFmt w:val="lowerLetter"/>
      <w:lvlText w:val="%8)"/>
      <w:lvlJc w:val="left"/>
      <w:pPr>
        <w:tabs>
          <w:tab w:val="left" w:pos="3240"/>
        </w:tabs>
        <w:ind w:left="3240" w:hanging="360"/>
      </w:pPr>
      <w:rPr>
        <w:rFonts w:ascii="Times New Roman" w:hAnsi="Times New Roman" w:eastAsia="Times New Roman" w:cs="Times New Roman"/>
        <w:color w:val="000000"/>
        <w:sz w:val="22"/>
        <w:szCs w:val="22"/>
        <w:lang w:eastAsia="pl-PL" w:bidi="ar-SA"/>
      </w:rPr>
    </w:lvl>
    <w:lvl w:ilvl="8" w:tentative="0">
      <w:start w:val="1"/>
      <w:numFmt w:val="lowerLetter"/>
      <w:lvlText w:val="%9)"/>
      <w:lvlJc w:val="left"/>
      <w:pPr>
        <w:tabs>
          <w:tab w:val="left" w:pos="3600"/>
        </w:tabs>
        <w:ind w:left="3600" w:hanging="360"/>
      </w:pPr>
      <w:rPr>
        <w:rFonts w:ascii="Times New Roman" w:hAnsi="Times New Roman" w:eastAsia="Times New Roman" w:cs="Times New Roman"/>
        <w:color w:val="000000"/>
        <w:sz w:val="22"/>
        <w:szCs w:val="22"/>
        <w:lang w:eastAsia="pl-PL" w:bidi="ar-SA"/>
      </w:rPr>
    </w:lvl>
  </w:abstractNum>
  <w:abstractNum w:abstractNumId="34">
    <w:nsid w:val="40814D15"/>
    <w:multiLevelType w:val="multilevel"/>
    <w:tmpl w:val="40814D15"/>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5">
    <w:nsid w:val="42EA5D5A"/>
    <w:multiLevelType w:val="multilevel"/>
    <w:tmpl w:val="42EA5D5A"/>
    <w:lvl w:ilvl="0" w:tentative="0">
      <w:start w:val="6"/>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36">
    <w:nsid w:val="46643D8F"/>
    <w:multiLevelType w:val="multilevel"/>
    <w:tmpl w:val="46643D8F"/>
    <w:lvl w:ilvl="0" w:tentative="0">
      <w:start w:val="8"/>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7">
    <w:nsid w:val="46CA6D78"/>
    <w:multiLevelType w:val="multilevel"/>
    <w:tmpl w:val="46CA6D78"/>
    <w:lvl w:ilvl="0" w:tentative="0">
      <w:start w:val="1"/>
      <w:numFmt w:val="decimal"/>
      <w:lvlText w:val="%1)"/>
      <w:lvlJc w:val="left"/>
      <w:pPr>
        <w:tabs>
          <w:tab w:val="left" w:pos="720"/>
        </w:tabs>
        <w:ind w:left="720" w:hanging="360"/>
      </w:pPr>
      <w:rPr>
        <w:rFonts w:ascii="Times New Roman" w:hAnsi="Times New Roman" w:cs="Times New Roman"/>
        <w:b w:val="0"/>
        <w:bCs w:val="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sz w:val="22"/>
        <w:szCs w:val="22"/>
      </w:rPr>
    </w:lvl>
  </w:abstractNum>
  <w:abstractNum w:abstractNumId="38">
    <w:nsid w:val="485231BE"/>
    <w:multiLevelType w:val="multilevel"/>
    <w:tmpl w:val="485231BE"/>
    <w:lvl w:ilvl="0" w:tentative="0">
      <w:start w:val="3"/>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39">
    <w:nsid w:val="497265EF"/>
    <w:multiLevelType w:val="multilevel"/>
    <w:tmpl w:val="497265EF"/>
    <w:lvl w:ilvl="0" w:tentative="0">
      <w:start w:val="1"/>
      <w:numFmt w:val="decimal"/>
      <w:lvlText w:val="%1."/>
      <w:lvlJc w:val="left"/>
      <w:pPr>
        <w:tabs>
          <w:tab w:val="left" w:pos="360"/>
        </w:tabs>
        <w:ind w:left="360" w:hanging="360"/>
      </w:pPr>
      <w:rPr>
        <w:rFonts w:ascii="Times New Roman" w:hAnsi="Times New Roman" w:cs="Times New Roman"/>
        <w:b w:val="0"/>
        <w:bCs w:val="0"/>
        <w:strike w:val="0"/>
        <w:dstrike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strike w:val="0"/>
        <w:dstrike w:val="0"/>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strike w:val="0"/>
        <w:dstrike w:val="0"/>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strike w:val="0"/>
        <w:dstrike w:val="0"/>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strike w:val="0"/>
        <w:dstrike w:val="0"/>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strike w:val="0"/>
        <w:dstrike w:val="0"/>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strike w:val="0"/>
        <w:dstrike w:val="0"/>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strike w:val="0"/>
        <w:dstrike w:val="0"/>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strike w:val="0"/>
        <w:dstrike w:val="0"/>
        <w:color w:val="000000"/>
        <w:sz w:val="22"/>
        <w:szCs w:val="22"/>
      </w:rPr>
    </w:lvl>
  </w:abstractNum>
  <w:abstractNum w:abstractNumId="40">
    <w:nsid w:val="4A3174BE"/>
    <w:multiLevelType w:val="multilevel"/>
    <w:tmpl w:val="4A3174BE"/>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41">
    <w:nsid w:val="4CD67AE5"/>
    <w:multiLevelType w:val="multilevel"/>
    <w:tmpl w:val="4CD67AE5"/>
    <w:lvl w:ilvl="0" w:tentative="0">
      <w:start w:val="4"/>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2">
    <w:nsid w:val="4EC64625"/>
    <w:multiLevelType w:val="multilevel"/>
    <w:tmpl w:val="4EC64625"/>
    <w:lvl w:ilvl="0" w:tentative="0">
      <w:start w:val="1"/>
      <w:numFmt w:val="decimal"/>
      <w:lvlText w:val="%1."/>
      <w:lvlJc w:val="left"/>
      <w:pPr>
        <w:tabs>
          <w:tab w:val="left" w:pos="720"/>
        </w:tabs>
        <w:ind w:left="720" w:hanging="360"/>
      </w:pPr>
      <w:rPr>
        <w:rFonts w:ascii="Times New Roman" w:hAnsi="Times New Roman" w:cs="Times New Roman"/>
        <w:b w:val="0"/>
        <w:bCs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color w:val="000000"/>
        <w:sz w:val="22"/>
        <w:szCs w:val="22"/>
      </w:rPr>
    </w:lvl>
  </w:abstractNum>
  <w:abstractNum w:abstractNumId="43">
    <w:nsid w:val="50C715A6"/>
    <w:multiLevelType w:val="multilevel"/>
    <w:tmpl w:val="50C715A6"/>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4">
    <w:nsid w:val="512E1396"/>
    <w:multiLevelType w:val="multilevel"/>
    <w:tmpl w:val="512E1396"/>
    <w:lvl w:ilvl="0" w:tentative="0">
      <w:start w:val="1"/>
      <w:numFmt w:val="decimal"/>
      <w:lvlText w:val="%1."/>
      <w:lvlJc w:val="left"/>
      <w:pPr>
        <w:tabs>
          <w:tab w:val="left" w:pos="720"/>
        </w:tabs>
        <w:ind w:left="720" w:hanging="360"/>
      </w:pPr>
      <w:rPr>
        <w:rFonts w:ascii="Times New Roman" w:hAnsi="Times New Roman" w:eastAsia="Times New Roman" w:cs="Times New Roman"/>
        <w:b w:val="0"/>
        <w:bCs/>
        <w:color w:val="000000"/>
        <w:kern w:val="2"/>
        <w:sz w:val="22"/>
        <w:szCs w:val="22"/>
        <w:lang w:val="pl-PL" w:eastAsia="zh-CN" w:bidi="hi-IN"/>
      </w:rPr>
    </w:lvl>
    <w:lvl w:ilvl="1" w:tentative="0">
      <w:start w:val="1"/>
      <w:numFmt w:val="decimal"/>
      <w:lvlText w:val="%2."/>
      <w:lvlJc w:val="left"/>
      <w:pPr>
        <w:tabs>
          <w:tab w:val="left" w:pos="1080"/>
        </w:tabs>
        <w:ind w:left="1080" w:hanging="360"/>
      </w:pPr>
      <w:rPr>
        <w:rFonts w:ascii="Times New Roman" w:hAnsi="Times New Roman" w:eastAsia="Times New Roman" w:cs="Times New Roman"/>
        <w:b w:val="0"/>
        <w:bCs/>
        <w:color w:val="000000"/>
        <w:kern w:val="2"/>
        <w:sz w:val="22"/>
        <w:szCs w:val="22"/>
        <w:lang w:val="pl-PL" w:eastAsia="zh-CN" w:bidi="hi-IN"/>
      </w:rPr>
    </w:lvl>
    <w:lvl w:ilvl="2" w:tentative="0">
      <w:start w:val="1"/>
      <w:numFmt w:val="decimal"/>
      <w:lvlText w:val="%3."/>
      <w:lvlJc w:val="left"/>
      <w:pPr>
        <w:tabs>
          <w:tab w:val="left" w:pos="1440"/>
        </w:tabs>
        <w:ind w:left="1440" w:hanging="360"/>
      </w:pPr>
      <w:rPr>
        <w:rFonts w:ascii="Times New Roman" w:hAnsi="Times New Roman" w:eastAsia="Times New Roman" w:cs="Times New Roman"/>
        <w:b w:val="0"/>
        <w:bCs/>
        <w:color w:val="000000"/>
        <w:kern w:val="2"/>
        <w:sz w:val="22"/>
        <w:szCs w:val="22"/>
        <w:lang w:val="pl-PL" w:eastAsia="zh-CN" w:bidi="hi-IN"/>
      </w:rPr>
    </w:lvl>
    <w:lvl w:ilvl="3" w:tentative="0">
      <w:start w:val="1"/>
      <w:numFmt w:val="decimal"/>
      <w:lvlText w:val="%4."/>
      <w:lvlJc w:val="left"/>
      <w:pPr>
        <w:tabs>
          <w:tab w:val="left" w:pos="1800"/>
        </w:tabs>
        <w:ind w:left="1800" w:hanging="360"/>
      </w:pPr>
      <w:rPr>
        <w:rFonts w:ascii="Times New Roman" w:hAnsi="Times New Roman" w:eastAsia="Times New Roman" w:cs="Times New Roman"/>
        <w:b w:val="0"/>
        <w:bCs/>
        <w:color w:val="000000"/>
        <w:kern w:val="2"/>
        <w:sz w:val="22"/>
        <w:szCs w:val="22"/>
        <w:lang w:val="pl-PL" w:eastAsia="zh-CN" w:bidi="hi-IN"/>
      </w:rPr>
    </w:lvl>
    <w:lvl w:ilvl="4" w:tentative="0">
      <w:start w:val="1"/>
      <w:numFmt w:val="decimal"/>
      <w:lvlText w:val="%5."/>
      <w:lvlJc w:val="left"/>
      <w:pPr>
        <w:tabs>
          <w:tab w:val="left" w:pos="2160"/>
        </w:tabs>
        <w:ind w:left="2160" w:hanging="360"/>
      </w:pPr>
      <w:rPr>
        <w:rFonts w:ascii="Times New Roman" w:hAnsi="Times New Roman" w:eastAsia="Times New Roman" w:cs="Times New Roman"/>
        <w:b w:val="0"/>
        <w:bCs/>
        <w:color w:val="000000"/>
        <w:kern w:val="2"/>
        <w:sz w:val="22"/>
        <w:szCs w:val="22"/>
        <w:lang w:val="pl-PL" w:eastAsia="zh-CN" w:bidi="hi-IN"/>
      </w:rPr>
    </w:lvl>
    <w:lvl w:ilvl="5" w:tentative="0">
      <w:start w:val="1"/>
      <w:numFmt w:val="decimal"/>
      <w:lvlText w:val="%6."/>
      <w:lvlJc w:val="left"/>
      <w:pPr>
        <w:tabs>
          <w:tab w:val="left" w:pos="2520"/>
        </w:tabs>
        <w:ind w:left="2520" w:hanging="360"/>
      </w:pPr>
      <w:rPr>
        <w:rFonts w:ascii="Times New Roman" w:hAnsi="Times New Roman" w:eastAsia="Times New Roman" w:cs="Times New Roman"/>
        <w:b w:val="0"/>
        <w:bCs/>
        <w:color w:val="000000"/>
        <w:kern w:val="2"/>
        <w:sz w:val="22"/>
        <w:szCs w:val="22"/>
        <w:lang w:val="pl-PL" w:eastAsia="zh-CN" w:bidi="hi-IN"/>
      </w:rPr>
    </w:lvl>
    <w:lvl w:ilvl="6" w:tentative="0">
      <w:start w:val="1"/>
      <w:numFmt w:val="decimal"/>
      <w:lvlText w:val="%7."/>
      <w:lvlJc w:val="left"/>
      <w:pPr>
        <w:tabs>
          <w:tab w:val="left" w:pos="2880"/>
        </w:tabs>
        <w:ind w:left="2880" w:hanging="360"/>
      </w:pPr>
      <w:rPr>
        <w:rFonts w:ascii="Times New Roman" w:hAnsi="Times New Roman" w:eastAsia="Times New Roman" w:cs="Times New Roman"/>
        <w:b w:val="0"/>
        <w:bCs/>
        <w:color w:val="000000"/>
        <w:kern w:val="2"/>
        <w:sz w:val="22"/>
        <w:szCs w:val="22"/>
        <w:lang w:val="pl-PL" w:eastAsia="zh-CN" w:bidi="hi-IN"/>
      </w:rPr>
    </w:lvl>
    <w:lvl w:ilvl="7" w:tentative="0">
      <w:start w:val="1"/>
      <w:numFmt w:val="decimal"/>
      <w:lvlText w:val="%8."/>
      <w:lvlJc w:val="left"/>
      <w:pPr>
        <w:tabs>
          <w:tab w:val="left" w:pos="3240"/>
        </w:tabs>
        <w:ind w:left="3240" w:hanging="360"/>
      </w:pPr>
      <w:rPr>
        <w:rFonts w:ascii="Times New Roman" w:hAnsi="Times New Roman" w:eastAsia="Times New Roman" w:cs="Times New Roman"/>
        <w:b w:val="0"/>
        <w:bCs/>
        <w:color w:val="000000"/>
        <w:kern w:val="2"/>
        <w:sz w:val="22"/>
        <w:szCs w:val="22"/>
        <w:lang w:val="pl-PL" w:eastAsia="zh-CN" w:bidi="hi-IN"/>
      </w:rPr>
    </w:lvl>
    <w:lvl w:ilvl="8" w:tentative="0">
      <w:start w:val="1"/>
      <w:numFmt w:val="decimal"/>
      <w:lvlText w:val="%9."/>
      <w:lvlJc w:val="left"/>
      <w:pPr>
        <w:tabs>
          <w:tab w:val="left" w:pos="3600"/>
        </w:tabs>
        <w:ind w:left="3600" w:hanging="360"/>
      </w:pPr>
      <w:rPr>
        <w:rFonts w:ascii="Times New Roman" w:hAnsi="Times New Roman" w:eastAsia="Times New Roman" w:cs="Times New Roman"/>
        <w:b w:val="0"/>
        <w:bCs/>
        <w:color w:val="000000"/>
        <w:kern w:val="2"/>
        <w:sz w:val="22"/>
        <w:szCs w:val="22"/>
        <w:lang w:val="pl-PL" w:eastAsia="zh-CN" w:bidi="hi-IN"/>
      </w:rPr>
    </w:lvl>
  </w:abstractNum>
  <w:abstractNum w:abstractNumId="45">
    <w:nsid w:val="54771EC4"/>
    <w:multiLevelType w:val="multilevel"/>
    <w:tmpl w:val="54771EC4"/>
    <w:lvl w:ilvl="0" w:tentative="0">
      <w:start w:val="3"/>
      <w:numFmt w:val="decimal"/>
      <w:lvlText w:val="%1."/>
      <w:lvlJc w:val="left"/>
      <w:pPr>
        <w:tabs>
          <w:tab w:val="left" w:pos="720"/>
        </w:tabs>
        <w:ind w:left="720" w:hanging="360"/>
      </w:pPr>
      <w:rPr>
        <w:rFonts w:ascii="Times New Roman" w:hAnsi="Times New Roman" w:eastAsia="Times New Roman" w:cs="Times New Roman"/>
        <w:color w:val="000000"/>
        <w:sz w:val="22"/>
        <w:szCs w:val="22"/>
        <w:highlight w:val="white"/>
        <w:lang w:val="pl-PL" w:eastAsia="pl-PL" w:bidi="ar-SA"/>
      </w:rPr>
    </w:lvl>
    <w:lvl w:ilvl="1" w:tentative="0">
      <w:start w:val="1"/>
      <w:numFmt w:val="decimal"/>
      <w:lvlText w:val="%2."/>
      <w:lvlJc w:val="left"/>
      <w:pPr>
        <w:tabs>
          <w:tab w:val="left" w:pos="1080"/>
        </w:tabs>
        <w:ind w:left="1080" w:hanging="360"/>
      </w:pPr>
      <w:rPr>
        <w:rFonts w:ascii="Times New Roman" w:hAnsi="Times New Roman" w:eastAsia="Times New Roman" w:cs="Times New Roman"/>
        <w:color w:val="000000"/>
        <w:sz w:val="22"/>
        <w:szCs w:val="22"/>
        <w:highlight w:val="white"/>
        <w:lang w:val="pl-PL" w:eastAsia="pl-PL" w:bidi="ar-SA"/>
      </w:rPr>
    </w:lvl>
    <w:lvl w:ilvl="2" w:tentative="0">
      <w:start w:val="1"/>
      <w:numFmt w:val="decimal"/>
      <w:lvlText w:val="%3."/>
      <w:lvlJc w:val="left"/>
      <w:pPr>
        <w:tabs>
          <w:tab w:val="left" w:pos="1440"/>
        </w:tabs>
        <w:ind w:left="1440" w:hanging="360"/>
      </w:pPr>
      <w:rPr>
        <w:rFonts w:ascii="Times New Roman" w:hAnsi="Times New Roman" w:eastAsia="Times New Roman" w:cs="Times New Roman"/>
        <w:color w:val="000000"/>
        <w:sz w:val="22"/>
        <w:szCs w:val="22"/>
        <w:highlight w:val="white"/>
        <w:lang w:val="pl-PL" w:eastAsia="pl-PL" w:bidi="ar-SA"/>
      </w:rPr>
    </w:lvl>
    <w:lvl w:ilvl="3" w:tentative="0">
      <w:start w:val="1"/>
      <w:numFmt w:val="decimal"/>
      <w:lvlText w:val="%4."/>
      <w:lvlJc w:val="left"/>
      <w:pPr>
        <w:tabs>
          <w:tab w:val="left" w:pos="1800"/>
        </w:tabs>
        <w:ind w:left="1800" w:hanging="360"/>
      </w:pPr>
      <w:rPr>
        <w:rFonts w:ascii="Times New Roman" w:hAnsi="Times New Roman" w:eastAsia="Times New Roman" w:cs="Times New Roman"/>
        <w:color w:val="000000"/>
        <w:sz w:val="22"/>
        <w:szCs w:val="22"/>
        <w:highlight w:val="white"/>
        <w:lang w:val="pl-PL" w:eastAsia="pl-PL" w:bidi="ar-SA"/>
      </w:rPr>
    </w:lvl>
    <w:lvl w:ilvl="4" w:tentative="0">
      <w:start w:val="1"/>
      <w:numFmt w:val="decimal"/>
      <w:lvlText w:val="%5."/>
      <w:lvlJc w:val="left"/>
      <w:pPr>
        <w:tabs>
          <w:tab w:val="left" w:pos="2160"/>
        </w:tabs>
        <w:ind w:left="2160" w:hanging="360"/>
      </w:pPr>
      <w:rPr>
        <w:rFonts w:ascii="Times New Roman" w:hAnsi="Times New Roman" w:eastAsia="Times New Roman" w:cs="Times New Roman"/>
        <w:color w:val="000000"/>
        <w:sz w:val="22"/>
        <w:szCs w:val="22"/>
        <w:highlight w:val="white"/>
        <w:lang w:val="pl-PL" w:eastAsia="pl-PL" w:bidi="ar-SA"/>
      </w:rPr>
    </w:lvl>
    <w:lvl w:ilvl="5" w:tentative="0">
      <w:start w:val="1"/>
      <w:numFmt w:val="decimal"/>
      <w:lvlText w:val="%6."/>
      <w:lvlJc w:val="left"/>
      <w:pPr>
        <w:tabs>
          <w:tab w:val="left" w:pos="2520"/>
        </w:tabs>
        <w:ind w:left="2520" w:hanging="360"/>
      </w:pPr>
      <w:rPr>
        <w:rFonts w:ascii="Times New Roman" w:hAnsi="Times New Roman" w:eastAsia="Times New Roman" w:cs="Times New Roman"/>
        <w:color w:val="000000"/>
        <w:sz w:val="22"/>
        <w:szCs w:val="22"/>
        <w:highlight w:val="white"/>
        <w:lang w:val="pl-PL" w:eastAsia="pl-PL" w:bidi="ar-SA"/>
      </w:rPr>
    </w:lvl>
    <w:lvl w:ilvl="6" w:tentative="0">
      <w:start w:val="1"/>
      <w:numFmt w:val="decimal"/>
      <w:lvlText w:val="%7."/>
      <w:lvlJc w:val="left"/>
      <w:pPr>
        <w:tabs>
          <w:tab w:val="left" w:pos="2880"/>
        </w:tabs>
        <w:ind w:left="2880" w:hanging="360"/>
      </w:pPr>
      <w:rPr>
        <w:rFonts w:ascii="Times New Roman" w:hAnsi="Times New Roman" w:eastAsia="Times New Roman" w:cs="Times New Roman"/>
        <w:color w:val="000000"/>
        <w:sz w:val="22"/>
        <w:szCs w:val="22"/>
        <w:highlight w:val="white"/>
        <w:lang w:val="pl-PL" w:eastAsia="pl-PL" w:bidi="ar-SA"/>
      </w:rPr>
    </w:lvl>
    <w:lvl w:ilvl="7" w:tentative="0">
      <w:start w:val="1"/>
      <w:numFmt w:val="decimal"/>
      <w:lvlText w:val="%8."/>
      <w:lvlJc w:val="left"/>
      <w:pPr>
        <w:tabs>
          <w:tab w:val="left" w:pos="3240"/>
        </w:tabs>
        <w:ind w:left="3240" w:hanging="360"/>
      </w:pPr>
      <w:rPr>
        <w:rFonts w:ascii="Times New Roman" w:hAnsi="Times New Roman" w:eastAsia="Times New Roman" w:cs="Times New Roman"/>
        <w:color w:val="000000"/>
        <w:sz w:val="22"/>
        <w:szCs w:val="22"/>
        <w:highlight w:val="white"/>
        <w:lang w:val="pl-PL" w:eastAsia="pl-PL" w:bidi="ar-SA"/>
      </w:rPr>
    </w:lvl>
    <w:lvl w:ilvl="8" w:tentative="0">
      <w:start w:val="1"/>
      <w:numFmt w:val="decimal"/>
      <w:lvlText w:val="%9."/>
      <w:lvlJc w:val="left"/>
      <w:pPr>
        <w:tabs>
          <w:tab w:val="left" w:pos="3600"/>
        </w:tabs>
        <w:ind w:left="3600" w:hanging="360"/>
      </w:pPr>
      <w:rPr>
        <w:rFonts w:ascii="Times New Roman" w:hAnsi="Times New Roman" w:eastAsia="Times New Roman" w:cs="Times New Roman"/>
        <w:color w:val="000000"/>
        <w:sz w:val="22"/>
        <w:szCs w:val="22"/>
        <w:highlight w:val="white"/>
        <w:lang w:val="pl-PL" w:eastAsia="pl-PL" w:bidi="ar-SA"/>
      </w:rPr>
    </w:lvl>
  </w:abstractNum>
  <w:abstractNum w:abstractNumId="46">
    <w:nsid w:val="5544470B"/>
    <w:multiLevelType w:val="multilevel"/>
    <w:tmpl w:val="5544470B"/>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7">
    <w:nsid w:val="5579586D"/>
    <w:multiLevelType w:val="multilevel"/>
    <w:tmpl w:val="5579586D"/>
    <w:lvl w:ilvl="0" w:tentative="0">
      <w:start w:val="9"/>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8">
    <w:nsid w:val="57923CF2"/>
    <w:multiLevelType w:val="multilevel"/>
    <w:tmpl w:val="57923CF2"/>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9">
    <w:nsid w:val="57DD7203"/>
    <w:multiLevelType w:val="multilevel"/>
    <w:tmpl w:val="57DD7203"/>
    <w:lvl w:ilvl="0" w:tentative="0">
      <w:start w:val="5"/>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50">
    <w:nsid w:val="5B8E26EB"/>
    <w:multiLevelType w:val="multilevel"/>
    <w:tmpl w:val="5B8E26EB"/>
    <w:lvl w:ilvl="0" w:tentative="0">
      <w:start w:val="2"/>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51">
    <w:nsid w:val="5C9875D4"/>
    <w:multiLevelType w:val="multilevel"/>
    <w:tmpl w:val="5C9875D4"/>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52">
    <w:nsid w:val="5FFD4781"/>
    <w:multiLevelType w:val="multilevel"/>
    <w:tmpl w:val="5FFD4781"/>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53">
    <w:nsid w:val="604221E9"/>
    <w:multiLevelType w:val="multilevel"/>
    <w:tmpl w:val="604221E9"/>
    <w:lvl w:ilvl="0" w:tentative="0">
      <w:start w:val="1"/>
      <w:numFmt w:val="none"/>
      <w:pStyle w:val="2"/>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pStyle w:val="3"/>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54">
    <w:nsid w:val="665472A2"/>
    <w:multiLevelType w:val="multilevel"/>
    <w:tmpl w:val="665472A2"/>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55">
    <w:nsid w:val="6B31045B"/>
    <w:multiLevelType w:val="multilevel"/>
    <w:tmpl w:val="6B31045B"/>
    <w:lvl w:ilvl="0" w:tentative="0">
      <w:start w:val="12"/>
      <w:numFmt w:val="lowerLetter"/>
      <w:lvlText w:val="%1)"/>
      <w:lvlJc w:val="left"/>
      <w:pPr>
        <w:tabs>
          <w:tab w:val="left" w:pos="720"/>
        </w:tabs>
        <w:ind w:left="720" w:hanging="360"/>
      </w:pPr>
      <w:rPr>
        <w:rFonts w:ascii="Times New Roman" w:hAnsi="Times New Roman" w:eastAsia="Times New Roman" w:cs="Times New Roman"/>
        <w:bCs/>
        <w:color w:val="000000"/>
        <w:kern w:val="2"/>
        <w:sz w:val="22"/>
        <w:szCs w:val="22"/>
        <w:lang w:val="pl-PL" w:eastAsia="pl-PL" w:bidi="ar-SA"/>
      </w:rPr>
    </w:lvl>
    <w:lvl w:ilvl="1" w:tentative="0">
      <w:start w:val="1"/>
      <w:numFmt w:val="lowerLetter"/>
      <w:lvlText w:val="%2)"/>
      <w:lvlJc w:val="left"/>
      <w:pPr>
        <w:tabs>
          <w:tab w:val="left" w:pos="1080"/>
        </w:tabs>
        <w:ind w:left="1080" w:hanging="360"/>
      </w:pPr>
      <w:rPr>
        <w:rFonts w:ascii="Times New Roman" w:hAnsi="Times New Roman" w:eastAsia="Times New Roman" w:cs="Times New Roman"/>
        <w:bCs/>
        <w:color w:val="000000"/>
        <w:kern w:val="2"/>
        <w:sz w:val="22"/>
        <w:szCs w:val="22"/>
        <w:lang w:val="pl-PL" w:eastAsia="pl-PL" w:bidi="ar-SA"/>
      </w:rPr>
    </w:lvl>
    <w:lvl w:ilvl="2" w:tentative="0">
      <w:start w:val="1"/>
      <w:numFmt w:val="lowerLetter"/>
      <w:lvlText w:val="%3)"/>
      <w:lvlJc w:val="left"/>
      <w:pPr>
        <w:tabs>
          <w:tab w:val="left" w:pos="1440"/>
        </w:tabs>
        <w:ind w:left="1440" w:hanging="360"/>
      </w:pPr>
      <w:rPr>
        <w:rFonts w:ascii="Times New Roman" w:hAnsi="Times New Roman" w:eastAsia="Times New Roman" w:cs="Times New Roman"/>
        <w:bCs/>
        <w:color w:val="000000"/>
        <w:kern w:val="2"/>
        <w:sz w:val="22"/>
        <w:szCs w:val="22"/>
        <w:lang w:val="pl-PL" w:eastAsia="pl-PL" w:bidi="ar-SA"/>
      </w:rPr>
    </w:lvl>
    <w:lvl w:ilvl="3" w:tentative="0">
      <w:start w:val="1"/>
      <w:numFmt w:val="lowerLetter"/>
      <w:lvlText w:val="%4)"/>
      <w:lvlJc w:val="left"/>
      <w:pPr>
        <w:tabs>
          <w:tab w:val="left" w:pos="1800"/>
        </w:tabs>
        <w:ind w:left="1800" w:hanging="360"/>
      </w:pPr>
      <w:rPr>
        <w:rFonts w:ascii="Times New Roman" w:hAnsi="Times New Roman" w:eastAsia="Times New Roman" w:cs="Times New Roman"/>
        <w:bCs/>
        <w:color w:val="000000"/>
        <w:kern w:val="2"/>
        <w:sz w:val="22"/>
        <w:szCs w:val="22"/>
        <w:lang w:val="pl-PL" w:eastAsia="pl-PL" w:bidi="ar-SA"/>
      </w:rPr>
    </w:lvl>
    <w:lvl w:ilvl="4" w:tentative="0">
      <w:start w:val="1"/>
      <w:numFmt w:val="lowerLetter"/>
      <w:lvlText w:val="%5)"/>
      <w:lvlJc w:val="left"/>
      <w:pPr>
        <w:tabs>
          <w:tab w:val="left" w:pos="2160"/>
        </w:tabs>
        <w:ind w:left="2160" w:hanging="360"/>
      </w:pPr>
      <w:rPr>
        <w:rFonts w:ascii="Times New Roman" w:hAnsi="Times New Roman" w:eastAsia="Times New Roman" w:cs="Times New Roman"/>
        <w:bCs/>
        <w:color w:val="000000"/>
        <w:kern w:val="2"/>
        <w:sz w:val="22"/>
        <w:szCs w:val="22"/>
        <w:lang w:val="pl-PL" w:eastAsia="pl-PL" w:bidi="ar-SA"/>
      </w:rPr>
    </w:lvl>
    <w:lvl w:ilvl="5" w:tentative="0">
      <w:start w:val="1"/>
      <w:numFmt w:val="lowerLetter"/>
      <w:lvlText w:val="%6)"/>
      <w:lvlJc w:val="left"/>
      <w:pPr>
        <w:tabs>
          <w:tab w:val="left" w:pos="2520"/>
        </w:tabs>
        <w:ind w:left="2520" w:hanging="360"/>
      </w:pPr>
      <w:rPr>
        <w:rFonts w:ascii="Times New Roman" w:hAnsi="Times New Roman" w:eastAsia="Times New Roman" w:cs="Times New Roman"/>
        <w:bCs/>
        <w:color w:val="000000"/>
        <w:kern w:val="2"/>
        <w:sz w:val="22"/>
        <w:szCs w:val="22"/>
        <w:lang w:val="pl-PL" w:eastAsia="pl-PL" w:bidi="ar-SA"/>
      </w:rPr>
    </w:lvl>
    <w:lvl w:ilvl="6" w:tentative="0">
      <w:start w:val="1"/>
      <w:numFmt w:val="lowerLetter"/>
      <w:lvlText w:val="%7)"/>
      <w:lvlJc w:val="left"/>
      <w:pPr>
        <w:tabs>
          <w:tab w:val="left" w:pos="2880"/>
        </w:tabs>
        <w:ind w:left="2880" w:hanging="360"/>
      </w:pPr>
      <w:rPr>
        <w:rFonts w:ascii="Times New Roman" w:hAnsi="Times New Roman" w:eastAsia="Times New Roman" w:cs="Times New Roman"/>
        <w:bCs/>
        <w:color w:val="000000"/>
        <w:kern w:val="2"/>
        <w:sz w:val="22"/>
        <w:szCs w:val="22"/>
        <w:lang w:val="pl-PL" w:eastAsia="pl-PL" w:bidi="ar-SA"/>
      </w:rPr>
    </w:lvl>
    <w:lvl w:ilvl="7" w:tentative="0">
      <w:start w:val="1"/>
      <w:numFmt w:val="lowerLetter"/>
      <w:lvlText w:val="%8)"/>
      <w:lvlJc w:val="left"/>
      <w:pPr>
        <w:tabs>
          <w:tab w:val="left" w:pos="3240"/>
        </w:tabs>
        <w:ind w:left="3240" w:hanging="360"/>
      </w:pPr>
      <w:rPr>
        <w:rFonts w:ascii="Times New Roman" w:hAnsi="Times New Roman" w:eastAsia="Times New Roman" w:cs="Times New Roman"/>
        <w:bCs/>
        <w:color w:val="000000"/>
        <w:kern w:val="2"/>
        <w:sz w:val="22"/>
        <w:szCs w:val="22"/>
        <w:lang w:val="pl-PL" w:eastAsia="pl-PL" w:bidi="ar-SA"/>
      </w:rPr>
    </w:lvl>
    <w:lvl w:ilvl="8" w:tentative="0">
      <w:start w:val="1"/>
      <w:numFmt w:val="lowerLetter"/>
      <w:lvlText w:val="%9)"/>
      <w:lvlJc w:val="left"/>
      <w:pPr>
        <w:tabs>
          <w:tab w:val="left" w:pos="3600"/>
        </w:tabs>
        <w:ind w:left="3600" w:hanging="360"/>
      </w:pPr>
      <w:rPr>
        <w:rFonts w:ascii="Times New Roman" w:hAnsi="Times New Roman" w:eastAsia="Times New Roman" w:cs="Times New Roman"/>
        <w:bCs/>
        <w:color w:val="000000"/>
        <w:kern w:val="2"/>
        <w:sz w:val="22"/>
        <w:szCs w:val="22"/>
        <w:lang w:val="pl-PL" w:eastAsia="pl-PL" w:bidi="ar-SA"/>
      </w:rPr>
    </w:lvl>
  </w:abstractNum>
  <w:abstractNum w:abstractNumId="56">
    <w:nsid w:val="6C2751EF"/>
    <w:multiLevelType w:val="multilevel"/>
    <w:tmpl w:val="6C2751EF"/>
    <w:lvl w:ilvl="0" w:tentative="0">
      <w:start w:val="1"/>
      <w:numFmt w:val="decimal"/>
      <w:lvlText w:val="%1)"/>
      <w:lvlJc w:val="left"/>
      <w:pPr>
        <w:tabs>
          <w:tab w:val="left" w:pos="720"/>
        </w:tabs>
        <w:ind w:left="720" w:hanging="360"/>
      </w:pPr>
      <w:rPr>
        <w:rFonts w:ascii="Times New Roman" w:hAnsi="Times New Roman" w:cs="Times New Roman"/>
        <w:b w:val="0"/>
        <w:bCs w:val="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sz w:val="22"/>
        <w:szCs w:val="22"/>
      </w:rPr>
    </w:lvl>
  </w:abstractNum>
  <w:abstractNum w:abstractNumId="57">
    <w:nsid w:val="6DBF75F6"/>
    <w:multiLevelType w:val="multilevel"/>
    <w:tmpl w:val="6DBF75F6"/>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58">
    <w:nsid w:val="76D16F00"/>
    <w:multiLevelType w:val="multilevel"/>
    <w:tmpl w:val="76D16F00"/>
    <w:lvl w:ilvl="0" w:tentative="0">
      <w:start w:val="1"/>
      <w:numFmt w:val="decimal"/>
      <w:lvlText w:val="%1."/>
      <w:lvlJc w:val="left"/>
      <w:pPr>
        <w:tabs>
          <w:tab w:val="left" w:pos="720"/>
        </w:tabs>
        <w:ind w:left="720" w:hanging="360"/>
      </w:pPr>
      <w:rPr>
        <w:rFonts w:ascii="Times New Roman" w:hAnsi="Times New Roman" w:eastAsia="Times New Roman" w:cs="Times New Roman"/>
        <w:vanish w:val="0"/>
        <w:color w:val="000000"/>
        <w:sz w:val="22"/>
        <w:szCs w:val="22"/>
        <w:highlight w:val="white"/>
        <w:lang w:val="pl-PL"/>
      </w:rPr>
    </w:lvl>
    <w:lvl w:ilvl="1" w:tentative="0">
      <w:start w:val="1"/>
      <w:numFmt w:val="decimal"/>
      <w:lvlText w:val="%2."/>
      <w:lvlJc w:val="left"/>
      <w:pPr>
        <w:tabs>
          <w:tab w:val="left" w:pos="1080"/>
        </w:tabs>
        <w:ind w:left="1080" w:hanging="360"/>
      </w:pPr>
      <w:rPr>
        <w:rFonts w:ascii="Times New Roman" w:hAnsi="Times New Roman" w:eastAsia="Times New Roman" w:cs="Times New Roman"/>
        <w:vanish w:val="0"/>
        <w:color w:val="000000"/>
        <w:sz w:val="22"/>
        <w:szCs w:val="22"/>
        <w:highlight w:val="white"/>
        <w:lang w:val="pl-PL"/>
      </w:rPr>
    </w:lvl>
    <w:lvl w:ilvl="2" w:tentative="0">
      <w:start w:val="1"/>
      <w:numFmt w:val="decimal"/>
      <w:lvlText w:val="%3."/>
      <w:lvlJc w:val="left"/>
      <w:pPr>
        <w:tabs>
          <w:tab w:val="left" w:pos="1440"/>
        </w:tabs>
        <w:ind w:left="1440" w:hanging="360"/>
      </w:pPr>
      <w:rPr>
        <w:rFonts w:ascii="Times New Roman" w:hAnsi="Times New Roman" w:eastAsia="Times New Roman" w:cs="Times New Roman"/>
        <w:vanish w:val="0"/>
        <w:color w:val="000000"/>
        <w:sz w:val="22"/>
        <w:szCs w:val="22"/>
        <w:highlight w:val="white"/>
        <w:lang w:val="pl-PL"/>
      </w:rPr>
    </w:lvl>
    <w:lvl w:ilvl="3" w:tentative="0">
      <w:start w:val="1"/>
      <w:numFmt w:val="decimal"/>
      <w:lvlText w:val="%4."/>
      <w:lvlJc w:val="left"/>
      <w:pPr>
        <w:tabs>
          <w:tab w:val="left" w:pos="1800"/>
        </w:tabs>
        <w:ind w:left="1800" w:hanging="360"/>
      </w:pPr>
      <w:rPr>
        <w:rFonts w:ascii="Times New Roman" w:hAnsi="Times New Roman" w:eastAsia="Times New Roman" w:cs="Times New Roman"/>
        <w:vanish w:val="0"/>
        <w:color w:val="000000"/>
        <w:sz w:val="22"/>
        <w:szCs w:val="22"/>
        <w:highlight w:val="white"/>
        <w:lang w:val="pl-PL"/>
      </w:rPr>
    </w:lvl>
    <w:lvl w:ilvl="4" w:tentative="0">
      <w:start w:val="1"/>
      <w:numFmt w:val="decimal"/>
      <w:lvlText w:val="%5."/>
      <w:lvlJc w:val="left"/>
      <w:pPr>
        <w:tabs>
          <w:tab w:val="left" w:pos="2160"/>
        </w:tabs>
        <w:ind w:left="2160" w:hanging="360"/>
      </w:pPr>
      <w:rPr>
        <w:rFonts w:ascii="Times New Roman" w:hAnsi="Times New Roman" w:eastAsia="Times New Roman" w:cs="Times New Roman"/>
        <w:vanish w:val="0"/>
        <w:color w:val="000000"/>
        <w:sz w:val="22"/>
        <w:szCs w:val="22"/>
        <w:highlight w:val="white"/>
        <w:lang w:val="pl-PL"/>
      </w:rPr>
    </w:lvl>
    <w:lvl w:ilvl="5" w:tentative="0">
      <w:start w:val="1"/>
      <w:numFmt w:val="decimal"/>
      <w:lvlText w:val="%6."/>
      <w:lvlJc w:val="left"/>
      <w:pPr>
        <w:tabs>
          <w:tab w:val="left" w:pos="2520"/>
        </w:tabs>
        <w:ind w:left="2520" w:hanging="360"/>
      </w:pPr>
      <w:rPr>
        <w:rFonts w:ascii="Times New Roman" w:hAnsi="Times New Roman" w:eastAsia="Times New Roman" w:cs="Times New Roman"/>
        <w:vanish w:val="0"/>
        <w:color w:val="000000"/>
        <w:sz w:val="22"/>
        <w:szCs w:val="22"/>
        <w:highlight w:val="white"/>
        <w:lang w:val="pl-PL"/>
      </w:rPr>
    </w:lvl>
    <w:lvl w:ilvl="6" w:tentative="0">
      <w:start w:val="1"/>
      <w:numFmt w:val="decimal"/>
      <w:lvlText w:val="%7."/>
      <w:lvlJc w:val="left"/>
      <w:pPr>
        <w:tabs>
          <w:tab w:val="left" w:pos="2880"/>
        </w:tabs>
        <w:ind w:left="2880" w:hanging="360"/>
      </w:pPr>
      <w:rPr>
        <w:rFonts w:ascii="Times New Roman" w:hAnsi="Times New Roman" w:eastAsia="Times New Roman" w:cs="Times New Roman"/>
        <w:vanish w:val="0"/>
        <w:color w:val="000000"/>
        <w:sz w:val="22"/>
        <w:szCs w:val="22"/>
        <w:highlight w:val="white"/>
        <w:lang w:val="pl-PL"/>
      </w:rPr>
    </w:lvl>
    <w:lvl w:ilvl="7" w:tentative="0">
      <w:start w:val="1"/>
      <w:numFmt w:val="decimal"/>
      <w:lvlText w:val="%8."/>
      <w:lvlJc w:val="left"/>
      <w:pPr>
        <w:tabs>
          <w:tab w:val="left" w:pos="3240"/>
        </w:tabs>
        <w:ind w:left="3240" w:hanging="360"/>
      </w:pPr>
      <w:rPr>
        <w:rFonts w:ascii="Times New Roman" w:hAnsi="Times New Roman" w:eastAsia="Times New Roman" w:cs="Times New Roman"/>
        <w:vanish w:val="0"/>
        <w:color w:val="000000"/>
        <w:sz w:val="22"/>
        <w:szCs w:val="22"/>
        <w:highlight w:val="white"/>
        <w:lang w:val="pl-PL"/>
      </w:rPr>
    </w:lvl>
    <w:lvl w:ilvl="8" w:tentative="0">
      <w:start w:val="1"/>
      <w:numFmt w:val="decimal"/>
      <w:lvlText w:val="%9."/>
      <w:lvlJc w:val="left"/>
      <w:pPr>
        <w:tabs>
          <w:tab w:val="left" w:pos="3600"/>
        </w:tabs>
        <w:ind w:left="3600" w:hanging="360"/>
      </w:pPr>
      <w:rPr>
        <w:rFonts w:ascii="Times New Roman" w:hAnsi="Times New Roman" w:eastAsia="Times New Roman" w:cs="Times New Roman"/>
        <w:vanish w:val="0"/>
        <w:color w:val="000000"/>
        <w:sz w:val="22"/>
        <w:szCs w:val="22"/>
        <w:highlight w:val="white"/>
        <w:lang w:val="pl-PL"/>
      </w:rPr>
    </w:lvl>
  </w:abstractNum>
  <w:abstractNum w:abstractNumId="59">
    <w:nsid w:val="79E80289"/>
    <w:multiLevelType w:val="multilevel"/>
    <w:tmpl w:val="79E80289"/>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60">
    <w:nsid w:val="7A961463"/>
    <w:multiLevelType w:val="multilevel"/>
    <w:tmpl w:val="7A961463"/>
    <w:lvl w:ilvl="0" w:tentative="0">
      <w:start w:val="2"/>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61">
    <w:nsid w:val="7B721CA9"/>
    <w:multiLevelType w:val="multilevel"/>
    <w:tmpl w:val="7B721CA9"/>
    <w:lvl w:ilvl="0" w:tentative="0">
      <w:start w:val="17"/>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62">
    <w:nsid w:val="7D2B1F5D"/>
    <w:multiLevelType w:val="multilevel"/>
    <w:tmpl w:val="7D2B1F5D"/>
    <w:lvl w:ilvl="0" w:tentative="0">
      <w:start w:val="9"/>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63">
    <w:nsid w:val="7EEE472B"/>
    <w:multiLevelType w:val="multilevel"/>
    <w:tmpl w:val="7EEE472B"/>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num w:numId="1">
    <w:abstractNumId w:val="53"/>
  </w:num>
  <w:num w:numId="2">
    <w:abstractNumId w:val="3"/>
  </w:num>
  <w:num w:numId="3">
    <w:abstractNumId w:val="51"/>
  </w:num>
  <w:num w:numId="4">
    <w:abstractNumId w:val="15"/>
  </w:num>
  <w:num w:numId="5">
    <w:abstractNumId w:val="52"/>
  </w:num>
  <w:num w:numId="6">
    <w:abstractNumId w:val="25"/>
  </w:num>
  <w:num w:numId="7">
    <w:abstractNumId w:val="29"/>
  </w:num>
  <w:num w:numId="8">
    <w:abstractNumId w:val="17"/>
  </w:num>
  <w:num w:numId="9">
    <w:abstractNumId w:val="22"/>
  </w:num>
  <w:num w:numId="10">
    <w:abstractNumId w:val="31"/>
  </w:num>
  <w:num w:numId="11">
    <w:abstractNumId w:val="34"/>
  </w:num>
  <w:num w:numId="12">
    <w:abstractNumId w:val="12"/>
  </w:num>
  <w:num w:numId="13">
    <w:abstractNumId w:val="49"/>
  </w:num>
  <w:num w:numId="14">
    <w:abstractNumId w:val="43"/>
  </w:num>
  <w:num w:numId="15">
    <w:abstractNumId w:val="36"/>
  </w:num>
  <w:num w:numId="16">
    <w:abstractNumId w:val="11"/>
  </w:num>
  <w:num w:numId="17">
    <w:abstractNumId w:val="47"/>
  </w:num>
  <w:num w:numId="18">
    <w:abstractNumId w:val="20"/>
  </w:num>
  <w:num w:numId="19">
    <w:abstractNumId w:val="24"/>
  </w:num>
  <w:num w:numId="20">
    <w:abstractNumId w:val="62"/>
  </w:num>
  <w:num w:numId="21">
    <w:abstractNumId w:val="61"/>
  </w:num>
  <w:num w:numId="22">
    <w:abstractNumId w:val="59"/>
  </w:num>
  <w:num w:numId="23">
    <w:abstractNumId w:val="39"/>
  </w:num>
  <w:num w:numId="24">
    <w:abstractNumId w:val="2"/>
  </w:num>
  <w:num w:numId="25">
    <w:abstractNumId w:val="18"/>
  </w:num>
  <w:num w:numId="26">
    <w:abstractNumId w:val="10"/>
  </w:num>
  <w:num w:numId="27">
    <w:abstractNumId w:val="28"/>
  </w:num>
  <w:num w:numId="28">
    <w:abstractNumId w:val="19"/>
  </w:num>
  <w:num w:numId="29">
    <w:abstractNumId w:val="48"/>
  </w:num>
  <w:num w:numId="30">
    <w:abstractNumId w:val="14"/>
  </w:num>
  <w:num w:numId="31">
    <w:abstractNumId w:val="60"/>
  </w:num>
  <w:num w:numId="32">
    <w:abstractNumId w:val="42"/>
  </w:num>
  <w:num w:numId="33">
    <w:abstractNumId w:val="16"/>
  </w:num>
  <w:num w:numId="34">
    <w:abstractNumId w:val="54"/>
  </w:num>
  <w:num w:numId="35">
    <w:abstractNumId w:val="21"/>
  </w:num>
  <w:num w:numId="36">
    <w:abstractNumId w:val="26"/>
  </w:num>
  <w:num w:numId="37">
    <w:abstractNumId w:val="38"/>
  </w:num>
  <w:num w:numId="38">
    <w:abstractNumId w:val="40"/>
  </w:num>
  <w:num w:numId="39">
    <w:abstractNumId w:val="63"/>
  </w:num>
  <w:num w:numId="40">
    <w:abstractNumId w:val="50"/>
  </w:num>
  <w:num w:numId="41">
    <w:abstractNumId w:val="57"/>
  </w:num>
  <w:num w:numId="42">
    <w:abstractNumId w:val="41"/>
  </w:num>
  <w:num w:numId="43">
    <w:abstractNumId w:val="6"/>
  </w:num>
  <w:num w:numId="44">
    <w:abstractNumId w:val="35"/>
  </w:num>
  <w:num w:numId="45">
    <w:abstractNumId w:val="9"/>
  </w:num>
  <w:num w:numId="46">
    <w:abstractNumId w:val="46"/>
  </w:num>
  <w:num w:numId="47">
    <w:abstractNumId w:val="30"/>
  </w:num>
  <w:num w:numId="48">
    <w:abstractNumId w:val="5"/>
  </w:num>
  <w:num w:numId="49">
    <w:abstractNumId w:val="55"/>
  </w:num>
  <w:num w:numId="50">
    <w:abstractNumId w:val="13"/>
  </w:num>
  <w:num w:numId="51">
    <w:abstractNumId w:val="23"/>
  </w:num>
  <w:num w:numId="52">
    <w:abstractNumId w:val="32"/>
  </w:num>
  <w:num w:numId="53">
    <w:abstractNumId w:val="8"/>
  </w:num>
  <w:num w:numId="54">
    <w:abstractNumId w:val="33"/>
  </w:num>
  <w:num w:numId="55">
    <w:abstractNumId w:val="45"/>
  </w:num>
  <w:num w:numId="56">
    <w:abstractNumId w:val="7"/>
  </w:num>
  <w:num w:numId="57">
    <w:abstractNumId w:val="1"/>
  </w:num>
  <w:num w:numId="58">
    <w:abstractNumId w:val="0"/>
  </w:num>
  <w:num w:numId="59">
    <w:abstractNumId w:val="58"/>
  </w:num>
  <w:num w:numId="60">
    <w:abstractNumId w:val="27"/>
  </w:num>
  <w:num w:numId="61">
    <w:abstractNumId w:val="44"/>
  </w:num>
  <w:num w:numId="62">
    <w:abstractNumId w:val="56"/>
  </w:num>
  <w:num w:numId="63">
    <w:abstractNumId w:val="37"/>
  </w:num>
  <w:num w:numId="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720"/>
  <w:autoHyphenation/>
  <w:hyphenationZone w:val="425"/>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1AD"/>
    <w:rsid w:val="00001092"/>
    <w:rsid w:val="00001662"/>
    <w:rsid w:val="000022B5"/>
    <w:rsid w:val="000104AF"/>
    <w:rsid w:val="000C1F4B"/>
    <w:rsid w:val="000C3C54"/>
    <w:rsid w:val="000D1BDD"/>
    <w:rsid w:val="000F5629"/>
    <w:rsid w:val="001718EF"/>
    <w:rsid w:val="00274573"/>
    <w:rsid w:val="00287CA2"/>
    <w:rsid w:val="002D75DF"/>
    <w:rsid w:val="00300413"/>
    <w:rsid w:val="003010D9"/>
    <w:rsid w:val="0030670B"/>
    <w:rsid w:val="00327A60"/>
    <w:rsid w:val="00327A6A"/>
    <w:rsid w:val="0033554C"/>
    <w:rsid w:val="00360AF7"/>
    <w:rsid w:val="00365FAA"/>
    <w:rsid w:val="003F715D"/>
    <w:rsid w:val="00435E78"/>
    <w:rsid w:val="00441CBB"/>
    <w:rsid w:val="004421AD"/>
    <w:rsid w:val="00447552"/>
    <w:rsid w:val="0052059A"/>
    <w:rsid w:val="005C4080"/>
    <w:rsid w:val="00620482"/>
    <w:rsid w:val="006227A7"/>
    <w:rsid w:val="006E56D1"/>
    <w:rsid w:val="00786376"/>
    <w:rsid w:val="00793C0A"/>
    <w:rsid w:val="00796C1B"/>
    <w:rsid w:val="00797602"/>
    <w:rsid w:val="00807CF5"/>
    <w:rsid w:val="00812595"/>
    <w:rsid w:val="00833DCA"/>
    <w:rsid w:val="0084022E"/>
    <w:rsid w:val="00856793"/>
    <w:rsid w:val="00882A20"/>
    <w:rsid w:val="008938EB"/>
    <w:rsid w:val="00945791"/>
    <w:rsid w:val="00962B1B"/>
    <w:rsid w:val="00975E94"/>
    <w:rsid w:val="00A344BF"/>
    <w:rsid w:val="00A53CB9"/>
    <w:rsid w:val="00AE23FB"/>
    <w:rsid w:val="00B26BDF"/>
    <w:rsid w:val="00B87FB4"/>
    <w:rsid w:val="00BB3494"/>
    <w:rsid w:val="00BD6F9D"/>
    <w:rsid w:val="00BD7AC4"/>
    <w:rsid w:val="00BF4D42"/>
    <w:rsid w:val="00C65D1F"/>
    <w:rsid w:val="00CC6777"/>
    <w:rsid w:val="00CF16DB"/>
    <w:rsid w:val="00D94AB9"/>
    <w:rsid w:val="00F877D0"/>
    <w:rsid w:val="00FD0E99"/>
    <w:rsid w:val="05DC728E"/>
    <w:rsid w:val="075622C6"/>
    <w:rsid w:val="08EF549D"/>
    <w:rsid w:val="0E642E33"/>
    <w:rsid w:val="1F621D2F"/>
    <w:rsid w:val="26793695"/>
    <w:rsid w:val="2AC73B65"/>
    <w:rsid w:val="2C4C08DF"/>
    <w:rsid w:val="36863E3D"/>
    <w:rsid w:val="398C02FF"/>
    <w:rsid w:val="3F464010"/>
    <w:rsid w:val="425F580A"/>
    <w:rsid w:val="49A87717"/>
    <w:rsid w:val="4AD45440"/>
    <w:rsid w:val="50A05A8A"/>
    <w:rsid w:val="513B2C5D"/>
    <w:rsid w:val="57CC4964"/>
    <w:rsid w:val="58E421F1"/>
    <w:rsid w:val="5F7F1015"/>
    <w:rsid w:val="623955DB"/>
    <w:rsid w:val="633D1193"/>
    <w:rsid w:val="6AB04E89"/>
    <w:rsid w:val="6AE4249D"/>
    <w:rsid w:val="77E175CD"/>
    <w:rsid w:val="7B3F5E27"/>
    <w:rsid w:val="7DEC1244"/>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qFormat="1"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Times New Roman" w:hAnsi="Times New Roman" w:eastAsia="Times New Roman" w:cs="Times New Roman"/>
      <w:sz w:val="22"/>
      <w:szCs w:val="22"/>
      <w:lang w:val="pl-PL" w:eastAsia="pl-PL" w:bidi="pl-PL"/>
    </w:rPr>
  </w:style>
  <w:style w:type="paragraph" w:styleId="2">
    <w:name w:val="heading 1"/>
    <w:basedOn w:val="1"/>
    <w:next w:val="1"/>
    <w:qFormat/>
    <w:uiPriority w:val="9"/>
    <w:pPr>
      <w:numPr>
        <w:ilvl w:val="0"/>
        <w:numId w:val="1"/>
      </w:numPr>
      <w:ind w:left="3520" w:right="3516"/>
      <w:jc w:val="center"/>
      <w:outlineLvl w:val="0"/>
    </w:pPr>
    <w:rPr>
      <w:b/>
      <w:bCs/>
    </w:rPr>
  </w:style>
  <w:style w:type="paragraph" w:styleId="3">
    <w:name w:val="heading 3"/>
    <w:basedOn w:val="4"/>
    <w:next w:val="5"/>
    <w:semiHidden/>
    <w:unhideWhenUsed/>
    <w:qFormat/>
    <w:uiPriority w:val="9"/>
    <w:pPr>
      <w:numPr>
        <w:ilvl w:val="2"/>
        <w:numId w:val="1"/>
      </w:numPr>
      <w:spacing w:before="140" w:after="120"/>
      <w:outlineLvl w:val="2"/>
    </w:pPr>
    <w:rPr>
      <w:rFonts w:eastAsia="SimSun" w:cs="Lucida Sans"/>
      <w:b/>
      <w:bCs/>
      <w:sz w:val="28"/>
      <w:szCs w:val="28"/>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header"/>
    <w:basedOn w:val="1"/>
    <w:next w:val="5"/>
    <w:qFormat/>
    <w:uiPriority w:val="0"/>
    <w:pPr>
      <w:widowControl w:val="0"/>
    </w:pPr>
    <w:rPr>
      <w:rFonts w:ascii="Liberation Serif;Times New Roma" w:hAnsi="Liberation Serif;Times New Roma" w:eastAsia="Liberation Serif;Times New Roma" w:cs="Liberation Serif;Times New Roma"/>
      <w:color w:val="000000"/>
      <w:kern w:val="2"/>
      <w:sz w:val="24"/>
    </w:rPr>
  </w:style>
  <w:style w:type="paragraph" w:styleId="5">
    <w:name w:val="Body Text"/>
    <w:basedOn w:val="1"/>
    <w:qFormat/>
    <w:uiPriority w:val="0"/>
    <w:pPr>
      <w:ind w:left="116"/>
      <w:jc w:val="both"/>
    </w:pPr>
  </w:style>
  <w:style w:type="paragraph" w:styleId="8">
    <w:name w:val="Balloon Text"/>
    <w:basedOn w:val="1"/>
    <w:qFormat/>
    <w:uiPriority w:val="0"/>
    <w:rPr>
      <w:rFonts w:ascii="Tahoma" w:hAnsi="Tahoma" w:cs="Tahoma"/>
      <w:sz w:val="16"/>
      <w:szCs w:val="16"/>
    </w:rPr>
  </w:style>
  <w:style w:type="paragraph" w:styleId="9">
    <w:name w:val="caption"/>
    <w:basedOn w:val="1"/>
    <w:next w:val="1"/>
    <w:qFormat/>
    <w:uiPriority w:val="0"/>
    <w:pPr>
      <w:suppressLineNumbers/>
      <w:spacing w:before="120" w:after="120"/>
    </w:pPr>
    <w:rPr>
      <w:rFonts w:cs="Mangal"/>
      <w:i/>
      <w:iCs/>
      <w:sz w:val="24"/>
      <w:szCs w:val="24"/>
    </w:rPr>
  </w:style>
  <w:style w:type="character" w:styleId="10">
    <w:name w:val="annotation reference"/>
    <w:basedOn w:val="6"/>
    <w:qFormat/>
    <w:uiPriority w:val="0"/>
    <w:rPr>
      <w:sz w:val="16"/>
      <w:szCs w:val="16"/>
    </w:rPr>
  </w:style>
  <w:style w:type="paragraph" w:styleId="11">
    <w:name w:val="annotation text"/>
    <w:basedOn w:val="1"/>
    <w:qFormat/>
    <w:uiPriority w:val="0"/>
    <w:rPr>
      <w:sz w:val="20"/>
      <w:szCs w:val="20"/>
    </w:rPr>
  </w:style>
  <w:style w:type="paragraph" w:styleId="12">
    <w:name w:val="annotation subject"/>
    <w:basedOn w:val="13"/>
    <w:next w:val="13"/>
    <w:qFormat/>
    <w:uiPriority w:val="0"/>
    <w:rPr>
      <w:b/>
      <w:bCs/>
    </w:rPr>
  </w:style>
  <w:style w:type="paragraph" w:customStyle="1" w:styleId="13">
    <w:name w:val="Tekst komentarza1"/>
    <w:basedOn w:val="1"/>
    <w:qFormat/>
    <w:uiPriority w:val="0"/>
    <w:rPr>
      <w:sz w:val="20"/>
      <w:szCs w:val="20"/>
    </w:rPr>
  </w:style>
  <w:style w:type="paragraph" w:styleId="14">
    <w:name w:val="footer"/>
    <w:basedOn w:val="1"/>
    <w:link w:val="274"/>
    <w:qFormat/>
    <w:uiPriority w:val="0"/>
    <w:pPr>
      <w:tabs>
        <w:tab w:val="center" w:pos="6922"/>
        <w:tab w:val="right" w:pos="13844"/>
      </w:tabs>
    </w:pPr>
  </w:style>
  <w:style w:type="paragraph" w:styleId="15">
    <w:name w:val="List"/>
    <w:basedOn w:val="5"/>
    <w:qFormat/>
    <w:uiPriority w:val="0"/>
    <w:rPr>
      <w:rFonts w:cs="Lucida Sans"/>
    </w:rPr>
  </w:style>
  <w:style w:type="paragraph" w:styleId="16">
    <w:name w:val="Normal (Web)"/>
    <w:basedOn w:val="1"/>
    <w:qFormat/>
    <w:uiPriority w:val="0"/>
    <w:pPr>
      <w:suppressAutoHyphens w:val="0"/>
      <w:spacing w:before="280" w:after="119"/>
    </w:pPr>
    <w:rPr>
      <w:rFonts w:ascii="Liberation Serif;Times New Roma" w:hAnsi="Liberation Serif;Times New Roma" w:eastAsia="Liberation Serif;Times New Roma" w:cs="Liberation Serif;Times New Roma"/>
      <w:color w:val="000000"/>
      <w:kern w:val="2"/>
      <w:sz w:val="24"/>
    </w:rPr>
  </w:style>
  <w:style w:type="character" w:customStyle="1" w:styleId="17">
    <w:name w:val="WW8Num1z0"/>
    <w:qFormat/>
    <w:uiPriority w:val="0"/>
  </w:style>
  <w:style w:type="character" w:customStyle="1" w:styleId="18">
    <w:name w:val="WW8Num1z1"/>
    <w:qFormat/>
    <w:uiPriority w:val="0"/>
  </w:style>
  <w:style w:type="character" w:customStyle="1" w:styleId="19">
    <w:name w:val="WW8Num1z2"/>
    <w:qFormat/>
    <w:uiPriority w:val="0"/>
  </w:style>
  <w:style w:type="character" w:customStyle="1" w:styleId="20">
    <w:name w:val="WW8Num1z3"/>
    <w:qFormat/>
    <w:uiPriority w:val="0"/>
  </w:style>
  <w:style w:type="character" w:customStyle="1" w:styleId="21">
    <w:name w:val="WW8Num1z4"/>
    <w:qFormat/>
    <w:uiPriority w:val="0"/>
  </w:style>
  <w:style w:type="character" w:customStyle="1" w:styleId="22">
    <w:name w:val="WW8Num1z5"/>
    <w:qFormat/>
    <w:uiPriority w:val="0"/>
  </w:style>
  <w:style w:type="character" w:customStyle="1" w:styleId="23">
    <w:name w:val="WW8Num1z6"/>
    <w:qFormat/>
    <w:uiPriority w:val="0"/>
  </w:style>
  <w:style w:type="character" w:customStyle="1" w:styleId="24">
    <w:name w:val="WW8Num1z7"/>
    <w:qFormat/>
    <w:uiPriority w:val="0"/>
  </w:style>
  <w:style w:type="character" w:customStyle="1" w:styleId="25">
    <w:name w:val="WW8Num1z8"/>
    <w:qFormat/>
    <w:uiPriority w:val="0"/>
  </w:style>
  <w:style w:type="character" w:customStyle="1" w:styleId="26">
    <w:name w:val="WW8Num2z0"/>
    <w:qFormat/>
    <w:uiPriority w:val="0"/>
    <w:rPr>
      <w:rFonts w:ascii="Times New Roman" w:hAnsi="Times New Roman" w:cs="Times New Roman"/>
      <w:color w:val="000000"/>
      <w:sz w:val="22"/>
      <w:szCs w:val="22"/>
    </w:rPr>
  </w:style>
  <w:style w:type="character" w:customStyle="1" w:styleId="27">
    <w:name w:val="WW8Num2z1"/>
    <w:qFormat/>
    <w:uiPriority w:val="0"/>
    <w:rPr>
      <w:rFonts w:ascii="Times New Roman" w:hAnsi="Times New Roman" w:cs="Times New Roman"/>
      <w:strike/>
      <w:sz w:val="22"/>
      <w:szCs w:val="22"/>
    </w:rPr>
  </w:style>
  <w:style w:type="character" w:customStyle="1" w:styleId="28">
    <w:name w:val="WW8Num3z0"/>
    <w:qFormat/>
    <w:uiPriority w:val="0"/>
    <w:rPr>
      <w:rFonts w:ascii="Times New Roman" w:hAnsi="Times New Roman" w:cs="Times New Roman"/>
      <w:color w:val="000000"/>
      <w:sz w:val="22"/>
      <w:szCs w:val="22"/>
    </w:rPr>
  </w:style>
  <w:style w:type="character" w:customStyle="1" w:styleId="29">
    <w:name w:val="WW8Num3z1"/>
    <w:qFormat/>
    <w:uiPriority w:val="0"/>
    <w:rPr>
      <w:rFonts w:ascii="Times New Roman" w:hAnsi="Times New Roman" w:cs="Times New Roman"/>
      <w:sz w:val="22"/>
      <w:szCs w:val="22"/>
    </w:rPr>
  </w:style>
  <w:style w:type="character" w:customStyle="1" w:styleId="30">
    <w:name w:val="WW8Num4z0"/>
    <w:qFormat/>
    <w:uiPriority w:val="0"/>
    <w:rPr>
      <w:rFonts w:ascii="Times New Roman" w:hAnsi="Times New Roman" w:cs="Times New Roman"/>
      <w:color w:val="000000"/>
      <w:sz w:val="22"/>
      <w:szCs w:val="22"/>
    </w:rPr>
  </w:style>
  <w:style w:type="character" w:customStyle="1" w:styleId="31">
    <w:name w:val="WW8Num5z0"/>
    <w:qFormat/>
    <w:uiPriority w:val="0"/>
    <w:rPr>
      <w:rFonts w:ascii="Times New Roman" w:hAnsi="Times New Roman" w:cs="Times New Roman"/>
      <w:color w:val="000000"/>
      <w:sz w:val="22"/>
      <w:szCs w:val="22"/>
    </w:rPr>
  </w:style>
  <w:style w:type="character" w:customStyle="1" w:styleId="32">
    <w:name w:val="WW8Num6z0"/>
    <w:qFormat/>
    <w:uiPriority w:val="0"/>
    <w:rPr>
      <w:rFonts w:ascii="Times New Roman" w:hAnsi="Times New Roman" w:cs="Times New Roman"/>
      <w:color w:val="000000"/>
      <w:sz w:val="22"/>
      <w:szCs w:val="22"/>
    </w:rPr>
  </w:style>
  <w:style w:type="character" w:customStyle="1" w:styleId="33">
    <w:name w:val="WW8Num7z0"/>
    <w:qFormat/>
    <w:uiPriority w:val="0"/>
    <w:rPr>
      <w:rFonts w:ascii="Times New Roman" w:hAnsi="Times New Roman" w:cs="Times New Roman"/>
      <w:sz w:val="22"/>
      <w:szCs w:val="22"/>
    </w:rPr>
  </w:style>
  <w:style w:type="character" w:customStyle="1" w:styleId="34">
    <w:name w:val="WW8Num8z0"/>
    <w:qFormat/>
    <w:uiPriority w:val="0"/>
    <w:rPr>
      <w:rFonts w:ascii="Times New Roman" w:hAnsi="Times New Roman" w:cs="Times New Roman"/>
      <w:color w:val="000000"/>
      <w:sz w:val="22"/>
      <w:szCs w:val="22"/>
    </w:rPr>
  </w:style>
  <w:style w:type="character" w:customStyle="1" w:styleId="35">
    <w:name w:val="WW8Num9z0"/>
    <w:qFormat/>
    <w:uiPriority w:val="0"/>
    <w:rPr>
      <w:rFonts w:ascii="Times New Roman" w:hAnsi="Times New Roman" w:cs="Times New Roman"/>
      <w:color w:val="000000"/>
      <w:sz w:val="22"/>
      <w:szCs w:val="22"/>
    </w:rPr>
  </w:style>
  <w:style w:type="character" w:customStyle="1" w:styleId="36">
    <w:name w:val="WW8Num10z0"/>
    <w:qFormat/>
    <w:uiPriority w:val="0"/>
    <w:rPr>
      <w:rFonts w:ascii="Times New Roman" w:hAnsi="Times New Roman" w:cs="Times New Roman"/>
      <w:color w:val="000000"/>
      <w:sz w:val="22"/>
      <w:szCs w:val="22"/>
    </w:rPr>
  </w:style>
  <w:style w:type="character" w:customStyle="1" w:styleId="37">
    <w:name w:val="WW8Num11z0"/>
    <w:qFormat/>
    <w:uiPriority w:val="0"/>
    <w:rPr>
      <w:rFonts w:ascii="Times New Roman" w:hAnsi="Times New Roman" w:cs="Times New Roman"/>
      <w:sz w:val="22"/>
      <w:szCs w:val="22"/>
    </w:rPr>
  </w:style>
  <w:style w:type="character" w:customStyle="1" w:styleId="38">
    <w:name w:val="WW8Num12z0"/>
    <w:qFormat/>
    <w:uiPriority w:val="0"/>
    <w:rPr>
      <w:rFonts w:ascii="Times New Roman" w:hAnsi="Times New Roman" w:cs="Times New Roman"/>
      <w:color w:val="000000"/>
      <w:sz w:val="22"/>
      <w:szCs w:val="22"/>
    </w:rPr>
  </w:style>
  <w:style w:type="character" w:customStyle="1" w:styleId="39">
    <w:name w:val="WW8Num13z0"/>
    <w:qFormat/>
    <w:uiPriority w:val="0"/>
    <w:rPr>
      <w:rFonts w:ascii="Times New Roman" w:hAnsi="Times New Roman" w:cs="Times New Roman"/>
      <w:sz w:val="22"/>
      <w:szCs w:val="22"/>
    </w:rPr>
  </w:style>
  <w:style w:type="character" w:customStyle="1" w:styleId="40">
    <w:name w:val="WW8Num14z0"/>
    <w:qFormat/>
    <w:uiPriority w:val="0"/>
    <w:rPr>
      <w:rFonts w:ascii="Times New Roman" w:hAnsi="Times New Roman" w:cs="Times New Roman"/>
      <w:sz w:val="22"/>
      <w:szCs w:val="22"/>
    </w:rPr>
  </w:style>
  <w:style w:type="character" w:customStyle="1" w:styleId="41">
    <w:name w:val="WW8Num15z0"/>
    <w:qFormat/>
    <w:uiPriority w:val="0"/>
    <w:rPr>
      <w:rFonts w:ascii="Times New Roman" w:hAnsi="Times New Roman" w:cs="Times New Roman"/>
      <w:color w:val="000000"/>
      <w:sz w:val="22"/>
      <w:szCs w:val="22"/>
    </w:rPr>
  </w:style>
  <w:style w:type="character" w:customStyle="1" w:styleId="42">
    <w:name w:val="WW8Num16z0"/>
    <w:qFormat/>
    <w:uiPriority w:val="0"/>
    <w:rPr>
      <w:rFonts w:ascii="Times New Roman" w:hAnsi="Times New Roman" w:cs="Times New Roman"/>
      <w:sz w:val="22"/>
      <w:szCs w:val="22"/>
    </w:rPr>
  </w:style>
  <w:style w:type="character" w:customStyle="1" w:styleId="43">
    <w:name w:val="WW8Num17z0"/>
    <w:qFormat/>
    <w:uiPriority w:val="0"/>
    <w:rPr>
      <w:rFonts w:ascii="Times New Roman" w:hAnsi="Times New Roman" w:cs="Times New Roman"/>
      <w:sz w:val="22"/>
      <w:szCs w:val="22"/>
    </w:rPr>
  </w:style>
  <w:style w:type="character" w:customStyle="1" w:styleId="44">
    <w:name w:val="WW8Num18z0"/>
    <w:qFormat/>
    <w:uiPriority w:val="0"/>
    <w:rPr>
      <w:rFonts w:ascii="Times New Roman" w:hAnsi="Times New Roman" w:cs="Times New Roman"/>
      <w:sz w:val="22"/>
      <w:szCs w:val="22"/>
    </w:rPr>
  </w:style>
  <w:style w:type="character" w:customStyle="1" w:styleId="45">
    <w:name w:val="WW8Num19z0"/>
    <w:qFormat/>
    <w:uiPriority w:val="0"/>
    <w:rPr>
      <w:rFonts w:ascii="Times New Roman" w:hAnsi="Times New Roman" w:cs="Times New Roman"/>
      <w:color w:val="000000"/>
      <w:sz w:val="22"/>
      <w:szCs w:val="22"/>
    </w:rPr>
  </w:style>
  <w:style w:type="character" w:customStyle="1" w:styleId="46">
    <w:name w:val="WW8Num20z0"/>
    <w:qFormat/>
    <w:uiPriority w:val="0"/>
    <w:rPr>
      <w:rFonts w:ascii="Times New Roman" w:hAnsi="Times New Roman" w:cs="Times New Roman"/>
      <w:color w:val="000000"/>
      <w:sz w:val="22"/>
      <w:szCs w:val="22"/>
    </w:rPr>
  </w:style>
  <w:style w:type="character" w:customStyle="1" w:styleId="47">
    <w:name w:val="WW8Num21z0"/>
    <w:qFormat/>
    <w:uiPriority w:val="0"/>
    <w:rPr>
      <w:rFonts w:ascii="Times New Roman" w:hAnsi="Times New Roman" w:cs="Times New Roman"/>
      <w:color w:val="000000"/>
      <w:sz w:val="22"/>
      <w:szCs w:val="22"/>
    </w:rPr>
  </w:style>
  <w:style w:type="character" w:customStyle="1" w:styleId="48">
    <w:name w:val="WW8Num22z0"/>
    <w:qFormat/>
    <w:uiPriority w:val="0"/>
    <w:rPr>
      <w:rFonts w:ascii="Times New Roman" w:hAnsi="Times New Roman" w:cs="Times New Roman"/>
      <w:sz w:val="22"/>
      <w:szCs w:val="22"/>
    </w:rPr>
  </w:style>
  <w:style w:type="character" w:customStyle="1" w:styleId="49">
    <w:name w:val="WW8Num23z0"/>
    <w:qFormat/>
    <w:uiPriority w:val="0"/>
    <w:rPr>
      <w:rFonts w:ascii="Times New Roman" w:hAnsi="Times New Roman" w:cs="Times New Roman"/>
      <w:color w:val="000000"/>
      <w:sz w:val="22"/>
      <w:szCs w:val="22"/>
    </w:rPr>
  </w:style>
  <w:style w:type="character" w:customStyle="1" w:styleId="50">
    <w:name w:val="WW8Num24z0"/>
    <w:qFormat/>
    <w:uiPriority w:val="0"/>
    <w:rPr>
      <w:rFonts w:ascii="Times New Roman" w:hAnsi="Times New Roman" w:cs="Times New Roman"/>
      <w:color w:val="000000"/>
      <w:sz w:val="22"/>
      <w:szCs w:val="22"/>
    </w:rPr>
  </w:style>
  <w:style w:type="character" w:customStyle="1" w:styleId="51">
    <w:name w:val="WW8Num25z0"/>
    <w:qFormat/>
    <w:uiPriority w:val="0"/>
    <w:rPr>
      <w:rFonts w:ascii="Times New Roman" w:hAnsi="Times New Roman" w:cs="Times New Roman"/>
      <w:sz w:val="22"/>
      <w:szCs w:val="22"/>
    </w:rPr>
  </w:style>
  <w:style w:type="character" w:customStyle="1" w:styleId="52">
    <w:name w:val="WW8Num26z0"/>
    <w:qFormat/>
    <w:uiPriority w:val="0"/>
    <w:rPr>
      <w:rFonts w:ascii="Times New Roman" w:hAnsi="Times New Roman" w:eastAsia="Times New Roman" w:cs="Times New Roman"/>
      <w:color w:val="000000"/>
      <w:sz w:val="22"/>
      <w:szCs w:val="22"/>
      <w:lang w:val="pl-PL"/>
    </w:rPr>
  </w:style>
  <w:style w:type="character" w:customStyle="1" w:styleId="53">
    <w:name w:val="WW8Num27z0"/>
    <w:qFormat/>
    <w:uiPriority w:val="0"/>
    <w:rPr>
      <w:rFonts w:ascii="Times New Roman" w:hAnsi="Times New Roman" w:cs="Times New Roman"/>
      <w:sz w:val="22"/>
      <w:szCs w:val="22"/>
    </w:rPr>
  </w:style>
  <w:style w:type="character" w:customStyle="1" w:styleId="54">
    <w:name w:val="WW8Num28z0"/>
    <w:qFormat/>
    <w:uiPriority w:val="0"/>
    <w:rPr>
      <w:rFonts w:ascii="Times New Roman" w:hAnsi="Times New Roman" w:cs="Times New Roman"/>
      <w:color w:val="000000"/>
      <w:sz w:val="22"/>
      <w:szCs w:val="22"/>
    </w:rPr>
  </w:style>
  <w:style w:type="character" w:customStyle="1" w:styleId="55">
    <w:name w:val="WW8Num29z0"/>
    <w:qFormat/>
    <w:uiPriority w:val="0"/>
    <w:rPr>
      <w:rFonts w:ascii="Times New Roman" w:hAnsi="Times New Roman" w:cs="Times New Roman"/>
      <w:sz w:val="22"/>
      <w:szCs w:val="22"/>
    </w:rPr>
  </w:style>
  <w:style w:type="character" w:customStyle="1" w:styleId="56">
    <w:name w:val="WW8Num30z0"/>
    <w:qFormat/>
    <w:uiPriority w:val="0"/>
    <w:rPr>
      <w:rFonts w:ascii="Times New Roman" w:hAnsi="Times New Roman" w:cs="Times New Roman"/>
      <w:color w:val="000000"/>
      <w:sz w:val="22"/>
      <w:szCs w:val="22"/>
    </w:rPr>
  </w:style>
  <w:style w:type="character" w:customStyle="1" w:styleId="57">
    <w:name w:val="WW8Num31z0"/>
    <w:qFormat/>
    <w:uiPriority w:val="0"/>
    <w:rPr>
      <w:rFonts w:ascii="Times New Roman" w:hAnsi="Times New Roman" w:eastAsia="Times New Roman" w:cs="Times New Roman"/>
      <w:color w:val="000000"/>
      <w:kern w:val="2"/>
      <w:sz w:val="22"/>
      <w:szCs w:val="22"/>
      <w:lang w:val="pl-PL" w:eastAsia="pl-PL" w:bidi="ar-SA"/>
    </w:rPr>
  </w:style>
  <w:style w:type="character" w:customStyle="1" w:styleId="58">
    <w:name w:val="WW8Num32z0"/>
    <w:qFormat/>
    <w:uiPriority w:val="0"/>
    <w:rPr>
      <w:rFonts w:ascii="Times New Roman" w:hAnsi="Times New Roman" w:cs="Times New Roman"/>
      <w:sz w:val="22"/>
      <w:szCs w:val="22"/>
    </w:rPr>
  </w:style>
  <w:style w:type="character" w:customStyle="1" w:styleId="59">
    <w:name w:val="WW8Num33z0"/>
    <w:qFormat/>
    <w:uiPriority w:val="0"/>
    <w:rPr>
      <w:rFonts w:ascii="Times New Roman" w:hAnsi="Times New Roman" w:cs="Times New Roman"/>
      <w:color w:val="000000"/>
      <w:sz w:val="22"/>
      <w:szCs w:val="22"/>
    </w:rPr>
  </w:style>
  <w:style w:type="character" w:customStyle="1" w:styleId="60">
    <w:name w:val="WW8Num34z0"/>
    <w:qFormat/>
    <w:uiPriority w:val="0"/>
    <w:rPr>
      <w:rFonts w:ascii="Times New Roman" w:hAnsi="Times New Roman" w:cs="Times New Roman"/>
      <w:sz w:val="22"/>
      <w:szCs w:val="22"/>
    </w:rPr>
  </w:style>
  <w:style w:type="character" w:customStyle="1" w:styleId="61">
    <w:name w:val="WW8Num35z0"/>
    <w:qFormat/>
    <w:uiPriority w:val="0"/>
    <w:rPr>
      <w:rFonts w:ascii="Times New Roman" w:hAnsi="Times New Roman" w:cs="Times New Roman"/>
      <w:sz w:val="22"/>
      <w:szCs w:val="22"/>
    </w:rPr>
  </w:style>
  <w:style w:type="character" w:customStyle="1" w:styleId="62">
    <w:name w:val="WW8Num36z0"/>
    <w:qFormat/>
    <w:uiPriority w:val="0"/>
    <w:rPr>
      <w:rFonts w:ascii="Times New Roman" w:hAnsi="Times New Roman" w:cs="Times New Roman"/>
      <w:sz w:val="22"/>
      <w:szCs w:val="22"/>
    </w:rPr>
  </w:style>
  <w:style w:type="character" w:customStyle="1" w:styleId="63">
    <w:name w:val="WW8Num37z0"/>
    <w:qFormat/>
    <w:uiPriority w:val="0"/>
    <w:rPr>
      <w:rFonts w:ascii="Times New Roman" w:hAnsi="Times New Roman" w:cs="Times New Roman"/>
      <w:sz w:val="22"/>
      <w:szCs w:val="22"/>
    </w:rPr>
  </w:style>
  <w:style w:type="character" w:customStyle="1" w:styleId="64">
    <w:name w:val="WW8Num38z0"/>
    <w:qFormat/>
    <w:uiPriority w:val="0"/>
    <w:rPr>
      <w:rFonts w:ascii="Times New Roman" w:hAnsi="Times New Roman" w:cs="Times New Roman"/>
      <w:color w:val="000000"/>
      <w:sz w:val="22"/>
      <w:szCs w:val="22"/>
    </w:rPr>
  </w:style>
  <w:style w:type="character" w:customStyle="1" w:styleId="65">
    <w:name w:val="WW8Num39z0"/>
    <w:qFormat/>
    <w:uiPriority w:val="0"/>
    <w:rPr>
      <w:rFonts w:ascii="Times New Roman" w:hAnsi="Times New Roman" w:cs="Times New Roman"/>
      <w:sz w:val="22"/>
      <w:szCs w:val="22"/>
    </w:rPr>
  </w:style>
  <w:style w:type="character" w:customStyle="1" w:styleId="66">
    <w:name w:val="WW8Num40z0"/>
    <w:qFormat/>
    <w:uiPriority w:val="0"/>
    <w:rPr>
      <w:rFonts w:ascii="Times New Roman" w:hAnsi="Times New Roman" w:cs="Times New Roman"/>
      <w:sz w:val="22"/>
      <w:szCs w:val="22"/>
    </w:rPr>
  </w:style>
  <w:style w:type="character" w:customStyle="1" w:styleId="67">
    <w:name w:val="WW8Num41z0"/>
    <w:qFormat/>
    <w:uiPriority w:val="0"/>
    <w:rPr>
      <w:rFonts w:ascii="Times New Roman" w:hAnsi="Times New Roman" w:cs="Times New Roman"/>
      <w:sz w:val="22"/>
      <w:szCs w:val="22"/>
    </w:rPr>
  </w:style>
  <w:style w:type="character" w:customStyle="1" w:styleId="68">
    <w:name w:val="WW8Num42z0"/>
    <w:qFormat/>
    <w:uiPriority w:val="0"/>
    <w:rPr>
      <w:rFonts w:ascii="Times New Roman" w:hAnsi="Times New Roman" w:eastAsia="Times New Roman" w:cs="Times New Roman"/>
      <w:color w:val="000000"/>
      <w:kern w:val="2"/>
      <w:sz w:val="22"/>
      <w:szCs w:val="22"/>
      <w:lang w:val="pl-PL" w:eastAsia="pl-PL" w:bidi="ar-SA"/>
    </w:rPr>
  </w:style>
  <w:style w:type="character" w:customStyle="1" w:styleId="69">
    <w:name w:val="WW8Num43z0"/>
    <w:qFormat/>
    <w:uiPriority w:val="0"/>
    <w:rPr>
      <w:rFonts w:ascii="Times New Roman" w:hAnsi="Times New Roman" w:cs="Times New Roman"/>
      <w:sz w:val="22"/>
      <w:szCs w:val="22"/>
    </w:rPr>
  </w:style>
  <w:style w:type="character" w:customStyle="1" w:styleId="70">
    <w:name w:val="WW8Num44z0"/>
    <w:qFormat/>
    <w:uiPriority w:val="0"/>
    <w:rPr>
      <w:rFonts w:ascii="Times New Roman" w:hAnsi="Times New Roman" w:eastAsia="Times New Roman" w:cs="Times New Roman"/>
      <w:bCs/>
      <w:color w:val="000000"/>
      <w:kern w:val="2"/>
      <w:sz w:val="22"/>
      <w:szCs w:val="22"/>
      <w:lang w:val="pl-PL" w:eastAsia="pl-PL" w:bidi="ar-SA"/>
    </w:rPr>
  </w:style>
  <w:style w:type="character" w:customStyle="1" w:styleId="71">
    <w:name w:val="WW8Num45z0"/>
    <w:qFormat/>
    <w:uiPriority w:val="0"/>
    <w:rPr>
      <w:rFonts w:ascii="Times New Roman" w:hAnsi="Times New Roman" w:cs="Times New Roman"/>
      <w:sz w:val="22"/>
      <w:szCs w:val="22"/>
    </w:rPr>
  </w:style>
  <w:style w:type="character" w:customStyle="1" w:styleId="72">
    <w:name w:val="WW8Num46z0"/>
    <w:qFormat/>
    <w:uiPriority w:val="0"/>
    <w:rPr>
      <w:rFonts w:ascii="Times New Roman" w:hAnsi="Times New Roman" w:cs="Times New Roman"/>
      <w:sz w:val="22"/>
      <w:szCs w:val="22"/>
    </w:rPr>
  </w:style>
  <w:style w:type="character" w:customStyle="1" w:styleId="73">
    <w:name w:val="WW8Num47z0"/>
    <w:qFormat/>
    <w:uiPriority w:val="0"/>
    <w:rPr>
      <w:rFonts w:ascii="Times New Roman" w:hAnsi="Times New Roman" w:eastAsia="Times New Roman" w:cs="Times New Roman"/>
      <w:color w:val="000000"/>
      <w:kern w:val="2"/>
      <w:sz w:val="22"/>
      <w:szCs w:val="22"/>
      <w:lang w:val="pl-PL" w:eastAsia="pl-PL" w:bidi="ar-SA"/>
    </w:rPr>
  </w:style>
  <w:style w:type="character" w:customStyle="1" w:styleId="74">
    <w:name w:val="WW8Num48z0"/>
    <w:qFormat/>
    <w:uiPriority w:val="0"/>
    <w:rPr>
      <w:rFonts w:ascii="Times New Roman" w:hAnsi="Times New Roman" w:cs="Times New Roman"/>
      <w:sz w:val="22"/>
      <w:szCs w:val="22"/>
    </w:rPr>
  </w:style>
  <w:style w:type="character" w:customStyle="1" w:styleId="75">
    <w:name w:val="WW8Num49z0"/>
    <w:qFormat/>
    <w:uiPriority w:val="0"/>
    <w:rPr>
      <w:rFonts w:ascii="Times New Roman" w:hAnsi="Times New Roman" w:eastAsia="Times New Roman" w:cs="Times New Roman"/>
      <w:color w:val="000000"/>
      <w:sz w:val="22"/>
      <w:szCs w:val="22"/>
      <w:lang w:eastAsia="pl-PL" w:bidi="ar-SA"/>
    </w:rPr>
  </w:style>
  <w:style w:type="character" w:customStyle="1" w:styleId="76">
    <w:name w:val="WW8Num50z0"/>
    <w:qFormat/>
    <w:uiPriority w:val="0"/>
    <w:rPr>
      <w:rFonts w:ascii="Times New Roman" w:hAnsi="Times New Roman" w:eastAsia="Times New Roman" w:cs="Times New Roman"/>
      <w:color w:val="000000"/>
      <w:sz w:val="22"/>
      <w:szCs w:val="22"/>
      <w:lang w:val="pl-PL" w:eastAsia="pl-PL" w:bidi="ar-SA"/>
    </w:rPr>
  </w:style>
  <w:style w:type="character" w:customStyle="1" w:styleId="77">
    <w:name w:val="WW8Num51z0"/>
    <w:qFormat/>
    <w:uiPriority w:val="0"/>
    <w:rPr>
      <w:rFonts w:ascii="Times New Roman" w:hAnsi="Times New Roman" w:eastAsia="Times New Roman" w:cs="Times New Roman"/>
      <w:bCs/>
      <w:color w:val="000000"/>
      <w:kern w:val="2"/>
      <w:sz w:val="22"/>
      <w:szCs w:val="22"/>
      <w:lang w:val="pl-PL" w:eastAsia="zh-CN" w:bidi="hi-IN"/>
    </w:rPr>
  </w:style>
  <w:style w:type="character" w:customStyle="1" w:styleId="78">
    <w:name w:val="WW8Num52z0"/>
    <w:qFormat/>
    <w:uiPriority w:val="0"/>
    <w:rPr>
      <w:rFonts w:ascii="Times New Roman" w:hAnsi="Times New Roman" w:cs="Times New Roman"/>
      <w:sz w:val="22"/>
      <w:szCs w:val="22"/>
    </w:rPr>
  </w:style>
  <w:style w:type="character" w:customStyle="1" w:styleId="79">
    <w:name w:val="WW8Num53z0"/>
    <w:qFormat/>
    <w:uiPriority w:val="0"/>
    <w:rPr>
      <w:rFonts w:ascii="Times New Roman" w:hAnsi="Times New Roman" w:cs="Times New Roman"/>
      <w:color w:val="000000"/>
      <w:sz w:val="22"/>
      <w:szCs w:val="22"/>
    </w:rPr>
  </w:style>
  <w:style w:type="character" w:customStyle="1" w:styleId="80">
    <w:name w:val="WW8Num54z0"/>
    <w:qFormat/>
    <w:uiPriority w:val="0"/>
    <w:rPr>
      <w:rFonts w:ascii="Times New Roman" w:hAnsi="Times New Roman" w:eastAsia="Times New Roman" w:cs="Times New Roman"/>
      <w:color w:val="000000"/>
      <w:sz w:val="22"/>
      <w:szCs w:val="22"/>
      <w:lang w:val="pl-PL"/>
    </w:rPr>
  </w:style>
  <w:style w:type="character" w:customStyle="1" w:styleId="81">
    <w:name w:val="WW8Num55z0"/>
    <w:qFormat/>
    <w:uiPriority w:val="0"/>
    <w:rPr>
      <w:rFonts w:ascii="Times New Roman" w:hAnsi="Times New Roman" w:cs="Times New Roman"/>
      <w:sz w:val="22"/>
      <w:szCs w:val="22"/>
    </w:rPr>
  </w:style>
  <w:style w:type="character" w:customStyle="1" w:styleId="82">
    <w:name w:val="WW8Num56z0"/>
    <w:qFormat/>
    <w:uiPriority w:val="0"/>
    <w:rPr>
      <w:rFonts w:ascii="Times New Roman" w:hAnsi="Times New Roman" w:cs="Times New Roman"/>
      <w:sz w:val="22"/>
      <w:szCs w:val="22"/>
    </w:rPr>
  </w:style>
  <w:style w:type="character" w:customStyle="1" w:styleId="83">
    <w:name w:val="WW8Num9z1"/>
    <w:qFormat/>
    <w:uiPriority w:val="0"/>
    <w:rPr>
      <w:rFonts w:ascii="Times New Roman" w:hAnsi="Times New Roman" w:cs="Times New Roman"/>
      <w:color w:val="C9211E"/>
      <w:sz w:val="22"/>
      <w:szCs w:val="22"/>
    </w:rPr>
  </w:style>
  <w:style w:type="character" w:customStyle="1" w:styleId="84">
    <w:name w:val="WW8Num15z1"/>
    <w:qFormat/>
    <w:uiPriority w:val="0"/>
  </w:style>
  <w:style w:type="character" w:customStyle="1" w:styleId="85">
    <w:name w:val="WW8Num15z2"/>
    <w:qFormat/>
    <w:uiPriority w:val="0"/>
  </w:style>
  <w:style w:type="character" w:customStyle="1" w:styleId="86">
    <w:name w:val="WW8Num15z3"/>
    <w:qFormat/>
    <w:uiPriority w:val="0"/>
  </w:style>
  <w:style w:type="character" w:customStyle="1" w:styleId="87">
    <w:name w:val="WW8Num15z4"/>
    <w:qFormat/>
    <w:uiPriority w:val="0"/>
  </w:style>
  <w:style w:type="character" w:customStyle="1" w:styleId="88">
    <w:name w:val="WW8Num15z5"/>
    <w:qFormat/>
    <w:uiPriority w:val="0"/>
  </w:style>
  <w:style w:type="character" w:customStyle="1" w:styleId="89">
    <w:name w:val="WW8Num15z6"/>
    <w:qFormat/>
    <w:uiPriority w:val="0"/>
  </w:style>
  <w:style w:type="character" w:customStyle="1" w:styleId="90">
    <w:name w:val="WW8Num15z7"/>
    <w:qFormat/>
    <w:uiPriority w:val="0"/>
  </w:style>
  <w:style w:type="character" w:customStyle="1" w:styleId="91">
    <w:name w:val="WW8Num15z8"/>
    <w:qFormat/>
    <w:uiPriority w:val="0"/>
  </w:style>
  <w:style w:type="character" w:customStyle="1" w:styleId="92">
    <w:name w:val="WW8Num4z1"/>
    <w:qFormat/>
    <w:uiPriority w:val="0"/>
    <w:rPr>
      <w:rFonts w:eastAsia="Times New Roman" w:cs="Times New Roman"/>
      <w:spacing w:val="-27"/>
      <w:w w:val="100"/>
      <w:sz w:val="22"/>
      <w:szCs w:val="22"/>
      <w:lang w:val="pl-PL" w:eastAsia="pl-PL" w:bidi="pl-PL"/>
    </w:rPr>
  </w:style>
  <w:style w:type="character" w:customStyle="1" w:styleId="93">
    <w:name w:val="WW8Num4z2"/>
    <w:qFormat/>
    <w:uiPriority w:val="0"/>
    <w:rPr>
      <w:rFonts w:ascii="Symbol" w:hAnsi="Symbol" w:cs="Symbol"/>
      <w:lang w:val="pl-PL" w:eastAsia="pl-PL" w:bidi="pl-PL"/>
    </w:rPr>
  </w:style>
  <w:style w:type="character" w:customStyle="1" w:styleId="94">
    <w:name w:val="WW8Num5z1"/>
    <w:qFormat/>
    <w:uiPriority w:val="0"/>
    <w:rPr>
      <w:rFonts w:eastAsia="Times New Roman" w:cs="Times New Roman"/>
      <w:spacing w:val="-7"/>
      <w:w w:val="100"/>
      <w:sz w:val="22"/>
      <w:szCs w:val="22"/>
      <w:lang w:val="pl-PL" w:eastAsia="pl-PL" w:bidi="pl-PL"/>
    </w:rPr>
  </w:style>
  <w:style w:type="character" w:customStyle="1" w:styleId="95">
    <w:name w:val="WW8Num5z4"/>
    <w:qFormat/>
    <w:uiPriority w:val="0"/>
    <w:rPr>
      <w:rFonts w:ascii="Symbol" w:hAnsi="Symbol" w:cs="Symbol"/>
      <w:lang w:val="pl-PL" w:eastAsia="pl-PL" w:bidi="pl-PL"/>
    </w:rPr>
  </w:style>
  <w:style w:type="character" w:customStyle="1" w:styleId="96">
    <w:name w:val="WW8Num6z1"/>
    <w:qFormat/>
    <w:uiPriority w:val="0"/>
    <w:rPr>
      <w:rFonts w:ascii="Symbol" w:hAnsi="Symbol" w:cs="Symbol"/>
      <w:lang w:val="pl-PL" w:eastAsia="pl-PL" w:bidi="pl-PL"/>
    </w:rPr>
  </w:style>
  <w:style w:type="character" w:customStyle="1" w:styleId="97">
    <w:name w:val="WW8Num7z1"/>
    <w:qFormat/>
    <w:uiPriority w:val="0"/>
    <w:rPr>
      <w:rFonts w:eastAsia="Times New Roman" w:cs="Times New Roman"/>
      <w:spacing w:val="-28"/>
      <w:w w:val="100"/>
      <w:sz w:val="22"/>
      <w:szCs w:val="22"/>
      <w:lang w:val="pl-PL" w:eastAsia="pl-PL" w:bidi="pl-PL"/>
    </w:rPr>
  </w:style>
  <w:style w:type="character" w:customStyle="1" w:styleId="98">
    <w:name w:val="WW8Num7z2"/>
    <w:qFormat/>
    <w:uiPriority w:val="0"/>
    <w:rPr>
      <w:rFonts w:ascii="Symbol" w:hAnsi="Symbol" w:cs="Symbol"/>
      <w:lang w:val="pl-PL" w:eastAsia="pl-PL" w:bidi="pl-PL"/>
    </w:rPr>
  </w:style>
  <w:style w:type="character" w:customStyle="1" w:styleId="99">
    <w:name w:val="WW8Num8z1"/>
    <w:qFormat/>
    <w:uiPriority w:val="0"/>
    <w:rPr>
      <w:rFonts w:eastAsia="Times New Roman" w:cs="Times New Roman"/>
      <w:spacing w:val="-2"/>
      <w:w w:val="100"/>
      <w:sz w:val="22"/>
      <w:szCs w:val="22"/>
      <w:lang w:val="pl-PL" w:eastAsia="pl-PL" w:bidi="pl-PL"/>
    </w:rPr>
  </w:style>
  <w:style w:type="character" w:customStyle="1" w:styleId="100">
    <w:name w:val="WW8Num8z2"/>
    <w:qFormat/>
    <w:uiPriority w:val="0"/>
    <w:rPr>
      <w:rFonts w:ascii="Symbol" w:hAnsi="Symbol" w:cs="Symbol"/>
      <w:lang w:val="pl-PL" w:eastAsia="pl-PL" w:bidi="pl-PL"/>
    </w:rPr>
  </w:style>
  <w:style w:type="character" w:customStyle="1" w:styleId="101">
    <w:name w:val="WW8Num9z2"/>
    <w:qFormat/>
    <w:uiPriority w:val="0"/>
    <w:rPr>
      <w:rFonts w:ascii="Symbol" w:hAnsi="Symbol" w:cs="Symbol"/>
      <w:lang w:val="pl-PL" w:eastAsia="pl-PL" w:bidi="pl-PL"/>
    </w:rPr>
  </w:style>
  <w:style w:type="character" w:customStyle="1" w:styleId="102">
    <w:name w:val="WW8Num10z1"/>
    <w:qFormat/>
    <w:uiPriority w:val="0"/>
    <w:rPr>
      <w:rFonts w:ascii="Symbol" w:hAnsi="Symbol" w:cs="Symbol"/>
      <w:lang w:val="pl-PL" w:eastAsia="pl-PL" w:bidi="pl-PL"/>
    </w:rPr>
  </w:style>
  <w:style w:type="character" w:customStyle="1" w:styleId="103">
    <w:name w:val="WW8Num11z2"/>
    <w:qFormat/>
    <w:uiPriority w:val="0"/>
    <w:rPr>
      <w:rFonts w:ascii="Symbol" w:hAnsi="Symbol" w:cs="Symbol"/>
      <w:lang w:val="pl-PL" w:eastAsia="pl-PL" w:bidi="pl-PL"/>
    </w:rPr>
  </w:style>
  <w:style w:type="character" w:customStyle="1" w:styleId="104">
    <w:name w:val="WW8Num12z1"/>
    <w:qFormat/>
    <w:uiPriority w:val="0"/>
    <w:rPr>
      <w:rFonts w:ascii="Symbol" w:hAnsi="Symbol" w:cs="Symbol"/>
      <w:lang w:val="pl-PL" w:eastAsia="pl-PL" w:bidi="pl-PL"/>
    </w:rPr>
  </w:style>
  <w:style w:type="character" w:customStyle="1" w:styleId="105">
    <w:name w:val="WW8Num13z1"/>
    <w:qFormat/>
    <w:uiPriority w:val="0"/>
    <w:rPr>
      <w:rFonts w:ascii="Symbol" w:hAnsi="Symbol" w:cs="Symbol"/>
      <w:lang w:val="pl-PL" w:eastAsia="pl-PL" w:bidi="pl-PL"/>
    </w:rPr>
  </w:style>
  <w:style w:type="character" w:customStyle="1" w:styleId="106">
    <w:name w:val="WW8Num14z1"/>
    <w:qFormat/>
    <w:uiPriority w:val="0"/>
    <w:rPr>
      <w:rFonts w:ascii="Symbol" w:hAnsi="Symbol" w:cs="Symbol"/>
      <w:lang w:val="pl-PL" w:eastAsia="pl-PL" w:bidi="pl-PL"/>
    </w:rPr>
  </w:style>
  <w:style w:type="character" w:customStyle="1" w:styleId="107">
    <w:name w:val="WW8Num16z1"/>
    <w:qFormat/>
    <w:uiPriority w:val="0"/>
    <w:rPr>
      <w:rFonts w:eastAsia="Times New Roman" w:cs="Times New Roman"/>
      <w:spacing w:val="-2"/>
      <w:w w:val="100"/>
      <w:sz w:val="22"/>
      <w:szCs w:val="22"/>
      <w:lang w:val="pl-PL" w:eastAsia="pl-PL" w:bidi="pl-PL"/>
    </w:rPr>
  </w:style>
  <w:style w:type="character" w:customStyle="1" w:styleId="108">
    <w:name w:val="WW8Num16z2"/>
    <w:qFormat/>
    <w:uiPriority w:val="0"/>
    <w:rPr>
      <w:rFonts w:ascii="Symbol" w:hAnsi="Symbol" w:cs="Symbol"/>
      <w:lang w:val="pl-PL" w:eastAsia="pl-PL" w:bidi="pl-PL"/>
    </w:rPr>
  </w:style>
  <w:style w:type="character" w:customStyle="1" w:styleId="109">
    <w:name w:val="WW8Num17z1"/>
    <w:qFormat/>
    <w:uiPriority w:val="0"/>
    <w:rPr>
      <w:rFonts w:eastAsia="Times New Roman" w:cs="Times New Roman"/>
      <w:spacing w:val="-7"/>
      <w:w w:val="100"/>
      <w:sz w:val="22"/>
      <w:szCs w:val="22"/>
      <w:lang w:val="pl-PL" w:eastAsia="pl-PL" w:bidi="pl-PL"/>
    </w:rPr>
  </w:style>
  <w:style w:type="character" w:customStyle="1" w:styleId="110">
    <w:name w:val="WW8Num17z2"/>
    <w:qFormat/>
    <w:uiPriority w:val="0"/>
    <w:rPr>
      <w:rFonts w:ascii="Symbol" w:hAnsi="Symbol" w:cs="Symbol"/>
      <w:lang w:val="pl-PL" w:eastAsia="pl-PL" w:bidi="pl-PL"/>
    </w:rPr>
  </w:style>
  <w:style w:type="character" w:customStyle="1" w:styleId="111">
    <w:name w:val="WW8Num18z1"/>
    <w:qFormat/>
    <w:uiPriority w:val="0"/>
    <w:rPr>
      <w:rFonts w:ascii="Symbol" w:hAnsi="Symbol" w:cs="Symbol"/>
      <w:lang w:val="pl-PL" w:eastAsia="pl-PL" w:bidi="pl-PL"/>
    </w:rPr>
  </w:style>
  <w:style w:type="character" w:customStyle="1" w:styleId="112">
    <w:name w:val="WW8Num19z1"/>
    <w:qFormat/>
    <w:uiPriority w:val="0"/>
    <w:rPr>
      <w:rFonts w:ascii="Symbol" w:hAnsi="Symbol" w:cs="Symbol"/>
      <w:lang w:val="pl-PL" w:eastAsia="pl-PL" w:bidi="pl-PL"/>
    </w:rPr>
  </w:style>
  <w:style w:type="character" w:customStyle="1" w:styleId="113">
    <w:name w:val="WW8Num20z1"/>
    <w:qFormat/>
    <w:uiPriority w:val="0"/>
  </w:style>
  <w:style w:type="character" w:customStyle="1" w:styleId="114">
    <w:name w:val="WW8Num20z2"/>
    <w:qFormat/>
    <w:uiPriority w:val="0"/>
  </w:style>
  <w:style w:type="character" w:customStyle="1" w:styleId="115">
    <w:name w:val="WW8Num20z3"/>
    <w:qFormat/>
    <w:uiPriority w:val="0"/>
  </w:style>
  <w:style w:type="character" w:customStyle="1" w:styleId="116">
    <w:name w:val="WW8Num20z4"/>
    <w:qFormat/>
    <w:uiPriority w:val="0"/>
  </w:style>
  <w:style w:type="character" w:customStyle="1" w:styleId="117">
    <w:name w:val="WW8Num20z5"/>
    <w:qFormat/>
    <w:uiPriority w:val="0"/>
  </w:style>
  <w:style w:type="character" w:customStyle="1" w:styleId="118">
    <w:name w:val="WW8Num20z6"/>
    <w:qFormat/>
    <w:uiPriority w:val="0"/>
  </w:style>
  <w:style w:type="character" w:customStyle="1" w:styleId="119">
    <w:name w:val="WW8Num20z7"/>
    <w:qFormat/>
    <w:uiPriority w:val="0"/>
  </w:style>
  <w:style w:type="character" w:customStyle="1" w:styleId="120">
    <w:name w:val="WW8Num20z8"/>
    <w:qFormat/>
    <w:uiPriority w:val="0"/>
  </w:style>
  <w:style w:type="character" w:customStyle="1" w:styleId="121">
    <w:name w:val="Mocne wyróżnione"/>
    <w:qFormat/>
    <w:uiPriority w:val="0"/>
    <w:rPr>
      <w:b/>
    </w:rPr>
  </w:style>
  <w:style w:type="character" w:customStyle="1" w:styleId="122">
    <w:name w:val="Znaki numeracji"/>
    <w:qFormat/>
    <w:uiPriority w:val="0"/>
    <w:rPr>
      <w:rFonts w:ascii="Times New Roman" w:hAnsi="Times New Roman" w:cs="Times New Roman"/>
      <w:sz w:val="22"/>
      <w:szCs w:val="22"/>
    </w:rPr>
  </w:style>
  <w:style w:type="character" w:customStyle="1" w:styleId="123">
    <w:name w:val="WW8Num4z3"/>
    <w:qFormat/>
    <w:uiPriority w:val="0"/>
  </w:style>
  <w:style w:type="character" w:customStyle="1" w:styleId="124">
    <w:name w:val="WW8Num4z4"/>
    <w:qFormat/>
    <w:uiPriority w:val="0"/>
  </w:style>
  <w:style w:type="character" w:customStyle="1" w:styleId="125">
    <w:name w:val="WW8Num4z5"/>
    <w:qFormat/>
    <w:uiPriority w:val="0"/>
  </w:style>
  <w:style w:type="character" w:customStyle="1" w:styleId="126">
    <w:name w:val="WW8Num4z6"/>
    <w:qFormat/>
    <w:uiPriority w:val="0"/>
  </w:style>
  <w:style w:type="character" w:customStyle="1" w:styleId="127">
    <w:name w:val="WW8Num4z7"/>
    <w:qFormat/>
    <w:uiPriority w:val="0"/>
  </w:style>
  <w:style w:type="character" w:customStyle="1" w:styleId="128">
    <w:name w:val="WW8Num4z8"/>
    <w:qFormat/>
    <w:uiPriority w:val="0"/>
  </w:style>
  <w:style w:type="character" w:customStyle="1" w:styleId="129">
    <w:name w:val="WW8Num9z3"/>
    <w:qFormat/>
    <w:uiPriority w:val="0"/>
  </w:style>
  <w:style w:type="character" w:customStyle="1" w:styleId="130">
    <w:name w:val="WW8Num9z4"/>
    <w:qFormat/>
    <w:uiPriority w:val="0"/>
  </w:style>
  <w:style w:type="character" w:customStyle="1" w:styleId="131">
    <w:name w:val="WW8Num9z5"/>
    <w:qFormat/>
    <w:uiPriority w:val="0"/>
  </w:style>
  <w:style w:type="character" w:customStyle="1" w:styleId="132">
    <w:name w:val="WW8Num9z6"/>
    <w:qFormat/>
    <w:uiPriority w:val="0"/>
  </w:style>
  <w:style w:type="character" w:customStyle="1" w:styleId="133">
    <w:name w:val="WW8Num9z7"/>
    <w:qFormat/>
    <w:uiPriority w:val="0"/>
  </w:style>
  <w:style w:type="character" w:customStyle="1" w:styleId="134">
    <w:name w:val="WW8Num9z8"/>
    <w:qFormat/>
    <w:uiPriority w:val="0"/>
  </w:style>
  <w:style w:type="character" w:customStyle="1" w:styleId="135">
    <w:name w:val="WW8Num11z1"/>
    <w:qFormat/>
    <w:uiPriority w:val="0"/>
  </w:style>
  <w:style w:type="character" w:customStyle="1" w:styleId="136">
    <w:name w:val="WW8Num11z3"/>
    <w:qFormat/>
    <w:uiPriority w:val="0"/>
  </w:style>
  <w:style w:type="character" w:customStyle="1" w:styleId="137">
    <w:name w:val="WW8Num11z4"/>
    <w:qFormat/>
    <w:uiPriority w:val="0"/>
  </w:style>
  <w:style w:type="character" w:customStyle="1" w:styleId="138">
    <w:name w:val="WW8Num11z5"/>
    <w:qFormat/>
    <w:uiPriority w:val="0"/>
  </w:style>
  <w:style w:type="character" w:customStyle="1" w:styleId="139">
    <w:name w:val="WW8Num11z6"/>
    <w:qFormat/>
    <w:uiPriority w:val="0"/>
  </w:style>
  <w:style w:type="character" w:customStyle="1" w:styleId="140">
    <w:name w:val="WW8Num11z7"/>
    <w:qFormat/>
    <w:uiPriority w:val="0"/>
  </w:style>
  <w:style w:type="character" w:customStyle="1" w:styleId="141">
    <w:name w:val="WW8Num11z8"/>
    <w:qFormat/>
    <w:uiPriority w:val="0"/>
  </w:style>
  <w:style w:type="character" w:customStyle="1" w:styleId="142">
    <w:name w:val="WW8Num5z2"/>
    <w:qFormat/>
    <w:uiPriority w:val="0"/>
  </w:style>
  <w:style w:type="character" w:customStyle="1" w:styleId="143">
    <w:name w:val="WW8Num5z3"/>
    <w:qFormat/>
    <w:uiPriority w:val="0"/>
  </w:style>
  <w:style w:type="character" w:customStyle="1" w:styleId="144">
    <w:name w:val="WW8Num5z5"/>
    <w:qFormat/>
    <w:uiPriority w:val="0"/>
  </w:style>
  <w:style w:type="character" w:customStyle="1" w:styleId="145">
    <w:name w:val="WW8Num5z6"/>
    <w:qFormat/>
    <w:uiPriority w:val="0"/>
  </w:style>
  <w:style w:type="character" w:customStyle="1" w:styleId="146">
    <w:name w:val="WW8Num5z7"/>
    <w:qFormat/>
    <w:uiPriority w:val="0"/>
  </w:style>
  <w:style w:type="character" w:customStyle="1" w:styleId="147">
    <w:name w:val="WW8Num5z8"/>
    <w:qFormat/>
    <w:uiPriority w:val="0"/>
  </w:style>
  <w:style w:type="character" w:customStyle="1" w:styleId="148">
    <w:name w:val="WW8Num6z2"/>
    <w:qFormat/>
    <w:uiPriority w:val="0"/>
  </w:style>
  <w:style w:type="character" w:customStyle="1" w:styleId="149">
    <w:name w:val="WW8Num6z3"/>
    <w:qFormat/>
    <w:uiPriority w:val="0"/>
  </w:style>
  <w:style w:type="character" w:customStyle="1" w:styleId="150">
    <w:name w:val="WW8Num6z4"/>
    <w:qFormat/>
    <w:uiPriority w:val="0"/>
  </w:style>
  <w:style w:type="character" w:customStyle="1" w:styleId="151">
    <w:name w:val="WW8Num6z5"/>
    <w:qFormat/>
    <w:uiPriority w:val="0"/>
  </w:style>
  <w:style w:type="character" w:customStyle="1" w:styleId="152">
    <w:name w:val="WW8Num6z6"/>
    <w:qFormat/>
    <w:uiPriority w:val="0"/>
  </w:style>
  <w:style w:type="character" w:customStyle="1" w:styleId="153">
    <w:name w:val="WW8Num6z7"/>
    <w:qFormat/>
    <w:uiPriority w:val="0"/>
  </w:style>
  <w:style w:type="character" w:customStyle="1" w:styleId="154">
    <w:name w:val="WW8Num6z8"/>
    <w:qFormat/>
    <w:uiPriority w:val="0"/>
  </w:style>
  <w:style w:type="character" w:customStyle="1" w:styleId="155">
    <w:name w:val="WW8Num7z3"/>
    <w:qFormat/>
    <w:uiPriority w:val="0"/>
  </w:style>
  <w:style w:type="character" w:customStyle="1" w:styleId="156">
    <w:name w:val="WW8Num7z4"/>
    <w:qFormat/>
    <w:uiPriority w:val="0"/>
  </w:style>
  <w:style w:type="character" w:customStyle="1" w:styleId="157">
    <w:name w:val="WW8Num7z5"/>
    <w:qFormat/>
    <w:uiPriority w:val="0"/>
  </w:style>
  <w:style w:type="character" w:customStyle="1" w:styleId="158">
    <w:name w:val="WW8Num7z6"/>
    <w:qFormat/>
    <w:uiPriority w:val="0"/>
  </w:style>
  <w:style w:type="character" w:customStyle="1" w:styleId="159">
    <w:name w:val="WW8Num7z7"/>
    <w:qFormat/>
    <w:uiPriority w:val="0"/>
  </w:style>
  <w:style w:type="character" w:customStyle="1" w:styleId="160">
    <w:name w:val="WW8Num7z8"/>
    <w:qFormat/>
    <w:uiPriority w:val="0"/>
  </w:style>
  <w:style w:type="character" w:customStyle="1" w:styleId="161">
    <w:name w:val="WW8Num8z3"/>
    <w:qFormat/>
    <w:uiPriority w:val="0"/>
  </w:style>
  <w:style w:type="character" w:customStyle="1" w:styleId="162">
    <w:name w:val="WW8Num8z4"/>
    <w:qFormat/>
    <w:uiPriority w:val="0"/>
  </w:style>
  <w:style w:type="character" w:customStyle="1" w:styleId="163">
    <w:name w:val="WW8Num8z5"/>
    <w:qFormat/>
    <w:uiPriority w:val="0"/>
  </w:style>
  <w:style w:type="character" w:customStyle="1" w:styleId="164">
    <w:name w:val="WW8Num8z6"/>
    <w:qFormat/>
    <w:uiPriority w:val="0"/>
  </w:style>
  <w:style w:type="character" w:customStyle="1" w:styleId="165">
    <w:name w:val="WW8Num8z7"/>
    <w:qFormat/>
    <w:uiPriority w:val="0"/>
  </w:style>
  <w:style w:type="character" w:customStyle="1" w:styleId="166">
    <w:name w:val="WW8Num8z8"/>
    <w:qFormat/>
    <w:uiPriority w:val="0"/>
  </w:style>
  <w:style w:type="character" w:customStyle="1" w:styleId="167">
    <w:name w:val="WW8Num10z2"/>
    <w:qFormat/>
    <w:uiPriority w:val="0"/>
  </w:style>
  <w:style w:type="character" w:customStyle="1" w:styleId="168">
    <w:name w:val="WW8Num10z3"/>
    <w:qFormat/>
    <w:uiPriority w:val="0"/>
  </w:style>
  <w:style w:type="character" w:customStyle="1" w:styleId="169">
    <w:name w:val="WW8Num10z4"/>
    <w:qFormat/>
    <w:uiPriority w:val="0"/>
  </w:style>
  <w:style w:type="character" w:customStyle="1" w:styleId="170">
    <w:name w:val="WW8Num10z5"/>
    <w:qFormat/>
    <w:uiPriority w:val="0"/>
  </w:style>
  <w:style w:type="character" w:customStyle="1" w:styleId="171">
    <w:name w:val="WW8Num10z6"/>
    <w:qFormat/>
    <w:uiPriority w:val="0"/>
  </w:style>
  <w:style w:type="character" w:customStyle="1" w:styleId="172">
    <w:name w:val="WW8Num10z7"/>
    <w:qFormat/>
    <w:uiPriority w:val="0"/>
  </w:style>
  <w:style w:type="character" w:customStyle="1" w:styleId="173">
    <w:name w:val="WW8Num10z8"/>
    <w:qFormat/>
    <w:uiPriority w:val="0"/>
  </w:style>
  <w:style w:type="character" w:customStyle="1" w:styleId="174">
    <w:name w:val="WW8Num13z2"/>
    <w:qFormat/>
    <w:uiPriority w:val="0"/>
    <w:rPr>
      <w:rFonts w:ascii="Wingdings" w:hAnsi="Wingdings" w:eastAsia="Wingdings" w:cs="Wingdings"/>
    </w:rPr>
  </w:style>
  <w:style w:type="character" w:customStyle="1" w:styleId="175">
    <w:name w:val="WW8Num13z3"/>
    <w:qFormat/>
    <w:uiPriority w:val="0"/>
    <w:rPr>
      <w:rFonts w:ascii="Symbol" w:hAnsi="Symbol" w:eastAsia="Symbol" w:cs="Symbol"/>
    </w:rPr>
  </w:style>
  <w:style w:type="character" w:customStyle="1" w:styleId="176">
    <w:name w:val="Odwołanie do komentarza1"/>
    <w:qFormat/>
    <w:uiPriority w:val="0"/>
    <w:rPr>
      <w:sz w:val="16"/>
      <w:szCs w:val="16"/>
    </w:rPr>
  </w:style>
  <w:style w:type="character" w:customStyle="1" w:styleId="177">
    <w:name w:val="WW8Num19z2"/>
    <w:qFormat/>
    <w:uiPriority w:val="0"/>
  </w:style>
  <w:style w:type="character" w:customStyle="1" w:styleId="178">
    <w:name w:val="WW8Num19z3"/>
    <w:qFormat/>
    <w:uiPriority w:val="0"/>
  </w:style>
  <w:style w:type="character" w:customStyle="1" w:styleId="179">
    <w:name w:val="WW8Num19z4"/>
    <w:qFormat/>
    <w:uiPriority w:val="0"/>
  </w:style>
  <w:style w:type="character" w:customStyle="1" w:styleId="180">
    <w:name w:val="WW8Num19z5"/>
    <w:qFormat/>
    <w:uiPriority w:val="0"/>
  </w:style>
  <w:style w:type="character" w:customStyle="1" w:styleId="181">
    <w:name w:val="WW8Num19z6"/>
    <w:qFormat/>
    <w:uiPriority w:val="0"/>
  </w:style>
  <w:style w:type="character" w:customStyle="1" w:styleId="182">
    <w:name w:val="WW8Num19z7"/>
    <w:qFormat/>
    <w:uiPriority w:val="0"/>
  </w:style>
  <w:style w:type="character" w:customStyle="1" w:styleId="183">
    <w:name w:val="WW8Num19z8"/>
    <w:qFormat/>
    <w:uiPriority w:val="0"/>
  </w:style>
  <w:style w:type="character" w:customStyle="1" w:styleId="184">
    <w:name w:val="Domyślna czcionka akapitu7"/>
    <w:qFormat/>
    <w:uiPriority w:val="0"/>
  </w:style>
  <w:style w:type="character" w:customStyle="1" w:styleId="185">
    <w:name w:val="Odwołanie do komentarza2"/>
    <w:basedOn w:val="184"/>
    <w:qFormat/>
    <w:uiPriority w:val="0"/>
    <w:rPr>
      <w:sz w:val="16"/>
      <w:szCs w:val="16"/>
    </w:rPr>
  </w:style>
  <w:style w:type="character" w:customStyle="1" w:styleId="186">
    <w:name w:val="Tekst komentarza Znak"/>
    <w:basedOn w:val="184"/>
    <w:qFormat/>
    <w:uiPriority w:val="0"/>
    <w:rPr>
      <w:rFonts w:ascii="Liberation Serif;Times New Roma" w:hAnsi="Liberation Serif;Times New Roma" w:eastAsia="Liberation Serif;Times New Roma" w:cs="Mangal"/>
      <w:color w:val="000000"/>
      <w:kern w:val="2"/>
      <w:szCs w:val="18"/>
      <w:lang w:eastAsia="zh-CN" w:bidi="hi-IN"/>
    </w:rPr>
  </w:style>
  <w:style w:type="character" w:customStyle="1" w:styleId="187">
    <w:name w:val="Znaki wypunktowania"/>
    <w:qFormat/>
    <w:uiPriority w:val="0"/>
    <w:rPr>
      <w:rFonts w:ascii="OpenSymbol;Arial Unicode MS" w:hAnsi="OpenSymbol;Arial Unicode MS" w:eastAsia="OpenSymbol;Arial Unicode MS" w:cs="OpenSymbol;Arial Unicode MS"/>
    </w:rPr>
  </w:style>
  <w:style w:type="character" w:customStyle="1" w:styleId="188">
    <w:name w:val="WW8Num39z1"/>
    <w:qFormat/>
    <w:uiPriority w:val="0"/>
    <w:rPr>
      <w:sz w:val="24"/>
      <w:szCs w:val="24"/>
      <w:lang w:val="pl-PL" w:bidi="hi-IN"/>
    </w:rPr>
  </w:style>
  <w:style w:type="character" w:customStyle="1" w:styleId="189">
    <w:name w:val="WW8Num39z2"/>
    <w:qFormat/>
    <w:uiPriority w:val="0"/>
  </w:style>
  <w:style w:type="character" w:customStyle="1" w:styleId="190">
    <w:name w:val="WW8Num39z3"/>
    <w:qFormat/>
    <w:uiPriority w:val="0"/>
  </w:style>
  <w:style w:type="character" w:customStyle="1" w:styleId="191">
    <w:name w:val="WW8Num39z4"/>
    <w:qFormat/>
    <w:uiPriority w:val="0"/>
  </w:style>
  <w:style w:type="character" w:customStyle="1" w:styleId="192">
    <w:name w:val="WW8Num39z5"/>
    <w:qFormat/>
    <w:uiPriority w:val="0"/>
  </w:style>
  <w:style w:type="character" w:customStyle="1" w:styleId="193">
    <w:name w:val="WW8Num39z6"/>
    <w:qFormat/>
    <w:uiPriority w:val="0"/>
  </w:style>
  <w:style w:type="character" w:customStyle="1" w:styleId="194">
    <w:name w:val="WW8Num39z7"/>
    <w:qFormat/>
    <w:uiPriority w:val="0"/>
  </w:style>
  <w:style w:type="character" w:customStyle="1" w:styleId="195">
    <w:name w:val="WW8Num39z8"/>
    <w:qFormat/>
    <w:uiPriority w:val="0"/>
  </w:style>
  <w:style w:type="character" w:customStyle="1" w:styleId="196">
    <w:name w:val="WW8Num18z2"/>
    <w:qFormat/>
    <w:uiPriority w:val="0"/>
    <w:rPr>
      <w:rFonts w:ascii="Wingdings" w:hAnsi="Wingdings" w:cs="Wingdings"/>
    </w:rPr>
  </w:style>
  <w:style w:type="character" w:customStyle="1" w:styleId="197">
    <w:name w:val="WW8Num18z3"/>
    <w:qFormat/>
    <w:uiPriority w:val="0"/>
    <w:rPr>
      <w:rFonts w:ascii="Symbol" w:hAnsi="Symbol" w:cs="Symbol"/>
    </w:rPr>
  </w:style>
  <w:style w:type="character" w:customStyle="1" w:styleId="198">
    <w:name w:val="Domyślna czcionka akapitu2"/>
    <w:qFormat/>
    <w:uiPriority w:val="0"/>
  </w:style>
  <w:style w:type="character" w:customStyle="1" w:styleId="199">
    <w:name w:val="grame"/>
    <w:basedOn w:val="6"/>
    <w:qFormat/>
    <w:uiPriority w:val="0"/>
    <w:rPr>
      <w:rFonts w:cs="Times New Roman"/>
    </w:rPr>
  </w:style>
  <w:style w:type="character" w:customStyle="1" w:styleId="200">
    <w:name w:val="RTF_Num 2 1"/>
    <w:qFormat/>
    <w:uiPriority w:val="0"/>
    <w:rPr>
      <w:rFonts w:ascii="Times New Roman" w:hAnsi="Times New Roman" w:eastAsia="Times New Roman" w:cs="Times New Roman"/>
      <w:b/>
      <w:bCs/>
      <w:color w:val="auto"/>
      <w:sz w:val="22"/>
      <w:szCs w:val="22"/>
      <w:lang w:val="pl-PL"/>
    </w:rPr>
  </w:style>
  <w:style w:type="character" w:customStyle="1" w:styleId="201">
    <w:name w:val="Wyróżnienie"/>
    <w:qFormat/>
    <w:uiPriority w:val="0"/>
    <w:rPr>
      <w:i/>
    </w:rPr>
  </w:style>
  <w:style w:type="character" w:customStyle="1" w:styleId="202">
    <w:name w:val="Domyślna czcionka akapitu1"/>
    <w:qFormat/>
    <w:uiPriority w:val="0"/>
  </w:style>
  <w:style w:type="character" w:customStyle="1" w:styleId="203">
    <w:name w:val="Łącze internetowe"/>
    <w:basedOn w:val="202"/>
    <w:qFormat/>
    <w:uiPriority w:val="0"/>
    <w:rPr>
      <w:color w:val="0000FF"/>
      <w:u w:val="single"/>
    </w:rPr>
  </w:style>
  <w:style w:type="character" w:customStyle="1" w:styleId="204">
    <w:name w:val="m_-8348380523951223521apple-converted-space"/>
    <w:basedOn w:val="6"/>
    <w:qFormat/>
    <w:uiPriority w:val="0"/>
  </w:style>
  <w:style w:type="character" w:customStyle="1" w:styleId="205">
    <w:name w:val="m_-8348380523951223521s1"/>
    <w:basedOn w:val="6"/>
    <w:qFormat/>
    <w:uiPriority w:val="0"/>
  </w:style>
  <w:style w:type="character" w:customStyle="1" w:styleId="206">
    <w:name w:val="WW8Num3z8"/>
    <w:qFormat/>
    <w:uiPriority w:val="0"/>
  </w:style>
  <w:style w:type="character" w:customStyle="1" w:styleId="207">
    <w:name w:val="WW8Num3z7"/>
    <w:qFormat/>
    <w:uiPriority w:val="0"/>
  </w:style>
  <w:style w:type="character" w:customStyle="1" w:styleId="208">
    <w:name w:val="WW8Num3z6"/>
    <w:qFormat/>
    <w:uiPriority w:val="0"/>
  </w:style>
  <w:style w:type="character" w:customStyle="1" w:styleId="209">
    <w:name w:val="WW8Num3z5"/>
    <w:qFormat/>
    <w:uiPriority w:val="0"/>
  </w:style>
  <w:style w:type="character" w:customStyle="1" w:styleId="210">
    <w:name w:val="WW8Num3z4"/>
    <w:qFormat/>
    <w:uiPriority w:val="0"/>
  </w:style>
  <w:style w:type="character" w:customStyle="1" w:styleId="211">
    <w:name w:val="Domyślna czcionka akapitu3"/>
    <w:qFormat/>
    <w:uiPriority w:val="0"/>
  </w:style>
  <w:style w:type="character" w:customStyle="1" w:styleId="212">
    <w:name w:val="Domyślna czcionka akapitu4"/>
    <w:qFormat/>
    <w:uiPriority w:val="0"/>
  </w:style>
  <w:style w:type="character" w:customStyle="1" w:styleId="213">
    <w:name w:val="Domyślna czcionka akapitu5"/>
    <w:qFormat/>
    <w:uiPriority w:val="0"/>
  </w:style>
  <w:style w:type="character" w:customStyle="1" w:styleId="214">
    <w:name w:val="WW8Num3z3"/>
    <w:qFormat/>
    <w:uiPriority w:val="0"/>
    <w:rPr>
      <w:rFonts w:ascii="Symbol" w:hAnsi="Symbol" w:cs="Symbol"/>
    </w:rPr>
  </w:style>
  <w:style w:type="character" w:customStyle="1" w:styleId="215">
    <w:name w:val="WW8Num3z2"/>
    <w:qFormat/>
    <w:uiPriority w:val="0"/>
    <w:rPr>
      <w:rFonts w:ascii="Wingdings" w:hAnsi="Wingdings" w:cs="Wingdings"/>
    </w:rPr>
  </w:style>
  <w:style w:type="character" w:customStyle="1" w:styleId="216">
    <w:name w:val="Domyślna czcionka akapitu6"/>
    <w:qFormat/>
    <w:uiPriority w:val="0"/>
  </w:style>
  <w:style w:type="character" w:customStyle="1" w:styleId="217">
    <w:name w:val="WW8Num2z8"/>
    <w:qFormat/>
    <w:uiPriority w:val="0"/>
  </w:style>
  <w:style w:type="character" w:customStyle="1" w:styleId="218">
    <w:name w:val="WW8Num2z7"/>
    <w:qFormat/>
    <w:uiPriority w:val="0"/>
  </w:style>
  <w:style w:type="character" w:customStyle="1" w:styleId="219">
    <w:name w:val="WW8Num2z6"/>
    <w:qFormat/>
    <w:uiPriority w:val="0"/>
  </w:style>
  <w:style w:type="character" w:customStyle="1" w:styleId="220">
    <w:name w:val="WW8Num2z5"/>
    <w:qFormat/>
    <w:uiPriority w:val="0"/>
  </w:style>
  <w:style w:type="character" w:customStyle="1" w:styleId="221">
    <w:name w:val="WW8Num2z4"/>
    <w:qFormat/>
    <w:uiPriority w:val="0"/>
  </w:style>
  <w:style w:type="character" w:customStyle="1" w:styleId="222">
    <w:name w:val="WW8Num2z3"/>
    <w:qFormat/>
    <w:uiPriority w:val="0"/>
  </w:style>
  <w:style w:type="character" w:customStyle="1" w:styleId="223">
    <w:name w:val="WW8Num2z2"/>
    <w:qFormat/>
    <w:uiPriority w:val="0"/>
  </w:style>
  <w:style w:type="character" w:customStyle="1" w:styleId="224">
    <w:name w:val="Odwiedzone łącze internetowe"/>
    <w:qFormat/>
    <w:uiPriority w:val="0"/>
    <w:rPr>
      <w:color w:val="800080"/>
      <w:u w:val="single"/>
    </w:rPr>
  </w:style>
  <w:style w:type="character" w:customStyle="1" w:styleId="225">
    <w:name w:val="WW8Num44z1"/>
    <w:qFormat/>
    <w:uiPriority w:val="0"/>
  </w:style>
  <w:style w:type="character" w:customStyle="1" w:styleId="226">
    <w:name w:val="WW8Num44z2"/>
    <w:qFormat/>
    <w:uiPriority w:val="0"/>
  </w:style>
  <w:style w:type="character" w:customStyle="1" w:styleId="227">
    <w:name w:val="WW8Num44z3"/>
    <w:qFormat/>
    <w:uiPriority w:val="0"/>
  </w:style>
  <w:style w:type="character" w:customStyle="1" w:styleId="228">
    <w:name w:val="WW8Num44z4"/>
    <w:qFormat/>
    <w:uiPriority w:val="0"/>
  </w:style>
  <w:style w:type="character" w:customStyle="1" w:styleId="229">
    <w:name w:val="WW8Num44z5"/>
    <w:qFormat/>
    <w:uiPriority w:val="0"/>
  </w:style>
  <w:style w:type="character" w:customStyle="1" w:styleId="230">
    <w:name w:val="WW8Num44z6"/>
    <w:qFormat/>
    <w:uiPriority w:val="0"/>
  </w:style>
  <w:style w:type="character" w:customStyle="1" w:styleId="231">
    <w:name w:val="WW8Num44z7"/>
    <w:qFormat/>
    <w:uiPriority w:val="0"/>
  </w:style>
  <w:style w:type="character" w:customStyle="1" w:styleId="232">
    <w:name w:val="WW8Num44z8"/>
    <w:qFormat/>
    <w:uiPriority w:val="0"/>
  </w:style>
  <w:style w:type="character" w:customStyle="1" w:styleId="233">
    <w:name w:val="WW8Num47z1"/>
    <w:qFormat/>
    <w:uiPriority w:val="0"/>
  </w:style>
  <w:style w:type="character" w:customStyle="1" w:styleId="234">
    <w:name w:val="WW8Num47z2"/>
    <w:qFormat/>
    <w:uiPriority w:val="0"/>
  </w:style>
  <w:style w:type="character" w:customStyle="1" w:styleId="235">
    <w:name w:val="WW8Num47z3"/>
    <w:qFormat/>
    <w:uiPriority w:val="0"/>
  </w:style>
  <w:style w:type="character" w:customStyle="1" w:styleId="236">
    <w:name w:val="WW8Num47z4"/>
    <w:qFormat/>
    <w:uiPriority w:val="0"/>
  </w:style>
  <w:style w:type="character" w:customStyle="1" w:styleId="237">
    <w:name w:val="WW8Num47z5"/>
    <w:qFormat/>
    <w:uiPriority w:val="0"/>
  </w:style>
  <w:style w:type="character" w:customStyle="1" w:styleId="238">
    <w:name w:val="WW8Num47z6"/>
    <w:qFormat/>
    <w:uiPriority w:val="0"/>
  </w:style>
  <w:style w:type="character" w:customStyle="1" w:styleId="239">
    <w:name w:val="WW8Num47z7"/>
    <w:qFormat/>
    <w:uiPriority w:val="0"/>
  </w:style>
  <w:style w:type="character" w:customStyle="1" w:styleId="240">
    <w:name w:val="WW8Num47z8"/>
    <w:qFormat/>
    <w:uiPriority w:val="0"/>
  </w:style>
  <w:style w:type="paragraph" w:customStyle="1" w:styleId="241">
    <w:name w:val="Indeks"/>
    <w:basedOn w:val="1"/>
    <w:qFormat/>
    <w:uiPriority w:val="0"/>
    <w:pPr>
      <w:suppressLineNumbers/>
    </w:pPr>
    <w:rPr>
      <w:rFonts w:cs="Lucida Sans"/>
    </w:rPr>
  </w:style>
  <w:style w:type="paragraph" w:styleId="242">
    <w:name w:val="List Paragraph"/>
    <w:basedOn w:val="1"/>
    <w:qFormat/>
    <w:uiPriority w:val="0"/>
    <w:pPr>
      <w:widowControl w:val="0"/>
      <w:ind w:left="720"/>
      <w:contextualSpacing/>
    </w:pPr>
    <w:rPr>
      <w:rFonts w:ascii="Liberation Serif;Times New Roma" w:hAnsi="Liberation Serif;Times New Roma" w:eastAsia="Liberation Serif;Times New Roma" w:cs="Liberation Serif;Times New Roma"/>
      <w:color w:val="000000"/>
      <w:kern w:val="2"/>
      <w:sz w:val="24"/>
    </w:rPr>
  </w:style>
  <w:style w:type="paragraph" w:customStyle="1" w:styleId="243">
    <w:name w:val="Table Paragraph"/>
    <w:basedOn w:val="1"/>
    <w:qFormat/>
    <w:uiPriority w:val="0"/>
  </w:style>
  <w:style w:type="paragraph" w:customStyle="1" w:styleId="244">
    <w:name w:val="Główka i stopka"/>
    <w:basedOn w:val="1"/>
    <w:qFormat/>
    <w:uiPriority w:val="0"/>
    <w:pPr>
      <w:suppressLineNumbers/>
      <w:tabs>
        <w:tab w:val="center" w:pos="4819"/>
        <w:tab w:val="right" w:pos="9638"/>
      </w:tabs>
    </w:pPr>
  </w:style>
  <w:style w:type="paragraph" w:customStyle="1" w:styleId="245">
    <w:name w:val="Zawartość ramki"/>
    <w:basedOn w:val="1"/>
    <w:qFormat/>
    <w:uiPriority w:val="0"/>
  </w:style>
  <w:style w:type="paragraph" w:customStyle="1" w:styleId="246">
    <w:name w:val="western"/>
    <w:basedOn w:val="1"/>
    <w:qFormat/>
    <w:uiPriority w:val="0"/>
    <w:pPr>
      <w:widowControl w:val="0"/>
      <w:spacing w:before="181" w:after="181"/>
    </w:pPr>
    <w:rPr>
      <w:rFonts w:ascii="Liberation Serif;Times New Roma" w:hAnsi="Liberation Serif;Times New Roma" w:eastAsia="Liberation Serif;Times New Roma" w:cs="Liberation Serif;Times New Roma"/>
      <w:color w:val="000000"/>
      <w:kern w:val="2"/>
      <w:sz w:val="24"/>
    </w:rPr>
  </w:style>
  <w:style w:type="paragraph" w:customStyle="1" w:styleId="247">
    <w:name w:val="[Podstawowy akapitowy]"/>
    <w:basedOn w:val="1"/>
    <w:qFormat/>
    <w:uiPriority w:val="0"/>
    <w:pPr>
      <w:widowControl w:val="0"/>
      <w:spacing w:line="288" w:lineRule="auto"/>
      <w:textAlignment w:val="center"/>
    </w:pPr>
    <w:rPr>
      <w:rFonts w:ascii="Liberation Serif;Times New Roma" w:hAnsi="Liberation Serif;Times New Roma" w:eastAsia="Liberation Serif;Times New Roma" w:cs="Liberation Serif;Times New Roma"/>
      <w:color w:val="000000"/>
      <w:kern w:val="2"/>
      <w:sz w:val="24"/>
    </w:rPr>
  </w:style>
  <w:style w:type="paragraph" w:customStyle="1" w:styleId="248">
    <w:name w:val="Default"/>
    <w:qFormat/>
    <w:uiPriority w:val="0"/>
    <w:pPr>
      <w:suppressAutoHyphens/>
    </w:pPr>
    <w:rPr>
      <w:rFonts w:ascii="Arial" w:hAnsi="Arial" w:eastAsia="Times New Roman" w:cs="Arial"/>
      <w:color w:val="000000"/>
      <w:kern w:val="2"/>
      <w:sz w:val="24"/>
      <w:szCs w:val="24"/>
      <w:lang w:val="pl-PL" w:eastAsia="zh-CN" w:bidi="ar-SA"/>
    </w:rPr>
  </w:style>
  <w:style w:type="paragraph" w:customStyle="1" w:styleId="249">
    <w:name w:val="Tekst komentarza2"/>
    <w:basedOn w:val="1"/>
    <w:qFormat/>
    <w:uiPriority w:val="0"/>
    <w:rPr>
      <w:rFonts w:cs="Mangal"/>
      <w:sz w:val="20"/>
      <w:szCs w:val="18"/>
    </w:rPr>
  </w:style>
  <w:style w:type="paragraph" w:customStyle="1" w:styleId="250">
    <w:name w:val="Nagłówek 11"/>
    <w:basedOn w:val="1"/>
    <w:qFormat/>
    <w:uiPriority w:val="0"/>
    <w:pPr>
      <w:keepNext/>
      <w:widowControl w:val="0"/>
      <w:tabs>
        <w:tab w:val="left" w:pos="0"/>
      </w:tabs>
      <w:spacing w:after="340" w:line="288" w:lineRule="auto"/>
      <w:ind w:left="432" w:hanging="432"/>
    </w:pPr>
    <w:rPr>
      <w:b/>
      <w:i/>
      <w:sz w:val="28"/>
      <w:szCs w:val="20"/>
      <w:u w:val="single"/>
    </w:rPr>
  </w:style>
  <w:style w:type="paragraph" w:customStyle="1" w:styleId="251">
    <w:name w:val="Normalny1"/>
    <w:qFormat/>
    <w:uiPriority w:val="0"/>
    <w:pPr>
      <w:widowControl w:val="0"/>
      <w:suppressAutoHyphens/>
    </w:pPr>
    <w:rPr>
      <w:rFonts w:ascii="Times New Roman" w:hAnsi="Times New Roman" w:eastAsia="Times New Roman" w:cs="Times New Roman"/>
      <w:color w:val="00000A"/>
      <w:kern w:val="2"/>
      <w:sz w:val="22"/>
      <w:lang w:val="pl-PL" w:eastAsia="zh-CN" w:bidi="ar-SA"/>
    </w:rPr>
  </w:style>
  <w:style w:type="paragraph" w:customStyle="1" w:styleId="252">
    <w:name w:val="WW-footer"/>
    <w:basedOn w:val="1"/>
    <w:qFormat/>
    <w:uiPriority w:val="0"/>
    <w:pPr>
      <w:tabs>
        <w:tab w:val="center" w:pos="6922"/>
        <w:tab w:val="right" w:pos="13844"/>
      </w:tabs>
    </w:pPr>
  </w:style>
  <w:style w:type="paragraph" w:customStyle="1" w:styleId="253">
    <w:name w:val="Tekst podstawowy wcięty 21"/>
    <w:basedOn w:val="1"/>
    <w:qFormat/>
    <w:uiPriority w:val="0"/>
    <w:pPr>
      <w:spacing w:after="120" w:line="480" w:lineRule="auto"/>
      <w:ind w:left="283"/>
    </w:pPr>
  </w:style>
  <w:style w:type="paragraph" w:customStyle="1" w:styleId="254">
    <w:name w:val="Zawartość tabeli"/>
    <w:basedOn w:val="1"/>
    <w:qFormat/>
    <w:uiPriority w:val="0"/>
    <w:pPr>
      <w:suppressLineNumbers/>
    </w:pPr>
  </w:style>
  <w:style w:type="paragraph" w:customStyle="1" w:styleId="255">
    <w:name w:val="Nagłówek tabeli"/>
    <w:basedOn w:val="254"/>
    <w:qFormat/>
    <w:uiPriority w:val="0"/>
    <w:pPr>
      <w:jc w:val="center"/>
    </w:pPr>
    <w:rPr>
      <w:b/>
      <w:bCs/>
    </w:rPr>
  </w:style>
  <w:style w:type="paragraph" w:styleId="256">
    <w:name w:val="No Spacing"/>
    <w:qFormat/>
    <w:uiPriority w:val="0"/>
    <w:pPr>
      <w:suppressAutoHyphens/>
    </w:pPr>
    <w:rPr>
      <w:rFonts w:ascii="Calibri" w:hAnsi="Calibri" w:eastAsia="Calibri" w:cs="Calibri"/>
      <w:kern w:val="2"/>
      <w:sz w:val="22"/>
      <w:szCs w:val="22"/>
      <w:lang w:val="pl-PL" w:eastAsia="zh-CN" w:bidi="ar-SA"/>
    </w:rPr>
  </w:style>
  <w:style w:type="paragraph" w:customStyle="1" w:styleId="257">
    <w:name w:val="Zawartość listy"/>
    <w:basedOn w:val="1"/>
    <w:qFormat/>
    <w:uiPriority w:val="0"/>
    <w:pPr>
      <w:widowControl w:val="0"/>
    </w:pPr>
    <w:rPr>
      <w:rFonts w:ascii="Liberation Serif;Times New Roma" w:hAnsi="Liberation Serif;Times New Roma" w:eastAsia="Liberation Serif;Times New Roma" w:cs="Liberation Serif;Times New Roma"/>
      <w:color w:val="000000"/>
      <w:kern w:val="2"/>
      <w:sz w:val="24"/>
    </w:rPr>
  </w:style>
  <w:style w:type="paragraph" w:customStyle="1" w:styleId="258">
    <w:name w:val="Nagłówek listy"/>
    <w:basedOn w:val="1"/>
    <w:next w:val="257"/>
    <w:qFormat/>
    <w:uiPriority w:val="0"/>
    <w:pPr>
      <w:widowControl w:val="0"/>
    </w:pPr>
    <w:rPr>
      <w:rFonts w:ascii="Liberation Serif;Times New Roma" w:hAnsi="Liberation Serif;Times New Roma" w:eastAsia="Liberation Serif;Times New Roma" w:cs="Liberation Serif;Times New Roma"/>
      <w:color w:val="000000"/>
      <w:kern w:val="2"/>
      <w:sz w:val="24"/>
    </w:rPr>
  </w:style>
  <w:style w:type="paragraph" w:customStyle="1" w:styleId="259">
    <w:name w:val="m_-8348380523951223521p1"/>
    <w:basedOn w:val="1"/>
    <w:qFormat/>
    <w:uiPriority w:val="0"/>
    <w:pPr>
      <w:suppressAutoHyphens w:val="0"/>
      <w:spacing w:before="280" w:after="280"/>
    </w:pPr>
    <w:rPr>
      <w:rFonts w:ascii="Liberation Serif;Times New Roma" w:hAnsi="Liberation Serif;Times New Roma" w:eastAsia="Liberation Serif;Times New Roma" w:cs="Liberation Serif;Times New Roma"/>
      <w:color w:val="000000"/>
      <w:kern w:val="2"/>
      <w:sz w:val="24"/>
    </w:rPr>
  </w:style>
  <w:style w:type="paragraph" w:customStyle="1" w:styleId="260">
    <w:name w:val="Legenda1"/>
    <w:basedOn w:val="1"/>
    <w:qFormat/>
    <w:uiPriority w:val="0"/>
    <w:pPr>
      <w:widowControl w:val="0"/>
      <w:spacing w:before="120" w:after="120"/>
    </w:pPr>
    <w:rPr>
      <w:rFonts w:ascii="Liberation Serif;Times New Roma" w:hAnsi="Liberation Serif;Times New Roma" w:eastAsia="Liberation Serif;Times New Roma" w:cs="Liberation Serif;Times New Roma"/>
      <w:i/>
      <w:color w:val="000000"/>
      <w:kern w:val="2"/>
      <w:sz w:val="24"/>
    </w:rPr>
  </w:style>
  <w:style w:type="paragraph" w:customStyle="1" w:styleId="261">
    <w:name w:val="Nagłówek1"/>
    <w:basedOn w:val="1"/>
    <w:next w:val="5"/>
    <w:qFormat/>
    <w:uiPriority w:val="0"/>
    <w:pPr>
      <w:keepNext/>
      <w:widowControl w:val="0"/>
      <w:spacing w:before="240" w:after="120"/>
    </w:pPr>
    <w:rPr>
      <w:rFonts w:ascii="Liberation Sans;Arial" w:hAnsi="Liberation Sans;Arial" w:eastAsia="Liberation Serif;Times New Roma" w:cs="Liberation Sans;Arial"/>
      <w:color w:val="000000"/>
      <w:kern w:val="2"/>
      <w:sz w:val="28"/>
    </w:rPr>
  </w:style>
  <w:style w:type="paragraph" w:customStyle="1" w:styleId="262">
    <w:name w:val="Legenda2"/>
    <w:basedOn w:val="1"/>
    <w:qFormat/>
    <w:uiPriority w:val="0"/>
    <w:pPr>
      <w:suppressLineNumbers/>
      <w:spacing w:before="120" w:after="120"/>
    </w:pPr>
    <w:rPr>
      <w:rFonts w:cs="Mangal"/>
      <w:i/>
      <w:iCs/>
      <w:sz w:val="24"/>
      <w:szCs w:val="24"/>
    </w:rPr>
  </w:style>
  <w:style w:type="paragraph" w:customStyle="1" w:styleId="263">
    <w:name w:val="Nagłówek2"/>
    <w:basedOn w:val="1"/>
    <w:next w:val="5"/>
    <w:qFormat/>
    <w:uiPriority w:val="0"/>
    <w:pPr>
      <w:keepNext/>
      <w:spacing w:before="240" w:after="120"/>
    </w:pPr>
    <w:rPr>
      <w:rFonts w:ascii="Liberation Sans;Arial" w:hAnsi="Liberation Sans;Arial" w:eastAsia="Arial Unicode MS" w:cs="Mangal"/>
      <w:sz w:val="28"/>
      <w:szCs w:val="28"/>
    </w:rPr>
  </w:style>
  <w:style w:type="paragraph" w:customStyle="1" w:styleId="264">
    <w:name w:val="Legenda3"/>
    <w:basedOn w:val="1"/>
    <w:qFormat/>
    <w:uiPriority w:val="0"/>
    <w:pPr>
      <w:suppressLineNumbers/>
      <w:spacing w:before="120" w:after="120"/>
    </w:pPr>
    <w:rPr>
      <w:rFonts w:cs="Mangal"/>
      <w:i/>
      <w:iCs/>
      <w:sz w:val="24"/>
      <w:szCs w:val="24"/>
    </w:rPr>
  </w:style>
  <w:style w:type="paragraph" w:customStyle="1" w:styleId="265">
    <w:name w:val="Nagłówek3"/>
    <w:basedOn w:val="1"/>
    <w:next w:val="5"/>
    <w:qFormat/>
    <w:uiPriority w:val="0"/>
    <w:pPr>
      <w:keepNext/>
      <w:spacing w:before="240" w:after="120"/>
    </w:pPr>
    <w:rPr>
      <w:rFonts w:ascii="Liberation Sans;Arial" w:hAnsi="Liberation Sans;Arial" w:eastAsia="Arial Unicode MS" w:cs="Mangal"/>
      <w:sz w:val="28"/>
      <w:szCs w:val="28"/>
    </w:rPr>
  </w:style>
  <w:style w:type="paragraph" w:customStyle="1" w:styleId="266">
    <w:name w:val="Legenda4"/>
    <w:basedOn w:val="1"/>
    <w:qFormat/>
    <w:uiPriority w:val="0"/>
    <w:pPr>
      <w:suppressLineNumbers/>
      <w:spacing w:before="120" w:after="120"/>
    </w:pPr>
    <w:rPr>
      <w:rFonts w:cs="Mangal"/>
      <w:i/>
      <w:iCs/>
      <w:sz w:val="24"/>
      <w:szCs w:val="24"/>
    </w:rPr>
  </w:style>
  <w:style w:type="paragraph" w:customStyle="1" w:styleId="267">
    <w:name w:val="Nagłówek4"/>
    <w:basedOn w:val="1"/>
    <w:next w:val="5"/>
    <w:qFormat/>
    <w:uiPriority w:val="0"/>
    <w:pPr>
      <w:keepNext/>
      <w:spacing w:before="240" w:after="120"/>
    </w:pPr>
    <w:rPr>
      <w:rFonts w:ascii="Liberation Sans;Arial" w:hAnsi="Liberation Sans;Arial" w:eastAsia="Arial Unicode MS" w:cs="Mangal"/>
      <w:sz w:val="28"/>
      <w:szCs w:val="28"/>
    </w:rPr>
  </w:style>
  <w:style w:type="paragraph" w:customStyle="1" w:styleId="268">
    <w:name w:val="Legenda5"/>
    <w:basedOn w:val="1"/>
    <w:qFormat/>
    <w:uiPriority w:val="0"/>
    <w:pPr>
      <w:suppressLineNumbers/>
      <w:spacing w:before="120" w:after="120"/>
    </w:pPr>
    <w:rPr>
      <w:rFonts w:cs="Mangal"/>
      <w:i/>
      <w:iCs/>
      <w:sz w:val="24"/>
      <w:szCs w:val="24"/>
    </w:rPr>
  </w:style>
  <w:style w:type="paragraph" w:customStyle="1" w:styleId="269">
    <w:name w:val="Nagłówek5"/>
    <w:basedOn w:val="1"/>
    <w:next w:val="5"/>
    <w:qFormat/>
    <w:uiPriority w:val="0"/>
    <w:pPr>
      <w:keepNext/>
      <w:spacing w:before="240" w:after="120"/>
    </w:pPr>
    <w:rPr>
      <w:rFonts w:ascii="Liberation Sans;Arial" w:hAnsi="Liberation Sans;Arial" w:eastAsia="Arial Unicode MS" w:cs="Mangal"/>
      <w:sz w:val="28"/>
      <w:szCs w:val="28"/>
    </w:rPr>
  </w:style>
  <w:style w:type="paragraph" w:customStyle="1" w:styleId="270">
    <w:name w:val="Legenda6"/>
    <w:basedOn w:val="1"/>
    <w:qFormat/>
    <w:uiPriority w:val="0"/>
    <w:pPr>
      <w:suppressLineNumbers/>
      <w:spacing w:before="120" w:after="120"/>
    </w:pPr>
    <w:rPr>
      <w:rFonts w:cs="Mangal"/>
      <w:i/>
      <w:iCs/>
      <w:sz w:val="24"/>
      <w:szCs w:val="24"/>
    </w:rPr>
  </w:style>
  <w:style w:type="paragraph" w:customStyle="1" w:styleId="271">
    <w:name w:val="Nagłówek6"/>
    <w:basedOn w:val="1"/>
    <w:next w:val="5"/>
    <w:qFormat/>
    <w:uiPriority w:val="0"/>
    <w:pPr>
      <w:keepNext/>
      <w:spacing w:before="240" w:after="120"/>
    </w:pPr>
    <w:rPr>
      <w:rFonts w:ascii="Liberation Sans;Arial" w:hAnsi="Liberation Sans;Arial" w:eastAsia="Arial Unicode MS" w:cs="Mangal"/>
      <w:sz w:val="28"/>
      <w:szCs w:val="28"/>
    </w:rPr>
  </w:style>
  <w:style w:type="paragraph" w:customStyle="1" w:styleId="272">
    <w:name w:val="Nagłówek7"/>
    <w:basedOn w:val="1"/>
    <w:next w:val="5"/>
    <w:qFormat/>
    <w:uiPriority w:val="0"/>
    <w:pPr>
      <w:keepNext/>
      <w:spacing w:before="240" w:after="120"/>
    </w:pPr>
    <w:rPr>
      <w:rFonts w:ascii="Liberation Sans;Arial" w:hAnsi="Liberation Sans;Arial" w:eastAsia="Arial Unicode MS" w:cs="Mangal"/>
      <w:sz w:val="28"/>
      <w:szCs w:val="28"/>
    </w:rPr>
  </w:style>
  <w:style w:type="character" w:styleId="273">
    <w:name w:val="Placeholder Text"/>
    <w:basedOn w:val="6"/>
    <w:semiHidden/>
    <w:qFormat/>
    <w:uiPriority w:val="99"/>
    <w:rPr>
      <w:color w:val="808080"/>
    </w:rPr>
  </w:style>
  <w:style w:type="character" w:customStyle="1" w:styleId="274">
    <w:name w:val="Stopka Znak"/>
    <w:basedOn w:val="6"/>
    <w:link w:val="14"/>
    <w:qFormat/>
    <w:uiPriority w:val="0"/>
    <w:rPr>
      <w:rFonts w:ascii="Times New Roman" w:hAnsi="Times New Roman" w:eastAsia="Times New Roman" w:cs="Times New Roman"/>
      <w:sz w:val="22"/>
      <w:szCs w:val="22"/>
      <w:lang w:bidi="pl-P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11878</Words>
  <Characters>71272</Characters>
  <Lines>593</Lines>
  <Paragraphs>165</Paragraphs>
  <TotalTime>3</TotalTime>
  <ScaleCrop>false</ScaleCrop>
  <LinksUpToDate>false</LinksUpToDate>
  <CharactersWithSpaces>82985</CharactersWithSpaces>
  <Application>WPS Office_11.2.0.11388_F1E327BC-269C-435d-A152-05C5408002CA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2023-01-23T10:47:00Z</dcterms:created>
  <dc:creator>sylwi</dc:creator>
  <cp:lastModifiedBy>slegutko</cp:lastModifiedBy>
  <cp:lastPrinted>2023-01-23T08:20:00Z</cp:lastPrinted>
  <dcterms:modified xsi:type="dcterms:W3CDTF">2023-01-24T11:10:04Z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2018-09-20T00:00:00Z</vt:filetime>
  </property>
  <property fmtid="{D5CDD505-2E9C-101B-9397-08002B2CF9AE}" pid="3" name="Creator">
    <vt:lpwstr>Writer</vt:lpwstr>
  </property>
  <property fmtid="{D5CDD505-2E9C-101B-9397-08002B2CF9AE}" pid="4" name="HyperlinksChanged">
    <vt:bool>false</vt:bool>
  </property>
  <property fmtid="{D5CDD505-2E9C-101B-9397-08002B2CF9AE}" pid="5" name="LastSaved">
    <vt:filetime>2018-10-09T00:00:00Z</vt:filetime>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1045-11.2.0.11388</vt:lpwstr>
  </property>
  <property fmtid="{D5CDD505-2E9C-101B-9397-08002B2CF9AE}" pid="10" name="ICV">
    <vt:lpwstr>C47469300BC04EBFBB509D66578E1E90</vt:lpwstr>
  </property>
</Properties>
</file>