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media/image1.wmf" ContentType="image/x-wmf"/>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footer1.xml.rels" ContentType="application/vnd.openxmlformats-package.relationships+xml"/>
  <Override PartName="/word/_rels/document.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FNtekstgwny"/>
        <w:jc w:val="center"/>
        <w:rPr/>
      </w:pPr>
      <w:r>
        <w:rPr/>
        <w:t>ZAMAWIAJĄCY</w:t>
      </w:r>
    </w:p>
    <w:p>
      <w:pPr>
        <w:pStyle w:val="FNtekstgwny"/>
        <w:jc w:val="center"/>
        <w:rPr/>
      </w:pPr>
      <w:r>
        <w:rPr/>
      </w:r>
    </w:p>
    <w:p>
      <w:pPr>
        <w:pStyle w:val="FNtekstgwny"/>
        <w:jc w:val="center"/>
        <w:rPr/>
      </w:pPr>
      <w:r>
        <w:rPr/>
        <w:t>Gmina Miasto Złotów,</w:t>
      </w:r>
    </w:p>
    <w:p>
      <w:pPr>
        <w:pStyle w:val="FNtekstgwny"/>
        <w:jc w:val="center"/>
        <w:rPr/>
      </w:pPr>
      <w:r>
        <w:rPr/>
        <w:t>al. Piasta 1, 77-400 Złotów,</w:t>
      </w:r>
    </w:p>
    <w:p>
      <w:pPr>
        <w:pStyle w:val="FNtekstgwny"/>
        <w:jc w:val="center"/>
        <w:rPr/>
      </w:pPr>
      <w:r>
        <w:rPr/>
        <w:t>pow. złotowski, woj. wielkopolskie,</w:t>
      </w:r>
    </w:p>
    <w:p>
      <w:pPr>
        <w:pStyle w:val="FNtekstgwny"/>
        <w:jc w:val="center"/>
        <w:rPr/>
      </w:pPr>
      <w:r>
        <w:rPr/>
        <w:t>Regon: 570791342</w:t>
      </w:r>
    </w:p>
    <w:p>
      <w:pPr>
        <w:pStyle w:val="FNtekstgwny"/>
        <w:jc w:val="center"/>
        <w:rPr/>
      </w:pPr>
      <w:r>
        <w:rPr/>
        <w:t>NIP: 767-166-94-26</w:t>
      </w:r>
    </w:p>
    <w:p>
      <w:pPr>
        <w:pStyle w:val="FNtekstgwny"/>
        <w:jc w:val="center"/>
        <w:rPr>
          <w:b/>
          <w:b/>
          <w:bCs/>
        </w:rPr>
      </w:pPr>
      <w:r>
        <w:rPr>
          <w:b/>
          <w:bCs/>
        </w:rPr>
        <w:t>reprezentowana przez Burmistrza Miasta Złotowa</w:t>
      </w:r>
    </w:p>
    <w:p>
      <w:pPr>
        <w:pStyle w:val="Normal"/>
        <w:spacing w:lineRule="auto" w:line="276"/>
        <w:rPr>
          <w:rFonts w:eastAsia="Times New Roman" w:cs="Times New Roman"/>
          <w:b/>
          <w:b/>
          <w:bCs/>
          <w:i/>
          <w:i/>
          <w:iCs/>
          <w:lang w:eastAsia="ar-SA"/>
        </w:rPr>
      </w:pPr>
      <w:r>
        <w:rPr>
          <w:rFonts w:eastAsia="Times New Roman" w:cs="Times New Roman"/>
          <w:b/>
          <w:bCs/>
          <w:i/>
          <w:iCs/>
          <w:lang w:eastAsia="ar-SA"/>
        </w:rPr>
      </w:r>
    </w:p>
    <w:p>
      <w:pPr>
        <w:pStyle w:val="Tretekstu"/>
        <w:jc w:val="both"/>
        <w:rPr>
          <w:rFonts w:ascii="Arial" w:hAnsi="Arial"/>
          <w:bCs w:val="false"/>
          <w:color w:val="3366FF"/>
          <w:sz w:val="40"/>
        </w:rPr>
      </w:pPr>
      <w:r>
        <w:rPr>
          <w:rFonts w:ascii="Arial" w:hAnsi="Arial"/>
          <w:bCs w:val="false"/>
          <w:color w:val="3366FF"/>
          <w:sz w:val="40"/>
        </w:rPr>
      </w:r>
    </w:p>
    <w:p>
      <w:pPr>
        <w:pStyle w:val="Tretekstu"/>
        <w:jc w:val="both"/>
        <w:rPr>
          <w:rFonts w:ascii="Arial" w:hAnsi="Arial"/>
          <w:bCs w:val="false"/>
          <w:color w:val="3366FF"/>
          <w:sz w:val="40"/>
        </w:rPr>
      </w:pPr>
      <w:r>
        <w:rPr>
          <w:rFonts w:ascii="Arial" w:hAnsi="Arial"/>
          <w:bCs w:val="false"/>
          <w:color w:val="3366FF"/>
          <w:sz w:val="40"/>
        </w:rPr>
      </w:r>
    </w:p>
    <w:p>
      <w:pPr>
        <w:pStyle w:val="Tretekstu"/>
        <w:rPr>
          <w:rFonts w:ascii="Arial" w:hAnsi="Arial"/>
          <w:color w:val="000000"/>
        </w:rPr>
      </w:pPr>
      <w:r>
        <w:rPr>
          <w:rFonts w:ascii="Arial" w:hAnsi="Arial"/>
          <w:bCs w:val="false"/>
          <w:color w:val="000000"/>
          <w:sz w:val="40"/>
        </w:rPr>
        <w:t xml:space="preserve">SPECYFIKACJA TECHNICZNA WYKONANIA </w:t>
        <w:br/>
        <w:t>I ODBIORU ROBÓT</w:t>
      </w:r>
    </w:p>
    <w:p>
      <w:pPr>
        <w:pStyle w:val="Normal"/>
        <w:jc w:val="both"/>
        <w:rPr>
          <w:rFonts w:ascii="Arial" w:hAnsi="Arial"/>
        </w:rPr>
      </w:pPr>
      <w:r>
        <w:rPr>
          <w:rFonts w:ascii="Arial" w:hAnsi="Arial"/>
        </w:rPr>
      </w:r>
    </w:p>
    <w:p>
      <w:pPr>
        <w:pStyle w:val="Normal"/>
        <w:jc w:val="both"/>
        <w:rPr>
          <w:rFonts w:ascii="Arial" w:hAnsi="Arial"/>
        </w:rPr>
      </w:pPr>
      <w:r>
        <w:rPr>
          <w:rFonts w:ascii="Arial" w:hAnsi="Arial"/>
        </w:rPr>
      </w:r>
    </w:p>
    <w:p>
      <w:pPr>
        <w:pStyle w:val="Normal"/>
        <w:jc w:val="both"/>
        <w:rPr>
          <w:rFonts w:ascii="Arial" w:hAnsi="Arial"/>
        </w:rPr>
      </w:pPr>
      <w:r>
        <w:rPr>
          <w:rFonts w:ascii="Arial" w:hAnsi="Arial"/>
        </w:rPr>
      </w:r>
    </w:p>
    <w:p>
      <w:pPr>
        <w:pStyle w:val="Normal"/>
        <w:jc w:val="both"/>
        <w:rPr>
          <w:rFonts w:ascii="Arial" w:hAnsi="Arial"/>
        </w:rPr>
      </w:pPr>
      <w:r>
        <w:rPr>
          <w:rFonts w:ascii="Arial" w:hAnsi="Arial"/>
        </w:rPr>
      </w:r>
    </w:p>
    <w:p>
      <w:pPr>
        <w:pStyle w:val="Normal"/>
        <w:jc w:val="both"/>
        <w:rPr>
          <w:rFonts w:ascii="Arial" w:hAnsi="Arial"/>
        </w:rPr>
      </w:pPr>
      <w:r>
        <w:rPr>
          <w:rFonts w:ascii="Arial" w:hAnsi="Arial"/>
        </w:rPr>
      </w:r>
    </w:p>
    <w:p>
      <w:pPr>
        <w:pStyle w:val="Normal"/>
        <w:jc w:val="both"/>
        <w:rPr>
          <w:rFonts w:ascii="Arial" w:hAnsi="Arial"/>
        </w:rPr>
      </w:pPr>
      <w:r>
        <w:rPr>
          <w:rFonts w:ascii="Arial" w:hAnsi="Arial"/>
        </w:rPr>
      </w:r>
    </w:p>
    <w:p>
      <w:pPr>
        <w:pStyle w:val="Normal"/>
        <w:jc w:val="both"/>
        <w:rPr>
          <w:rFonts w:ascii="Arial" w:hAnsi="Arial"/>
        </w:rPr>
      </w:pPr>
      <w:r>
        <w:rPr>
          <w:rFonts w:ascii="Arial" w:hAnsi="Arial"/>
        </w:rPr>
      </w:r>
    </w:p>
    <w:p>
      <w:pPr>
        <w:pStyle w:val="Normal"/>
        <w:jc w:val="both"/>
        <w:rPr>
          <w:rFonts w:ascii="Arial" w:hAnsi="Arial"/>
        </w:rPr>
      </w:pPr>
      <w:r>
        <w:rPr>
          <w:rFonts w:ascii="Arial" w:hAnsi="Arial"/>
        </w:rPr>
      </w:r>
    </w:p>
    <w:p>
      <w:pPr>
        <w:pStyle w:val="Normal"/>
        <w:jc w:val="both"/>
        <w:rPr>
          <w:rFonts w:ascii="Arial" w:hAnsi="Arial"/>
        </w:rPr>
      </w:pPr>
      <w:r>
        <w:rPr>
          <w:rFonts w:ascii="Arial" w:hAnsi="Arial"/>
        </w:rPr>
      </w:r>
    </w:p>
    <w:p>
      <w:pPr>
        <w:pStyle w:val="Normal"/>
        <w:jc w:val="both"/>
        <w:rPr>
          <w:rFonts w:ascii="Arial" w:hAnsi="Arial"/>
        </w:rPr>
      </w:pPr>
      <w:r>
        <w:rPr>
          <w:rFonts w:ascii="Arial" w:hAnsi="Arial"/>
        </w:rPr>
      </w:r>
    </w:p>
    <w:p>
      <w:pPr>
        <w:pStyle w:val="Normal"/>
        <w:jc w:val="both"/>
        <w:rPr>
          <w:rFonts w:ascii="Arial" w:hAnsi="Arial"/>
        </w:rPr>
      </w:pPr>
      <w:r>
        <w:rPr>
          <w:rFonts w:ascii="Arial" w:hAnsi="Arial"/>
        </w:rPr>
      </w:r>
    </w:p>
    <w:p>
      <w:pPr>
        <w:pStyle w:val="Normal"/>
        <w:jc w:val="both"/>
        <w:rPr>
          <w:rFonts w:ascii="Arial" w:hAnsi="Arial"/>
        </w:rPr>
      </w:pPr>
      <w:r>
        <w:rPr>
          <w:rFonts w:ascii="Arial" w:hAnsi="Arial"/>
        </w:rPr>
      </w:r>
    </w:p>
    <w:p>
      <w:pPr>
        <w:pStyle w:val="Normal"/>
        <w:jc w:val="both"/>
        <w:rPr>
          <w:rFonts w:ascii="Arial" w:hAnsi="Arial"/>
        </w:rPr>
      </w:pPr>
      <w:r>
        <w:rPr>
          <w:rFonts w:ascii="Arial" w:hAnsi="Arial"/>
        </w:rPr>
      </w:r>
    </w:p>
    <w:p>
      <w:pPr>
        <w:pStyle w:val="Normal"/>
        <w:jc w:val="both"/>
        <w:rPr>
          <w:rFonts w:ascii="Arial" w:hAnsi="Arial"/>
        </w:rPr>
      </w:pPr>
      <w:r>
        <w:rPr>
          <w:rFonts w:ascii="Arial" w:hAnsi="Arial"/>
        </w:rPr>
      </w:r>
    </w:p>
    <w:p>
      <w:pPr>
        <w:pStyle w:val="Tretekstu"/>
        <w:jc w:val="both"/>
        <w:rPr>
          <w:rFonts w:ascii="Arial" w:hAnsi="Arial"/>
          <w:sz w:val="24"/>
        </w:rPr>
      </w:pPr>
      <w:r>
        <w:rPr>
          <w:rFonts w:ascii="Arial" w:hAnsi="Arial"/>
          <w:sz w:val="24"/>
        </w:rPr>
      </w:r>
    </w:p>
    <w:p>
      <w:pPr>
        <w:pStyle w:val="Tretekstu"/>
        <w:jc w:val="both"/>
        <w:rPr>
          <w:rFonts w:ascii="Arial" w:hAnsi="Arial"/>
          <w:sz w:val="24"/>
        </w:rPr>
      </w:pPr>
      <w:r>
        <w:rPr>
          <w:rFonts w:ascii="Arial" w:hAnsi="Arial"/>
          <w:sz w:val="24"/>
        </w:rPr>
      </w:r>
    </w:p>
    <w:p>
      <w:pPr>
        <w:pStyle w:val="Tretekstu"/>
        <w:jc w:val="both"/>
        <w:rPr>
          <w:rFonts w:ascii="Arial" w:hAnsi="Arial"/>
          <w:sz w:val="24"/>
        </w:rPr>
      </w:pPr>
      <w:r>
        <w:rPr>
          <w:rFonts w:ascii="Arial" w:hAnsi="Arial"/>
          <w:sz w:val="24"/>
        </w:rPr>
      </w:r>
    </w:p>
    <w:p>
      <w:pPr>
        <w:pStyle w:val="Tretekstu"/>
        <w:jc w:val="both"/>
        <w:rPr>
          <w:rFonts w:ascii="Arial" w:hAnsi="Arial"/>
          <w:sz w:val="24"/>
        </w:rPr>
      </w:pPr>
      <w:r>
        <w:rPr>
          <w:rFonts w:ascii="Arial" w:hAnsi="Arial"/>
          <w:sz w:val="24"/>
        </w:rPr>
      </w:r>
    </w:p>
    <w:p>
      <w:pPr>
        <w:pStyle w:val="Tretekstu"/>
        <w:jc w:val="both"/>
        <w:rPr>
          <w:rFonts w:ascii="Arial" w:hAnsi="Arial"/>
          <w:sz w:val="24"/>
        </w:rPr>
      </w:pPr>
      <w:r>
        <w:rPr>
          <w:rFonts w:ascii="Arial" w:hAnsi="Arial"/>
          <w:sz w:val="24"/>
        </w:rPr>
      </w:r>
    </w:p>
    <w:p>
      <w:pPr>
        <w:pStyle w:val="Tretekstu"/>
        <w:jc w:val="both"/>
        <w:rPr>
          <w:rFonts w:ascii="Arial" w:hAnsi="Arial"/>
          <w:sz w:val="24"/>
        </w:rPr>
      </w:pPr>
      <w:r>
        <w:rPr>
          <w:rFonts w:ascii="Arial" w:hAnsi="Arial"/>
          <w:sz w:val="24"/>
        </w:rPr>
      </w:r>
    </w:p>
    <w:p>
      <w:pPr>
        <w:pStyle w:val="FNtekstgwny"/>
        <w:jc w:val="center"/>
        <w:rPr/>
      </w:pPr>
      <w:r>
        <w:rPr/>
        <w:t>Złotów, lipiec 2023 r.</w:t>
      </w:r>
    </w:p>
    <w:p>
      <w:pPr>
        <w:pStyle w:val="Tretekstu"/>
        <w:jc w:val="both"/>
        <w:rPr>
          <w:rFonts w:ascii="Arial" w:hAnsi="Arial"/>
          <w:sz w:val="24"/>
        </w:rPr>
      </w:pPr>
      <w:r>
        <w:rPr>
          <w:rFonts w:ascii="Arial" w:hAnsi="Arial"/>
          <w:sz w:val="24"/>
        </w:rPr>
      </w:r>
    </w:p>
    <w:p>
      <w:pPr>
        <w:pStyle w:val="Normal"/>
        <w:jc w:val="both"/>
        <w:rPr>
          <w:rFonts w:ascii="Arial" w:hAnsi="Arial"/>
          <w:b/>
          <w:b/>
        </w:rPr>
      </w:pPr>
      <w:r>
        <w:rPr>
          <w:rFonts w:ascii="Arial" w:hAnsi="Arial"/>
          <w:b/>
        </w:rPr>
      </w:r>
    </w:p>
    <w:p>
      <w:pPr>
        <w:pStyle w:val="Tretekstu"/>
        <w:ind w:left="360" w:hanging="0"/>
        <w:jc w:val="both"/>
        <w:rPr>
          <w:rFonts w:ascii="Arial" w:hAnsi="Arial"/>
          <w:color w:val="0070C0"/>
          <w:sz w:val="28"/>
          <w:szCs w:val="28"/>
        </w:rPr>
      </w:pPr>
      <w:r>
        <w:rPr>
          <w:rFonts w:ascii="Arial" w:hAnsi="Arial"/>
          <w:color w:val="0070C0"/>
          <w:sz w:val="28"/>
          <w:szCs w:val="28"/>
        </w:rPr>
        <w:drawing>
          <wp:anchor behindDoc="1" distT="0" distB="0" distL="0" distR="0" simplePos="0" locked="0" layoutInCell="0" allowOverlap="1" relativeHeight="16">
            <wp:simplePos x="0" y="0"/>
            <wp:positionH relativeFrom="page">
              <wp:posOffset>5706110</wp:posOffset>
            </wp:positionH>
            <wp:positionV relativeFrom="page">
              <wp:posOffset>9800590</wp:posOffset>
            </wp:positionV>
            <wp:extent cx="1346835" cy="537210"/>
            <wp:effectExtent l="0" t="0" r="0" b="0"/>
            <wp:wrapNone/>
            <wp:docPr id="1" name="Obraz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1" descr=""/>
                    <pic:cNvPicPr>
                      <a:picLocks noChangeAspect="1" noChangeArrowheads="1"/>
                    </pic:cNvPicPr>
                  </pic:nvPicPr>
                  <pic:blipFill>
                    <a:blip r:embed="rId2"/>
                    <a:stretch>
                      <a:fillRect/>
                    </a:stretch>
                  </pic:blipFill>
                  <pic:spPr bwMode="auto">
                    <a:xfrm>
                      <a:off x="0" y="0"/>
                      <a:ext cx="1346835" cy="537210"/>
                    </a:xfrm>
                    <a:prstGeom prst="rect">
                      <a:avLst/>
                    </a:prstGeom>
                  </pic:spPr>
                </pic:pic>
              </a:graphicData>
            </a:graphic>
          </wp:anchor>
        </w:drawing>
      </w:r>
    </w:p>
    <w:p>
      <w:pPr>
        <w:pStyle w:val="Tretekstu"/>
        <w:ind w:left="360" w:hanging="0"/>
        <w:jc w:val="both"/>
        <w:rPr>
          <w:rFonts w:ascii="Arial" w:hAnsi="Arial"/>
          <w:color w:val="000000"/>
        </w:rPr>
      </w:pPr>
      <w:r>
        <w:rPr>
          <w:rFonts w:ascii="Arial" w:hAnsi="Arial"/>
          <w:color w:val="000000"/>
          <w:sz w:val="28"/>
          <w:szCs w:val="28"/>
        </w:rPr>
        <w:t>SPECYFIKACJA TECHNICZNA WYKONANIA I ODBIORU ROBÓT</w:t>
      </w:r>
    </w:p>
    <w:p>
      <w:pPr>
        <w:pStyle w:val="Tekstpodstawowy21"/>
        <w:jc w:val="both"/>
        <w:rPr>
          <w:rFonts w:ascii="Arial" w:hAnsi="Arial"/>
          <w:b/>
          <w:b/>
          <w:sz w:val="24"/>
        </w:rPr>
      </w:pPr>
      <w:r>
        <w:rPr>
          <w:rFonts w:ascii="Arial" w:hAnsi="Arial"/>
          <w:b/>
          <w:sz w:val="24"/>
        </w:rPr>
      </w:r>
    </w:p>
    <w:p>
      <w:pPr>
        <w:pStyle w:val="Tekstpodstawowy21"/>
        <w:jc w:val="both"/>
        <w:rPr>
          <w:rFonts w:ascii="Arial" w:hAnsi="Arial"/>
          <w:b/>
          <w:b/>
          <w:sz w:val="24"/>
        </w:rPr>
      </w:pPr>
      <w:r>
        <w:rPr>
          <w:rFonts w:ascii="Arial" w:hAnsi="Arial"/>
          <w:b/>
          <w:sz w:val="24"/>
        </w:rPr>
      </w:r>
    </w:p>
    <w:p>
      <w:pPr>
        <w:pStyle w:val="Normal"/>
        <w:spacing w:lineRule="auto" w:line="240" w:before="0" w:after="0"/>
        <w:rPr>
          <w:rFonts w:ascii="Arial" w:hAnsi="Arial"/>
        </w:rPr>
      </w:pPr>
      <w:r>
        <w:rPr>
          <w:rFonts w:cs="TimesNewRomanPSMT" w:ascii="Arial" w:hAnsi="Arial"/>
          <w:sz w:val="24"/>
          <w:szCs w:val="24"/>
        </w:rPr>
        <w:t>Nazwy i kody zamówienia wg CPV:</w:t>
      </w:r>
    </w:p>
    <w:p>
      <w:pPr>
        <w:pStyle w:val="Normal"/>
        <w:spacing w:lineRule="auto" w:line="240" w:before="0" w:after="0"/>
        <w:rPr>
          <w:rFonts w:ascii="Arial" w:hAnsi="Arial"/>
          <w:sz w:val="24"/>
          <w:szCs w:val="24"/>
        </w:rPr>
      </w:pPr>
      <w:r>
        <w:rPr>
          <w:rFonts w:ascii="Arial" w:hAnsi="Arial"/>
          <w:sz w:val="24"/>
          <w:szCs w:val="24"/>
        </w:rPr>
      </w:r>
    </w:p>
    <w:p>
      <w:pPr>
        <w:pStyle w:val="Normal"/>
        <w:spacing w:lineRule="auto" w:line="240" w:before="0" w:after="0"/>
        <w:rPr>
          <w:rFonts w:ascii="Arial" w:hAnsi="Arial" w:cs="Arial"/>
          <w:sz w:val="24"/>
          <w:szCs w:val="24"/>
        </w:rPr>
      </w:pPr>
      <w:r>
        <w:rPr>
          <w:rFonts w:eastAsia="Times New Roman" w:cs="TimesNewRomanPSMT" w:ascii="Arial" w:hAnsi="Arial"/>
          <w:color w:val="000000"/>
          <w:kern w:val="2"/>
          <w:sz w:val="24"/>
          <w:szCs w:val="24"/>
        </w:rPr>
        <w:t>Kod 31520000-7  lampy i oprawy oświetleniowe</w:t>
      </w:r>
    </w:p>
    <w:p>
      <w:pPr>
        <w:pStyle w:val="Normal"/>
        <w:spacing w:lineRule="auto" w:line="240" w:before="0" w:after="0"/>
        <w:rPr>
          <w:rFonts w:ascii="Arial" w:hAnsi="Arial" w:cs="Arial"/>
          <w:color w:val="000000"/>
          <w:sz w:val="24"/>
          <w:szCs w:val="24"/>
        </w:rPr>
      </w:pPr>
      <w:r>
        <w:rPr>
          <w:rFonts w:cs="Arial" w:ascii="Arial" w:hAnsi="Arial"/>
          <w:color w:val="000000"/>
          <w:sz w:val="24"/>
          <w:szCs w:val="24"/>
        </w:rPr>
        <w:t>Kod 45311000-0  Roboty w zakresie okablowania</w:t>
      </w:r>
    </w:p>
    <w:p>
      <w:pPr>
        <w:pStyle w:val="Normal"/>
        <w:spacing w:lineRule="auto" w:line="240" w:before="0" w:after="0"/>
        <w:rPr>
          <w:rFonts w:ascii="Arial" w:hAnsi="Arial" w:cs="Arial"/>
          <w:color w:val="000000"/>
          <w:sz w:val="24"/>
          <w:szCs w:val="24"/>
        </w:rPr>
      </w:pPr>
      <w:r>
        <w:rPr>
          <w:rFonts w:cs="Arial" w:ascii="Arial" w:hAnsi="Arial"/>
          <w:color w:val="000000"/>
          <w:sz w:val="24"/>
          <w:szCs w:val="24"/>
        </w:rPr>
        <w:t>Kod 45311200-0  Roboty w zakresie instalacji elektrycznych</w:t>
      </w:r>
    </w:p>
    <w:p>
      <w:pPr>
        <w:pStyle w:val="Normal"/>
        <w:spacing w:lineRule="auto" w:line="240" w:before="0" w:after="0"/>
        <w:rPr>
          <w:rFonts w:ascii="Arial" w:hAnsi="Arial" w:cs="Arial"/>
          <w:color w:val="000000"/>
          <w:sz w:val="24"/>
          <w:szCs w:val="24"/>
        </w:rPr>
      </w:pPr>
      <w:r>
        <w:rPr>
          <w:rFonts w:cs="Arial" w:ascii="Arial" w:hAnsi="Arial"/>
          <w:color w:val="000000"/>
          <w:sz w:val="24"/>
          <w:szCs w:val="24"/>
        </w:rPr>
        <w:t>Kod 45316100-6  Instalowanie urządzeń oświetlenia zewnętrznego</w:t>
      </w:r>
    </w:p>
    <w:p>
      <w:pPr>
        <w:pStyle w:val="Normal"/>
        <w:spacing w:lineRule="auto" w:line="240" w:before="0" w:after="0"/>
        <w:rPr>
          <w:rFonts w:ascii="Arial" w:hAnsi="Arial" w:cs="Arial"/>
          <w:color w:val="000000"/>
          <w:sz w:val="24"/>
          <w:szCs w:val="24"/>
        </w:rPr>
      </w:pPr>
      <w:r>
        <w:rPr>
          <w:rFonts w:cs="Arial" w:ascii="Arial" w:hAnsi="Arial"/>
          <w:color w:val="000000"/>
          <w:sz w:val="24"/>
          <w:szCs w:val="24"/>
        </w:rPr>
        <w:t>Kod 45316110-9  Instalowanie urządzeń oświetlenia drogowego</w:t>
      </w:r>
    </w:p>
    <w:p>
      <w:pPr>
        <w:pStyle w:val="Normal"/>
        <w:spacing w:lineRule="auto" w:line="240" w:before="0" w:after="0"/>
        <w:rPr>
          <w:rFonts w:ascii="Arial" w:hAnsi="Arial" w:cs="Arial"/>
          <w:color w:val="000000"/>
          <w:sz w:val="24"/>
          <w:szCs w:val="24"/>
        </w:rPr>
      </w:pPr>
      <w:r>
        <w:rPr>
          <w:rFonts w:cs="TimesNewRomanPSMT" w:ascii="Arial" w:hAnsi="Arial"/>
          <w:color w:val="000000"/>
          <w:sz w:val="24"/>
          <w:szCs w:val="24"/>
        </w:rPr>
        <w:t>Kod 71355200-3  Wykonywanie badań</w:t>
      </w:r>
    </w:p>
    <w:p>
      <w:pPr>
        <w:pStyle w:val="Normal"/>
        <w:spacing w:lineRule="auto" w:line="240" w:before="0" w:after="0"/>
        <w:rPr>
          <w:rFonts w:ascii="Arial" w:hAnsi="Arial" w:cs="TimesNewRomanPSMT"/>
          <w:color w:val="FF0000"/>
          <w:sz w:val="24"/>
          <w:szCs w:val="24"/>
        </w:rPr>
      </w:pPr>
      <w:r>
        <w:rPr>
          <w:rFonts w:cs="TimesNewRomanPSMT" w:ascii="Arial" w:hAnsi="Arial"/>
          <w:color w:val="FF0000"/>
          <w:sz w:val="24"/>
          <w:szCs w:val="24"/>
        </w:rPr>
      </w:r>
    </w:p>
    <w:p>
      <w:pPr>
        <w:pStyle w:val="Normal"/>
        <w:spacing w:lineRule="auto" w:line="240" w:before="0" w:after="0"/>
        <w:rPr>
          <w:rFonts w:ascii="Arial" w:hAnsi="Arial" w:cs="TimesNewRomanPSMT"/>
          <w:color w:val="FF0000"/>
          <w:sz w:val="24"/>
          <w:szCs w:val="24"/>
        </w:rPr>
      </w:pPr>
      <w:r>
        <w:rPr>
          <w:rFonts w:cs="TimesNewRomanPSMT" w:ascii="Arial" w:hAnsi="Arial"/>
          <w:color w:val="FF0000"/>
          <w:sz w:val="24"/>
          <w:szCs w:val="24"/>
        </w:rPr>
      </w:r>
    </w:p>
    <w:p>
      <w:pPr>
        <w:pStyle w:val="Tekstpodstawowy21"/>
        <w:numPr>
          <w:ilvl w:val="0"/>
          <w:numId w:val="1"/>
        </w:numPr>
        <w:jc w:val="both"/>
        <w:rPr>
          <w:rFonts w:ascii="Arial" w:hAnsi="Arial"/>
        </w:rPr>
      </w:pPr>
      <w:r>
        <w:rPr>
          <w:rFonts w:ascii="Arial" w:hAnsi="Arial"/>
          <w:sz w:val="24"/>
        </w:rPr>
        <w:t xml:space="preserve">WSTĘP </w:t>
      </w:r>
    </w:p>
    <w:p>
      <w:pPr>
        <w:pStyle w:val="Tekstpodstawowy21"/>
        <w:numPr>
          <w:ilvl w:val="0"/>
          <w:numId w:val="1"/>
        </w:numPr>
        <w:jc w:val="both"/>
        <w:rPr>
          <w:rFonts w:ascii="Arial" w:hAnsi="Arial"/>
        </w:rPr>
      </w:pPr>
      <w:r>
        <w:rPr>
          <w:rFonts w:ascii="Arial" w:hAnsi="Arial"/>
          <w:sz w:val="24"/>
        </w:rPr>
        <w:t xml:space="preserve">MATERIAŁY </w:t>
      </w:r>
    </w:p>
    <w:p>
      <w:pPr>
        <w:pStyle w:val="Tekstpodstawowy21"/>
        <w:numPr>
          <w:ilvl w:val="0"/>
          <w:numId w:val="1"/>
        </w:numPr>
        <w:jc w:val="both"/>
        <w:rPr>
          <w:rFonts w:ascii="Arial" w:hAnsi="Arial"/>
        </w:rPr>
      </w:pPr>
      <w:r>
        <w:rPr>
          <w:rFonts w:ascii="Arial" w:hAnsi="Arial"/>
          <w:sz w:val="24"/>
        </w:rPr>
        <w:t xml:space="preserve">SPRZĘT </w:t>
      </w:r>
    </w:p>
    <w:p>
      <w:pPr>
        <w:pStyle w:val="Tekstpodstawowy21"/>
        <w:numPr>
          <w:ilvl w:val="0"/>
          <w:numId w:val="1"/>
        </w:numPr>
        <w:jc w:val="both"/>
        <w:rPr>
          <w:rFonts w:ascii="Arial" w:hAnsi="Arial"/>
        </w:rPr>
      </w:pPr>
      <w:r>
        <w:rPr>
          <w:rFonts w:ascii="Arial" w:hAnsi="Arial"/>
          <w:sz w:val="24"/>
        </w:rPr>
        <w:t xml:space="preserve">TRANSPORT </w:t>
      </w:r>
    </w:p>
    <w:p>
      <w:pPr>
        <w:pStyle w:val="Tekstpodstawowy21"/>
        <w:numPr>
          <w:ilvl w:val="0"/>
          <w:numId w:val="1"/>
        </w:numPr>
        <w:jc w:val="both"/>
        <w:rPr>
          <w:rFonts w:ascii="Arial" w:hAnsi="Arial"/>
        </w:rPr>
      </w:pPr>
      <w:r>
        <w:rPr>
          <w:rFonts w:ascii="Arial" w:hAnsi="Arial"/>
          <w:sz w:val="24"/>
        </w:rPr>
        <w:t xml:space="preserve">WYKONANIE ROBÓT </w:t>
      </w:r>
    </w:p>
    <w:p>
      <w:pPr>
        <w:pStyle w:val="Tekstpodstawowy21"/>
        <w:numPr>
          <w:ilvl w:val="0"/>
          <w:numId w:val="1"/>
        </w:numPr>
        <w:jc w:val="both"/>
        <w:rPr>
          <w:rFonts w:ascii="Arial" w:hAnsi="Arial"/>
        </w:rPr>
      </w:pPr>
      <w:r>
        <w:rPr>
          <w:rFonts w:ascii="Arial" w:hAnsi="Arial"/>
          <w:sz w:val="24"/>
        </w:rPr>
        <w:t xml:space="preserve">KONTROLA JAKOŚCI </w:t>
      </w:r>
    </w:p>
    <w:p>
      <w:pPr>
        <w:pStyle w:val="Tekstpodstawowy21"/>
        <w:numPr>
          <w:ilvl w:val="0"/>
          <w:numId w:val="1"/>
        </w:numPr>
        <w:jc w:val="both"/>
        <w:rPr>
          <w:rFonts w:ascii="Arial" w:hAnsi="Arial"/>
        </w:rPr>
      </w:pPr>
      <w:r>
        <w:rPr>
          <w:rFonts w:ascii="Arial" w:hAnsi="Arial"/>
          <w:sz w:val="24"/>
        </w:rPr>
        <w:t>OBMIAR ROBÓT</w:t>
      </w:r>
    </w:p>
    <w:p>
      <w:pPr>
        <w:pStyle w:val="Tekstpodstawowy21"/>
        <w:numPr>
          <w:ilvl w:val="0"/>
          <w:numId w:val="1"/>
        </w:numPr>
        <w:jc w:val="both"/>
        <w:rPr>
          <w:rFonts w:ascii="Arial" w:hAnsi="Arial"/>
        </w:rPr>
      </w:pPr>
      <w:r>
        <w:rPr>
          <w:rFonts w:ascii="Arial" w:hAnsi="Arial"/>
          <w:sz w:val="24"/>
        </w:rPr>
        <w:t>ODBIÓR ROBÓT</w:t>
      </w:r>
    </w:p>
    <w:p>
      <w:pPr>
        <w:pStyle w:val="Tekstpodstawowy21"/>
        <w:numPr>
          <w:ilvl w:val="0"/>
          <w:numId w:val="1"/>
        </w:numPr>
        <w:jc w:val="both"/>
        <w:rPr>
          <w:rFonts w:ascii="Arial" w:hAnsi="Arial"/>
        </w:rPr>
      </w:pPr>
      <w:r>
        <w:rPr>
          <w:rFonts w:ascii="Arial" w:hAnsi="Arial"/>
          <w:sz w:val="24"/>
        </w:rPr>
        <w:t>PRZEPISY ZWIĄZANE</w:t>
      </w:r>
    </w:p>
    <w:p>
      <w:pPr>
        <w:pStyle w:val="Tekstpodstawowy21"/>
        <w:jc w:val="both"/>
        <w:rPr>
          <w:rFonts w:ascii="Arial" w:hAnsi="Arial"/>
          <w:sz w:val="24"/>
        </w:rPr>
      </w:pPr>
      <w:r>
        <w:rPr>
          <w:rFonts w:ascii="Arial" w:hAnsi="Arial"/>
          <w:sz w:val="24"/>
        </w:rPr>
      </w:r>
    </w:p>
    <w:p>
      <w:pPr>
        <w:pStyle w:val="Tekstpodstawowy21"/>
        <w:jc w:val="both"/>
        <w:rPr>
          <w:rFonts w:ascii="Arial" w:hAnsi="Arial"/>
          <w:sz w:val="24"/>
        </w:rPr>
      </w:pPr>
      <w:r>
        <w:rPr>
          <w:rFonts w:ascii="Arial" w:hAnsi="Arial"/>
          <w:sz w:val="24"/>
        </w:rPr>
      </w:r>
    </w:p>
    <w:p>
      <w:pPr>
        <w:pStyle w:val="Tekstpodstawowy21"/>
        <w:jc w:val="both"/>
        <w:rPr>
          <w:rFonts w:ascii="Arial" w:hAnsi="Arial"/>
        </w:rPr>
      </w:pPr>
      <w:r>
        <w:rPr>
          <w:rFonts w:ascii="Arial" w:hAnsi="Arial"/>
          <w:b/>
          <w:sz w:val="24"/>
        </w:rPr>
        <w:t>1. WSTĘP</w:t>
      </w:r>
    </w:p>
    <w:p>
      <w:pPr>
        <w:pStyle w:val="Tekstpodstawowy21"/>
        <w:jc w:val="both"/>
        <w:rPr>
          <w:rFonts w:ascii="Arial" w:hAnsi="Arial"/>
          <w:b/>
          <w:b/>
          <w:color w:val="000000"/>
          <w:sz w:val="24"/>
        </w:rPr>
      </w:pPr>
      <w:r>
        <w:rPr>
          <w:rFonts w:ascii="Arial" w:hAnsi="Arial"/>
          <w:b/>
          <w:color w:val="000000"/>
          <w:sz w:val="24"/>
        </w:rPr>
      </w:r>
    </w:p>
    <w:p>
      <w:pPr>
        <w:pStyle w:val="Tekstpodstawowy21"/>
        <w:jc w:val="both"/>
        <w:rPr>
          <w:color w:val="000000"/>
        </w:rPr>
      </w:pPr>
      <w:r>
        <w:rPr>
          <w:rFonts w:ascii="Arial" w:hAnsi="Arial"/>
          <w:b/>
          <w:color w:val="000000"/>
          <w:sz w:val="24"/>
        </w:rPr>
        <w:t>Przedmiot STWiOR</w:t>
      </w:r>
    </w:p>
    <w:p>
      <w:pPr>
        <w:pStyle w:val="Normal"/>
        <w:spacing w:lineRule="auto" w:line="240" w:before="0" w:after="0"/>
        <w:rPr>
          <w:color w:val="000000"/>
        </w:rPr>
      </w:pPr>
      <w:r>
        <w:rPr>
          <w:rFonts w:cs="TimesNewRomanPSMT" w:ascii="Arial" w:hAnsi="Arial"/>
          <w:color w:val="000000"/>
          <w:sz w:val="24"/>
          <w:szCs w:val="24"/>
        </w:rPr>
        <w:t>Specyfikacja techniczna jest stosowana jako dokument przy przetargach oraz przy zlecaniu i realizacji robót.</w:t>
      </w:r>
    </w:p>
    <w:p>
      <w:pPr>
        <w:pStyle w:val="Tekstpodstawowy21"/>
        <w:jc w:val="both"/>
        <w:rPr>
          <w:color w:val="000000"/>
        </w:rPr>
      </w:pPr>
      <w:r>
        <w:rPr>
          <w:rFonts w:ascii="Arial" w:hAnsi="Arial"/>
          <w:color w:val="000000"/>
          <w:sz w:val="24"/>
        </w:rPr>
        <w:tab/>
        <w:tab/>
      </w:r>
    </w:p>
    <w:p>
      <w:pPr>
        <w:pStyle w:val="Tekstpodstawowy21"/>
        <w:jc w:val="both"/>
        <w:rPr>
          <w:color w:val="000000"/>
        </w:rPr>
      </w:pPr>
      <w:r>
        <w:rPr>
          <w:rFonts w:ascii="Arial" w:hAnsi="Arial"/>
          <w:b/>
          <w:color w:val="000000"/>
          <w:sz w:val="24"/>
        </w:rPr>
        <w:t>Zakres opracowania :</w:t>
      </w:r>
    </w:p>
    <w:p>
      <w:pPr>
        <w:pStyle w:val="Normal"/>
        <w:spacing w:lineRule="auto" w:line="240" w:before="0" w:after="0"/>
        <w:rPr>
          <w:color w:val="000000"/>
        </w:rPr>
      </w:pPr>
      <w:r>
        <w:rPr>
          <w:rFonts w:cs="TimesNewRomanPSMT" w:ascii="Arial" w:hAnsi="Arial"/>
          <w:color w:val="000000"/>
          <w:sz w:val="24"/>
          <w:szCs w:val="24"/>
        </w:rPr>
        <w:t>Roboty, których dotyczy niniejsza specyfikacja, obejmują wszystkie czynności umożliwiające</w:t>
      </w:r>
    </w:p>
    <w:p>
      <w:pPr>
        <w:pStyle w:val="Normal"/>
        <w:spacing w:lineRule="auto" w:line="240" w:before="0" w:after="0"/>
        <w:rPr>
          <w:color w:val="000000"/>
        </w:rPr>
      </w:pPr>
      <w:r>
        <w:rPr>
          <w:rFonts w:cs="TimesNewRomanPSMT" w:ascii="Arial" w:hAnsi="Arial"/>
          <w:color w:val="000000"/>
          <w:sz w:val="24"/>
          <w:szCs w:val="24"/>
        </w:rPr>
        <w:t>wykonanie i odbiór robót zawartych w opisie przedmiotu zamówienia:</w:t>
      </w:r>
    </w:p>
    <w:p>
      <w:pPr>
        <w:pStyle w:val="Normal"/>
        <w:spacing w:lineRule="auto" w:line="240" w:before="0" w:after="0"/>
        <w:rPr>
          <w:color w:val="000000"/>
        </w:rPr>
      </w:pPr>
      <w:r>
        <w:rPr>
          <w:rFonts w:cs="TimesNewRomanPSMT" w:ascii="Arial" w:hAnsi="Arial"/>
          <w:color w:val="000000"/>
          <w:sz w:val="24"/>
          <w:szCs w:val="24"/>
        </w:rPr>
        <w:t>- zainstalowanie bezpieczników izolowanych,</w:t>
      </w:r>
    </w:p>
    <w:p>
      <w:pPr>
        <w:pStyle w:val="Normal"/>
        <w:spacing w:lineRule="auto" w:line="240" w:before="0" w:after="0"/>
        <w:rPr>
          <w:color w:val="000000"/>
        </w:rPr>
      </w:pPr>
      <w:r>
        <w:rPr>
          <w:rFonts w:cs="TimesNewRomanPSMT" w:ascii="Arial" w:hAnsi="Arial"/>
          <w:color w:val="000000"/>
          <w:sz w:val="24"/>
          <w:szCs w:val="24"/>
        </w:rPr>
        <w:t>- zainstalowanie opraw na wysięgnikach, lub źródeł w oprawach parkowych,</w:t>
      </w:r>
    </w:p>
    <w:p>
      <w:pPr>
        <w:pStyle w:val="Normal"/>
        <w:spacing w:lineRule="auto" w:line="240" w:before="0" w:after="0"/>
        <w:rPr>
          <w:color w:val="000000"/>
        </w:rPr>
      </w:pPr>
      <w:r>
        <w:rPr>
          <w:rFonts w:cs="TimesNewRomanPSMT" w:ascii="Arial" w:hAnsi="Arial"/>
          <w:color w:val="000000"/>
          <w:sz w:val="24"/>
          <w:szCs w:val="24"/>
        </w:rPr>
        <w:t>- podłączenie przewodów opraw do przewodów sieciowych,</w:t>
      </w:r>
    </w:p>
    <w:p>
      <w:pPr>
        <w:pStyle w:val="Tekstpodstawowy21"/>
        <w:jc w:val="both"/>
        <w:rPr>
          <w:color w:val="000000"/>
        </w:rPr>
      </w:pPr>
      <w:r>
        <w:rPr>
          <w:rFonts w:cs="TimesNewRomanPSMT" w:ascii="Arial" w:hAnsi="Arial"/>
          <w:color w:val="000000"/>
          <w:sz w:val="24"/>
        </w:rPr>
        <w:t>- wykonanie prób użytkowych i odbiorczych,</w:t>
      </w:r>
    </w:p>
    <w:p>
      <w:pPr>
        <w:pStyle w:val="Tekstpodstawowy21"/>
        <w:jc w:val="both"/>
        <w:rPr>
          <w:color w:val="000000"/>
        </w:rPr>
      </w:pPr>
      <w:r>
        <w:rPr>
          <w:rFonts w:cs="TimesNewRomanPSMT" w:ascii="Arial" w:hAnsi="Arial"/>
          <w:color w:val="000000"/>
          <w:sz w:val="24"/>
        </w:rPr>
        <w:t>- wykonanie projektu fotometrycznego i wpisanie parametrów w kolumnach :moc, scena i typ oprawy w zał. nr 3,</w:t>
      </w:r>
    </w:p>
    <w:p>
      <w:pPr>
        <w:pStyle w:val="Tekstpodstawowy21"/>
        <w:jc w:val="both"/>
        <w:rPr>
          <w:color w:val="000000"/>
        </w:rPr>
      </w:pPr>
      <w:r>
        <w:rPr>
          <w:rFonts w:cs="TimesNewRomanPSMT" w:ascii="Arial" w:hAnsi="Arial"/>
          <w:color w:val="000000"/>
          <w:sz w:val="24"/>
        </w:rPr>
        <w:t>- wykonanie dokumentacji powykonawczej w tym:</w:t>
      </w:r>
    </w:p>
    <w:p>
      <w:pPr>
        <w:pStyle w:val="Tekstpodstawowy21"/>
        <w:jc w:val="both"/>
        <w:rPr>
          <w:rFonts w:cs="TimesNewRomanPSMT"/>
          <w:color w:val="000000"/>
          <w:sz w:val="24"/>
        </w:rPr>
      </w:pPr>
      <w:r>
        <w:rPr>
          <w:rFonts w:cs="TimesNewRomanPSMT"/>
          <w:color w:val="000000"/>
          <w:sz w:val="24"/>
        </w:rPr>
      </w:r>
    </w:p>
    <w:p>
      <w:pPr>
        <w:pStyle w:val="Zawartotabeli"/>
        <w:spacing w:lineRule="auto" w:line="360"/>
        <w:jc w:val="both"/>
        <w:rPr>
          <w:rFonts w:ascii="Arial" w:hAnsi="Arial" w:cs="Times New Roman"/>
          <w:color w:val="000000"/>
          <w:sz w:val="22"/>
          <w:szCs w:val="22"/>
        </w:rPr>
      </w:pPr>
      <w:r>
        <w:rPr>
          <w:rFonts w:cs="Times New Roman" w:ascii="Arial" w:hAnsi="Arial"/>
          <w:color w:val="000000"/>
          <w:sz w:val="22"/>
          <w:szCs w:val="22"/>
        </w:rPr>
      </w:r>
    </w:p>
    <w:p>
      <w:pPr>
        <w:pStyle w:val="Zawartotabeli"/>
        <w:spacing w:lineRule="auto" w:line="360"/>
        <w:jc w:val="both"/>
        <w:rPr>
          <w:color w:val="000000"/>
        </w:rPr>
      </w:pPr>
      <w:r>
        <w:rPr>
          <w:rFonts w:cs="Times New Roman" w:ascii="Arial" w:hAnsi="Arial"/>
          <w:b/>
          <w:color w:val="000000"/>
          <w:sz w:val="22"/>
          <w:szCs w:val="22"/>
        </w:rPr>
        <w:t>Inwentaryzacja geoinformatyczna</w:t>
      </w:r>
    </w:p>
    <w:p>
      <w:pPr>
        <w:pStyle w:val="ListParagraph"/>
        <w:tabs>
          <w:tab w:val="clear" w:pos="708"/>
          <w:tab w:val="left" w:pos="567" w:leader="none"/>
        </w:tabs>
        <w:spacing w:lineRule="auto" w:line="360" w:before="0" w:after="0"/>
        <w:ind w:left="0" w:hanging="0"/>
        <w:contextualSpacing w:val="false"/>
        <w:jc w:val="both"/>
        <w:rPr>
          <w:rFonts w:ascii="Arial" w:hAnsi="Arial"/>
        </w:rPr>
      </w:pPr>
      <w:r>
        <w:rPr>
          <w:rFonts w:cs="Times New Roman" w:ascii="Arial" w:hAnsi="Arial"/>
          <w:b/>
        </w:rPr>
        <w:t>1.1</w:t>
      </w:r>
      <w:r>
        <w:rPr>
          <w:rFonts w:cs="Times New Roman" w:ascii="Arial" w:hAnsi="Arial"/>
        </w:rPr>
        <w:t xml:space="preserve"> </w:t>
      </w:r>
      <w:r>
        <w:rPr>
          <w:rFonts w:cs="Times New Roman" w:ascii="Arial" w:hAnsi="Arial"/>
          <w:i/>
          <w:sz w:val="24"/>
          <w:szCs w:val="24"/>
        </w:rPr>
        <w:t>Warstwa tematyczna LATARNIE</w:t>
      </w:r>
    </w:p>
    <w:p>
      <w:pPr>
        <w:pStyle w:val="Normal"/>
        <w:shd w:val="clear" w:color="auto" w:fill="FFFFFF"/>
        <w:tabs>
          <w:tab w:val="clear" w:pos="708"/>
          <w:tab w:val="left" w:pos="142" w:leader="none"/>
          <w:tab w:val="left" w:pos="284" w:leader="none"/>
          <w:tab w:val="left" w:pos="851" w:leader="none"/>
        </w:tabs>
        <w:spacing w:lineRule="auto" w:line="240" w:before="0" w:after="120"/>
        <w:jc w:val="both"/>
        <w:rPr>
          <w:rFonts w:ascii="Arial" w:hAnsi="Arial"/>
        </w:rPr>
      </w:pPr>
      <w:r>
        <w:rPr>
          <w:rFonts w:cs="Times New Roman" w:ascii="Arial" w:hAnsi="Arial"/>
          <w:sz w:val="24"/>
          <w:szCs w:val="24"/>
        </w:rPr>
        <w:t>Lokalizacja X,Y w formacie.shp, obsługiwany przez programy GIS oraz w formacie DWG lub DXF, zapisana w systemie odniesień przestrzennych w układzie prostokątnym płaskich, strefa Polska 1992/19, lub 2000 WGS 1984, system wysokości MSL( Średni poziom morza), model geoidy EGM96 (Global ) z odchyleniem standardowym mieszczącym się w przedziale 50 cm [ Rozporządzenie Rady Ministrów z dnia 8 sierpnia 2000 r. w sprawie państwowego systemu odniesień przestrz</w:t>
      </w:r>
      <w:r>
        <w:rPr>
          <w:rFonts w:cs="Times New Roman" w:ascii="Arial" w:hAnsi="Arial"/>
          <w:color w:val="000000"/>
          <w:sz w:val="24"/>
          <w:szCs w:val="24"/>
        </w:rPr>
        <w:t>ennych Dz. U. Nr 70 poz. 821 z późn. zmianami], opisana atrybutami:</w:t>
      </w:r>
    </w:p>
    <w:p>
      <w:pPr>
        <w:pStyle w:val="Normal"/>
        <w:shd w:val="clear" w:color="auto" w:fill="FFFFFF"/>
        <w:tabs>
          <w:tab w:val="clear" w:pos="708"/>
          <w:tab w:val="left" w:pos="142" w:leader="none"/>
          <w:tab w:val="left" w:pos="284" w:leader="none"/>
          <w:tab w:val="left" w:pos="851" w:leader="none"/>
        </w:tabs>
        <w:spacing w:lineRule="auto" w:line="240"/>
        <w:ind w:right="-822" w:hanging="0"/>
        <w:jc w:val="both"/>
        <w:rPr>
          <w:color w:val="000000"/>
        </w:rPr>
      </w:pPr>
      <w:r>
        <w:rPr>
          <w:rFonts w:cs="Times New Roman" w:ascii="Arial" w:hAnsi="Arial"/>
          <w:color w:val="000000"/>
          <w:sz w:val="24"/>
          <w:szCs w:val="24"/>
        </w:rPr>
        <w:t>- jednolity, niepowtarzalny numer latarni</w:t>
      </w:r>
    </w:p>
    <w:p>
      <w:pPr>
        <w:pStyle w:val="Normal"/>
        <w:shd w:val="clear" w:color="auto" w:fill="FFFFFF"/>
        <w:tabs>
          <w:tab w:val="clear" w:pos="708"/>
          <w:tab w:val="left" w:pos="142" w:leader="none"/>
          <w:tab w:val="left" w:pos="284" w:leader="none"/>
          <w:tab w:val="left" w:pos="851" w:leader="none"/>
        </w:tabs>
        <w:spacing w:lineRule="auto" w:line="240"/>
        <w:ind w:right="-822" w:hanging="0"/>
        <w:jc w:val="both"/>
        <w:rPr>
          <w:color w:val="000000"/>
        </w:rPr>
      </w:pPr>
      <w:r>
        <w:rPr>
          <w:rFonts w:cs="Times New Roman" w:ascii="Arial" w:hAnsi="Arial"/>
          <w:color w:val="000000"/>
          <w:sz w:val="24"/>
          <w:szCs w:val="24"/>
        </w:rPr>
        <w:t xml:space="preserve"> </w:t>
      </w:r>
      <w:r>
        <w:rPr>
          <w:rFonts w:cs="Times New Roman" w:ascii="Arial" w:hAnsi="Arial"/>
          <w:color w:val="000000"/>
          <w:sz w:val="24"/>
          <w:szCs w:val="24"/>
        </w:rPr>
        <w:t>-miasto</w:t>
      </w:r>
    </w:p>
    <w:p>
      <w:pPr>
        <w:pStyle w:val="Normal"/>
        <w:shd w:val="clear" w:color="auto" w:fill="FFFFFF"/>
        <w:tabs>
          <w:tab w:val="clear" w:pos="708"/>
          <w:tab w:val="left" w:pos="142" w:leader="none"/>
          <w:tab w:val="left" w:pos="284" w:leader="none"/>
          <w:tab w:val="left" w:pos="851" w:leader="none"/>
        </w:tabs>
        <w:spacing w:lineRule="auto" w:line="240"/>
        <w:ind w:right="-822" w:hanging="0"/>
        <w:jc w:val="both"/>
        <w:rPr>
          <w:color w:val="000000"/>
        </w:rPr>
      </w:pPr>
      <w:r>
        <w:rPr>
          <w:rFonts w:cs="Times New Roman" w:ascii="Arial" w:hAnsi="Arial"/>
          <w:color w:val="000000"/>
          <w:sz w:val="24"/>
          <w:szCs w:val="24"/>
        </w:rPr>
        <w:t xml:space="preserve"> </w:t>
      </w:r>
      <w:r>
        <w:rPr>
          <w:rFonts w:cs="Times New Roman" w:ascii="Arial" w:hAnsi="Arial"/>
          <w:color w:val="000000"/>
          <w:sz w:val="24"/>
          <w:szCs w:val="24"/>
        </w:rPr>
        <w:t>-ulica</w:t>
      </w:r>
    </w:p>
    <w:p>
      <w:pPr>
        <w:pStyle w:val="Normal"/>
        <w:shd w:val="clear" w:color="auto" w:fill="FFFFFF"/>
        <w:tabs>
          <w:tab w:val="clear" w:pos="708"/>
          <w:tab w:val="left" w:pos="142" w:leader="none"/>
          <w:tab w:val="left" w:pos="284" w:leader="none"/>
          <w:tab w:val="left" w:pos="851" w:leader="none"/>
        </w:tabs>
        <w:spacing w:lineRule="auto" w:line="240"/>
        <w:ind w:right="-822" w:hanging="0"/>
        <w:jc w:val="both"/>
        <w:rPr>
          <w:color w:val="000000"/>
        </w:rPr>
      </w:pPr>
      <w:r>
        <w:rPr>
          <w:rFonts w:cs="Times New Roman" w:ascii="Arial" w:hAnsi="Arial"/>
          <w:color w:val="000000"/>
          <w:sz w:val="24"/>
          <w:szCs w:val="24"/>
        </w:rPr>
        <w:t>- status latarni ( istniejąca, zmodernizowana)</w:t>
      </w:r>
    </w:p>
    <w:p>
      <w:pPr>
        <w:pStyle w:val="Normal"/>
        <w:shd w:val="clear" w:color="auto" w:fill="FFFFFF"/>
        <w:tabs>
          <w:tab w:val="clear" w:pos="708"/>
          <w:tab w:val="left" w:pos="142" w:leader="none"/>
          <w:tab w:val="left" w:pos="284" w:leader="none"/>
          <w:tab w:val="left" w:pos="851" w:leader="none"/>
        </w:tabs>
        <w:spacing w:lineRule="auto" w:line="240"/>
        <w:ind w:right="-822" w:hanging="0"/>
        <w:jc w:val="both"/>
        <w:rPr>
          <w:color w:val="000000"/>
        </w:rPr>
      </w:pPr>
      <w:r>
        <w:rPr>
          <w:rFonts w:cs="Times New Roman" w:ascii="Arial" w:hAnsi="Arial"/>
          <w:color w:val="000000"/>
          <w:sz w:val="24"/>
          <w:szCs w:val="24"/>
        </w:rPr>
        <w:t>- lokalizacja latarni ( współrzędne X,Y z odchyleniem standardowym jak we wstępie)</w:t>
      </w:r>
    </w:p>
    <w:p>
      <w:pPr>
        <w:pStyle w:val="Normal"/>
        <w:shd w:val="clear" w:color="auto" w:fill="FFFFFF"/>
        <w:tabs>
          <w:tab w:val="clear" w:pos="708"/>
          <w:tab w:val="left" w:pos="142" w:leader="none"/>
          <w:tab w:val="left" w:pos="284" w:leader="none"/>
          <w:tab w:val="left" w:pos="851" w:leader="none"/>
        </w:tabs>
        <w:spacing w:lineRule="auto" w:line="240"/>
        <w:ind w:right="-822" w:hanging="0"/>
        <w:jc w:val="both"/>
        <w:rPr>
          <w:color w:val="000000"/>
        </w:rPr>
      </w:pPr>
      <w:r>
        <w:rPr>
          <w:rFonts w:cs="Times New Roman" w:ascii="Arial" w:hAnsi="Arial"/>
          <w:color w:val="000000"/>
          <w:sz w:val="24"/>
          <w:szCs w:val="24"/>
        </w:rPr>
        <w:t>- rodzaj słupa (betonowy/stalowy/aluminiowy/etc)</w:t>
      </w:r>
    </w:p>
    <w:p>
      <w:pPr>
        <w:pStyle w:val="Normal"/>
        <w:shd w:val="clear" w:color="auto" w:fill="FFFFFF"/>
        <w:tabs>
          <w:tab w:val="clear" w:pos="708"/>
          <w:tab w:val="left" w:pos="142" w:leader="none"/>
          <w:tab w:val="left" w:pos="284" w:leader="none"/>
          <w:tab w:val="left" w:pos="851" w:leader="none"/>
        </w:tabs>
        <w:spacing w:lineRule="auto" w:line="240"/>
        <w:ind w:right="-822" w:hanging="0"/>
        <w:jc w:val="both"/>
        <w:rPr>
          <w:color w:val="000000"/>
        </w:rPr>
      </w:pPr>
      <w:r>
        <w:rPr>
          <w:rFonts w:cs="Times New Roman" w:ascii="Arial" w:hAnsi="Arial"/>
          <w:color w:val="000000"/>
          <w:sz w:val="24"/>
          <w:szCs w:val="24"/>
        </w:rPr>
        <w:t>- wysokość zawieszenia oprawy / w metrach/</w:t>
      </w:r>
    </w:p>
    <w:p>
      <w:pPr>
        <w:pStyle w:val="Normal"/>
        <w:shd w:val="clear" w:color="auto" w:fill="FFFFFF"/>
        <w:tabs>
          <w:tab w:val="clear" w:pos="708"/>
          <w:tab w:val="left" w:pos="142" w:leader="none"/>
          <w:tab w:val="left" w:pos="284" w:leader="none"/>
          <w:tab w:val="left" w:pos="851" w:leader="none"/>
        </w:tabs>
        <w:spacing w:lineRule="auto" w:line="240"/>
        <w:ind w:right="-822" w:hanging="0"/>
        <w:jc w:val="both"/>
        <w:rPr>
          <w:color w:val="000000"/>
        </w:rPr>
      </w:pPr>
      <w:r>
        <w:rPr>
          <w:rFonts w:cs="Times New Roman" w:ascii="Arial" w:hAnsi="Arial"/>
          <w:color w:val="000000"/>
          <w:sz w:val="24"/>
          <w:szCs w:val="24"/>
        </w:rPr>
        <w:t>- odległość między słupami /moduł/</w:t>
      </w:r>
    </w:p>
    <w:p>
      <w:pPr>
        <w:pStyle w:val="Normal"/>
        <w:shd w:val="clear" w:color="auto" w:fill="FFFFFF"/>
        <w:tabs>
          <w:tab w:val="clear" w:pos="708"/>
          <w:tab w:val="left" w:pos="142" w:leader="none"/>
          <w:tab w:val="left" w:pos="284" w:leader="none"/>
          <w:tab w:val="left" w:pos="851" w:leader="none"/>
        </w:tabs>
        <w:spacing w:lineRule="auto" w:line="240"/>
        <w:ind w:right="-822" w:hanging="0"/>
        <w:jc w:val="both"/>
        <w:rPr>
          <w:color w:val="000000"/>
        </w:rPr>
      </w:pPr>
      <w:r>
        <w:rPr>
          <w:rFonts w:cs="Times New Roman" w:ascii="Arial" w:hAnsi="Arial"/>
          <w:color w:val="000000"/>
          <w:sz w:val="24"/>
          <w:szCs w:val="24"/>
        </w:rPr>
        <w:t>- odległość słupa od krawędzi drogi/w metrach/</w:t>
      </w:r>
    </w:p>
    <w:p>
      <w:pPr>
        <w:pStyle w:val="Normal"/>
        <w:shd w:val="clear" w:color="auto" w:fill="FFFFFF"/>
        <w:tabs>
          <w:tab w:val="clear" w:pos="708"/>
          <w:tab w:val="left" w:pos="142" w:leader="none"/>
          <w:tab w:val="left" w:pos="284" w:leader="none"/>
          <w:tab w:val="left" w:pos="851" w:leader="none"/>
        </w:tabs>
        <w:spacing w:lineRule="auto" w:line="240"/>
        <w:ind w:right="-822" w:hanging="0"/>
        <w:jc w:val="both"/>
        <w:rPr>
          <w:color w:val="000000"/>
        </w:rPr>
      </w:pPr>
      <w:r>
        <w:rPr>
          <w:rFonts w:cs="Times New Roman" w:ascii="Arial" w:hAnsi="Arial"/>
          <w:color w:val="000000"/>
          <w:sz w:val="24"/>
          <w:szCs w:val="24"/>
        </w:rPr>
        <w:t>- długość wysięgnika /w metrach/</w:t>
      </w:r>
    </w:p>
    <w:p>
      <w:pPr>
        <w:pStyle w:val="Normal"/>
        <w:shd w:val="clear" w:color="auto" w:fill="FFFFFF"/>
        <w:tabs>
          <w:tab w:val="clear" w:pos="708"/>
          <w:tab w:val="left" w:pos="142" w:leader="none"/>
          <w:tab w:val="left" w:pos="284" w:leader="none"/>
          <w:tab w:val="left" w:pos="851" w:leader="none"/>
        </w:tabs>
        <w:spacing w:lineRule="auto" w:line="240"/>
        <w:ind w:right="-822" w:hanging="0"/>
        <w:jc w:val="both"/>
        <w:rPr>
          <w:rFonts w:ascii="Arial" w:hAnsi="Arial"/>
        </w:rPr>
      </w:pPr>
      <w:r>
        <w:rPr>
          <w:rFonts w:cs="Times New Roman" w:ascii="Arial" w:hAnsi="Arial"/>
          <w:sz w:val="24"/>
          <w:szCs w:val="24"/>
        </w:rPr>
        <w:t>- mocowanie / na szczycie, nad linią , pod linią/</w:t>
      </w:r>
    </w:p>
    <w:p>
      <w:pPr>
        <w:pStyle w:val="Normal"/>
        <w:shd w:val="clear" w:color="auto" w:fill="FFFFFF"/>
        <w:tabs>
          <w:tab w:val="clear" w:pos="708"/>
          <w:tab w:val="left" w:pos="142" w:leader="none"/>
          <w:tab w:val="left" w:pos="284" w:leader="none"/>
          <w:tab w:val="left" w:pos="851" w:leader="none"/>
        </w:tabs>
        <w:spacing w:lineRule="auto" w:line="240"/>
        <w:ind w:right="-822" w:hanging="0"/>
        <w:jc w:val="both"/>
        <w:rPr>
          <w:rFonts w:ascii="Arial" w:hAnsi="Arial"/>
        </w:rPr>
      </w:pPr>
      <w:r>
        <w:rPr>
          <w:rFonts w:cs="Times New Roman" w:ascii="Arial" w:hAnsi="Arial"/>
          <w:sz w:val="24"/>
          <w:szCs w:val="24"/>
        </w:rPr>
        <w:t>- ocena wysięgnika / pozostaje,  wymiana /</w:t>
      </w:r>
    </w:p>
    <w:p>
      <w:pPr>
        <w:pStyle w:val="Normal"/>
        <w:shd w:val="clear" w:color="auto" w:fill="FFFFFF"/>
        <w:tabs>
          <w:tab w:val="clear" w:pos="708"/>
          <w:tab w:val="left" w:pos="142" w:leader="none"/>
          <w:tab w:val="left" w:pos="284" w:leader="none"/>
          <w:tab w:val="left" w:pos="851" w:leader="none"/>
        </w:tabs>
        <w:spacing w:lineRule="auto" w:line="240"/>
        <w:ind w:right="-822" w:hanging="0"/>
        <w:jc w:val="both"/>
        <w:rPr>
          <w:rFonts w:ascii="Arial" w:hAnsi="Arial"/>
        </w:rPr>
      </w:pPr>
      <w:r>
        <w:rPr>
          <w:rFonts w:cs="Times New Roman" w:ascii="Arial" w:hAnsi="Arial"/>
          <w:sz w:val="24"/>
          <w:szCs w:val="24"/>
        </w:rPr>
        <w:t>- rodzaj oprawy (sodowa/rtęciowa/etc)</w:t>
      </w:r>
    </w:p>
    <w:p>
      <w:pPr>
        <w:pStyle w:val="Normal"/>
        <w:shd w:val="clear" w:color="auto" w:fill="FFFFFF"/>
        <w:tabs>
          <w:tab w:val="clear" w:pos="708"/>
          <w:tab w:val="left" w:pos="142" w:leader="none"/>
          <w:tab w:val="left" w:pos="284" w:leader="none"/>
          <w:tab w:val="left" w:pos="851" w:leader="none"/>
        </w:tabs>
        <w:spacing w:lineRule="auto" w:line="240"/>
        <w:ind w:right="-822" w:hanging="0"/>
        <w:jc w:val="both"/>
        <w:rPr>
          <w:rFonts w:ascii="Arial" w:hAnsi="Arial"/>
        </w:rPr>
      </w:pPr>
      <w:r>
        <w:rPr>
          <w:rFonts w:cs="Times New Roman" w:ascii="Arial" w:hAnsi="Arial"/>
          <w:sz w:val="24"/>
          <w:szCs w:val="24"/>
        </w:rPr>
        <w:t>- typ oprawy (sgs/ous/etc)</w:t>
      </w:r>
    </w:p>
    <w:p>
      <w:pPr>
        <w:pStyle w:val="Normal"/>
        <w:shd w:val="clear" w:color="auto" w:fill="FFFFFF"/>
        <w:tabs>
          <w:tab w:val="clear" w:pos="708"/>
          <w:tab w:val="left" w:pos="142" w:leader="none"/>
          <w:tab w:val="left" w:pos="284" w:leader="none"/>
          <w:tab w:val="left" w:pos="851" w:leader="none"/>
        </w:tabs>
        <w:spacing w:lineRule="auto" w:line="240"/>
        <w:ind w:right="-822" w:hanging="0"/>
        <w:jc w:val="both"/>
        <w:rPr>
          <w:rFonts w:ascii="Arial" w:hAnsi="Arial"/>
        </w:rPr>
      </w:pPr>
      <w:r>
        <w:rPr>
          <w:rFonts w:cs="Times New Roman" w:ascii="Arial" w:hAnsi="Arial"/>
          <w:sz w:val="24"/>
          <w:szCs w:val="24"/>
        </w:rPr>
        <w:t>- moc rzeczywista oprawy</w:t>
      </w:r>
    </w:p>
    <w:p>
      <w:pPr>
        <w:pStyle w:val="Normal"/>
        <w:shd w:val="clear" w:color="auto" w:fill="FFFFFF"/>
        <w:tabs>
          <w:tab w:val="clear" w:pos="708"/>
          <w:tab w:val="left" w:pos="142" w:leader="none"/>
          <w:tab w:val="left" w:pos="284" w:leader="none"/>
          <w:tab w:val="left" w:pos="851" w:leader="none"/>
        </w:tabs>
        <w:spacing w:lineRule="auto" w:line="240"/>
        <w:ind w:right="-822" w:hanging="0"/>
        <w:jc w:val="both"/>
        <w:rPr>
          <w:rFonts w:ascii="Arial" w:hAnsi="Arial"/>
        </w:rPr>
      </w:pPr>
      <w:r>
        <w:rPr>
          <w:rFonts w:cs="Times New Roman" w:ascii="Arial" w:hAnsi="Arial"/>
          <w:sz w:val="24"/>
          <w:szCs w:val="24"/>
        </w:rPr>
        <w:t>- ilość opraw na słupie</w:t>
      </w:r>
    </w:p>
    <w:p>
      <w:pPr>
        <w:pStyle w:val="Normal"/>
        <w:shd w:val="clear" w:color="auto" w:fill="FFFFFF"/>
        <w:tabs>
          <w:tab w:val="clear" w:pos="708"/>
          <w:tab w:val="left" w:pos="142" w:leader="none"/>
          <w:tab w:val="left" w:pos="284" w:leader="none"/>
          <w:tab w:val="left" w:pos="851" w:leader="none"/>
        </w:tabs>
        <w:spacing w:lineRule="auto" w:line="240"/>
        <w:ind w:right="-822" w:hanging="0"/>
        <w:jc w:val="both"/>
        <w:rPr>
          <w:rFonts w:ascii="Arial" w:hAnsi="Arial"/>
        </w:rPr>
      </w:pPr>
      <w:r>
        <w:rPr>
          <w:rFonts w:cs="Times New Roman" w:ascii="Arial" w:hAnsi="Arial"/>
          <w:sz w:val="24"/>
          <w:szCs w:val="24"/>
        </w:rPr>
        <w:t>- rodzaj linii (napowietrzna, kablowa)</w:t>
      </w:r>
    </w:p>
    <w:p>
      <w:pPr>
        <w:pStyle w:val="Normal"/>
        <w:shd w:val="clear" w:color="auto" w:fill="FFFFFF"/>
        <w:tabs>
          <w:tab w:val="clear" w:pos="708"/>
          <w:tab w:val="left" w:pos="142" w:leader="none"/>
          <w:tab w:val="left" w:pos="284" w:leader="none"/>
          <w:tab w:val="left" w:pos="851" w:leader="none"/>
        </w:tabs>
        <w:spacing w:lineRule="auto" w:line="240"/>
        <w:ind w:right="-822" w:hanging="0"/>
        <w:jc w:val="both"/>
        <w:rPr>
          <w:rFonts w:ascii="Arial" w:hAnsi="Arial"/>
        </w:rPr>
      </w:pPr>
      <w:r>
        <w:rPr>
          <w:rFonts w:cs="Times New Roman" w:ascii="Arial" w:hAnsi="Arial"/>
          <w:sz w:val="24"/>
          <w:szCs w:val="24"/>
        </w:rPr>
        <w:t>- typ linii  (AL, ASxSN, YAKY, YKY)</w:t>
      </w:r>
    </w:p>
    <w:p>
      <w:pPr>
        <w:pStyle w:val="Normal"/>
        <w:shd w:val="clear" w:color="auto" w:fill="FFFFFF"/>
        <w:tabs>
          <w:tab w:val="clear" w:pos="708"/>
          <w:tab w:val="left" w:pos="142" w:leader="none"/>
          <w:tab w:val="left" w:pos="284" w:leader="none"/>
          <w:tab w:val="left" w:pos="851" w:leader="none"/>
        </w:tabs>
        <w:spacing w:lineRule="auto" w:line="240"/>
        <w:ind w:right="-822" w:hanging="0"/>
        <w:jc w:val="both"/>
        <w:rPr>
          <w:rFonts w:ascii="Arial" w:hAnsi="Arial"/>
        </w:rPr>
      </w:pPr>
      <w:r>
        <w:rPr>
          <w:rFonts w:cs="Times New Roman" w:ascii="Arial" w:hAnsi="Arial"/>
          <w:sz w:val="24"/>
          <w:szCs w:val="24"/>
        </w:rPr>
        <w:t xml:space="preserve">- własność oprawy </w:t>
      </w:r>
    </w:p>
    <w:p>
      <w:pPr>
        <w:pStyle w:val="Normal"/>
        <w:shd w:val="clear" w:color="auto" w:fill="FFFFFF"/>
        <w:tabs>
          <w:tab w:val="clear" w:pos="708"/>
          <w:tab w:val="left" w:pos="142" w:leader="none"/>
          <w:tab w:val="left" w:pos="284" w:leader="none"/>
          <w:tab w:val="left" w:pos="851" w:leader="none"/>
        </w:tabs>
        <w:spacing w:lineRule="auto" w:line="240"/>
        <w:ind w:right="-822" w:hanging="0"/>
        <w:jc w:val="both"/>
        <w:rPr>
          <w:rFonts w:ascii="Arial" w:hAnsi="Arial"/>
        </w:rPr>
      </w:pPr>
      <w:r>
        <w:rPr>
          <w:rFonts w:cs="Times New Roman" w:ascii="Arial" w:hAnsi="Arial"/>
          <w:sz w:val="24"/>
          <w:szCs w:val="24"/>
        </w:rPr>
        <w:t>Atrybuty dotyczące drogi:</w:t>
      </w:r>
    </w:p>
    <w:p>
      <w:pPr>
        <w:pStyle w:val="Normal"/>
        <w:shd w:val="clear" w:color="auto" w:fill="FFFFFF"/>
        <w:tabs>
          <w:tab w:val="clear" w:pos="708"/>
          <w:tab w:val="left" w:pos="142" w:leader="none"/>
          <w:tab w:val="left" w:pos="284" w:leader="none"/>
          <w:tab w:val="left" w:pos="851" w:leader="none"/>
        </w:tabs>
        <w:spacing w:lineRule="auto" w:line="240"/>
        <w:ind w:right="-822" w:hanging="0"/>
        <w:jc w:val="both"/>
        <w:rPr>
          <w:rFonts w:ascii="Arial" w:hAnsi="Arial"/>
        </w:rPr>
      </w:pPr>
      <w:r>
        <w:rPr>
          <w:rFonts w:cs="Times New Roman" w:ascii="Arial" w:hAnsi="Arial"/>
          <w:sz w:val="24"/>
          <w:szCs w:val="24"/>
        </w:rPr>
        <w:t>- Nawierzchnia (asfalt, grunt, kostka)</w:t>
      </w:r>
    </w:p>
    <w:p>
      <w:pPr>
        <w:pStyle w:val="Normal"/>
        <w:shd w:val="clear" w:color="auto" w:fill="FFFFFF"/>
        <w:tabs>
          <w:tab w:val="clear" w:pos="708"/>
          <w:tab w:val="left" w:pos="142" w:leader="none"/>
          <w:tab w:val="left" w:pos="284" w:leader="none"/>
          <w:tab w:val="left" w:pos="851" w:leader="none"/>
        </w:tabs>
        <w:spacing w:lineRule="auto" w:line="240"/>
        <w:ind w:right="-822" w:hanging="0"/>
        <w:jc w:val="both"/>
        <w:rPr>
          <w:rFonts w:ascii="Arial" w:hAnsi="Arial"/>
        </w:rPr>
      </w:pPr>
      <w:r>
        <w:rPr>
          <w:rFonts w:cs="Times New Roman" w:ascii="Arial" w:hAnsi="Arial"/>
          <w:sz w:val="24"/>
          <w:szCs w:val="24"/>
        </w:rPr>
        <w:t>- szerokość drogi</w:t>
      </w:r>
    </w:p>
    <w:p>
      <w:pPr>
        <w:pStyle w:val="Normal"/>
        <w:shd w:val="clear" w:color="auto" w:fill="FFFFFF"/>
        <w:tabs>
          <w:tab w:val="clear" w:pos="708"/>
          <w:tab w:val="left" w:pos="142" w:leader="none"/>
          <w:tab w:val="left" w:pos="284" w:leader="none"/>
          <w:tab w:val="left" w:pos="851" w:leader="none"/>
        </w:tabs>
        <w:spacing w:lineRule="auto" w:line="240"/>
        <w:ind w:right="-822" w:hanging="0"/>
        <w:jc w:val="both"/>
        <w:rPr>
          <w:rFonts w:ascii="Arial" w:hAnsi="Arial"/>
        </w:rPr>
      </w:pPr>
      <w:r>
        <w:rPr>
          <w:rFonts w:cs="Times New Roman" w:ascii="Arial" w:hAnsi="Arial"/>
          <w:sz w:val="24"/>
          <w:szCs w:val="24"/>
        </w:rPr>
        <w:t>- klasa oświetleniowa / M2,M3,M4,M5,M6,P4 etc./</w:t>
      </w:r>
    </w:p>
    <w:p>
      <w:pPr>
        <w:pStyle w:val="Normal"/>
        <w:shd w:val="clear" w:color="auto" w:fill="FFFFFF"/>
        <w:tabs>
          <w:tab w:val="clear" w:pos="708"/>
          <w:tab w:val="left" w:pos="142" w:leader="none"/>
          <w:tab w:val="left" w:pos="284" w:leader="none"/>
          <w:tab w:val="left" w:pos="851" w:leader="none"/>
        </w:tabs>
        <w:spacing w:lineRule="auto" w:line="240"/>
        <w:ind w:right="-822" w:hanging="0"/>
        <w:jc w:val="both"/>
        <w:rPr>
          <w:rFonts w:ascii="Arial" w:hAnsi="Arial"/>
        </w:rPr>
      </w:pPr>
      <w:r>
        <w:rPr>
          <w:rFonts w:cs="Times New Roman" w:ascii="Arial" w:hAnsi="Arial"/>
          <w:sz w:val="24"/>
          <w:szCs w:val="24"/>
        </w:rPr>
        <w:t>- kategoria drogi (Droga Gminna/Powiatowa/Wojewódzka /Lokalna)</w:t>
      </w:r>
    </w:p>
    <w:p>
      <w:pPr>
        <w:pStyle w:val="ListParagraph"/>
        <w:widowControl w:val="false"/>
        <w:shd w:val="clear" w:color="auto" w:fill="FFFFFF"/>
        <w:tabs>
          <w:tab w:val="clear" w:pos="708"/>
          <w:tab w:val="left" w:pos="142" w:leader="none"/>
          <w:tab w:val="left" w:pos="284" w:leader="none"/>
          <w:tab w:val="left" w:pos="851" w:leader="none"/>
        </w:tabs>
        <w:spacing w:lineRule="auto" w:line="240" w:before="120" w:after="120"/>
        <w:ind w:left="0" w:right="-822" w:hanging="0"/>
        <w:contextualSpacing w:val="false"/>
        <w:jc w:val="both"/>
        <w:rPr>
          <w:rFonts w:ascii="Arial" w:hAnsi="Arial"/>
        </w:rPr>
      </w:pPr>
      <w:r>
        <w:rPr>
          <w:rFonts w:cs="Times New Roman" w:ascii="Arial" w:hAnsi="Arial"/>
          <w:b/>
          <w:sz w:val="24"/>
          <w:szCs w:val="24"/>
        </w:rPr>
        <w:t>1.2</w:t>
      </w:r>
      <w:r>
        <w:rPr>
          <w:rFonts w:cs="Times New Roman" w:ascii="Arial" w:hAnsi="Arial"/>
          <w:sz w:val="24"/>
          <w:szCs w:val="24"/>
        </w:rPr>
        <w:t xml:space="preserve"> </w:t>
      </w:r>
      <w:r>
        <w:rPr>
          <w:rFonts w:cs="Times New Roman" w:ascii="Arial" w:hAnsi="Arial"/>
          <w:i/>
          <w:sz w:val="24"/>
          <w:szCs w:val="24"/>
        </w:rPr>
        <w:t>Warstwa tematyczna SKRZYNKI STERUJĄCE</w:t>
      </w:r>
    </w:p>
    <w:p>
      <w:pPr>
        <w:pStyle w:val="Normal"/>
        <w:shd w:val="clear" w:color="auto" w:fill="FFFFFF"/>
        <w:tabs>
          <w:tab w:val="clear" w:pos="708"/>
          <w:tab w:val="left" w:pos="142" w:leader="none"/>
          <w:tab w:val="left" w:pos="284" w:leader="none"/>
          <w:tab w:val="left" w:pos="851" w:leader="none"/>
        </w:tabs>
        <w:spacing w:lineRule="auto" w:line="240"/>
        <w:ind w:right="-822" w:hanging="0"/>
        <w:jc w:val="both"/>
        <w:rPr>
          <w:rFonts w:ascii="Arial" w:hAnsi="Arial"/>
        </w:rPr>
      </w:pPr>
      <w:r>
        <w:rPr>
          <w:rFonts w:cs="Times New Roman" w:ascii="Arial" w:hAnsi="Arial"/>
          <w:sz w:val="24"/>
          <w:szCs w:val="24"/>
        </w:rPr>
        <w:t>- jednolity, niepowtarzalny numer skrzynki sterującej SON,</w:t>
      </w:r>
    </w:p>
    <w:p>
      <w:pPr>
        <w:pStyle w:val="Normal"/>
        <w:shd w:val="clear" w:color="auto" w:fill="FFFFFF"/>
        <w:tabs>
          <w:tab w:val="clear" w:pos="708"/>
          <w:tab w:val="left" w:pos="142" w:leader="none"/>
          <w:tab w:val="left" w:pos="284" w:leader="none"/>
          <w:tab w:val="left" w:pos="851" w:leader="none"/>
        </w:tabs>
        <w:spacing w:lineRule="auto" w:line="240"/>
        <w:ind w:right="-822" w:hanging="0"/>
        <w:jc w:val="both"/>
        <w:rPr>
          <w:rFonts w:ascii="Arial" w:hAnsi="Arial"/>
        </w:rPr>
      </w:pPr>
      <w:r>
        <w:rPr>
          <w:rFonts w:cs="Times New Roman" w:ascii="Arial" w:hAnsi="Arial"/>
          <w:sz w:val="24"/>
          <w:szCs w:val="24"/>
        </w:rPr>
        <w:t xml:space="preserve">- </w:t>
      </w:r>
      <w:bookmarkStart w:id="0" w:name="_Hlk519241379"/>
      <w:r>
        <w:rPr>
          <w:rFonts w:cs="Times New Roman" w:ascii="Arial" w:hAnsi="Arial"/>
          <w:sz w:val="24"/>
          <w:szCs w:val="24"/>
        </w:rPr>
        <w:t>lokalizację skrzynki sterującej ( współrzędne X,Y )</w:t>
      </w:r>
      <w:bookmarkEnd w:id="0"/>
    </w:p>
    <w:p>
      <w:pPr>
        <w:pStyle w:val="Normal"/>
        <w:shd w:val="clear" w:color="auto" w:fill="FFFFFF"/>
        <w:tabs>
          <w:tab w:val="clear" w:pos="708"/>
          <w:tab w:val="left" w:pos="142" w:leader="none"/>
          <w:tab w:val="left" w:pos="284" w:leader="none"/>
          <w:tab w:val="left" w:pos="851" w:leader="none"/>
        </w:tabs>
        <w:spacing w:lineRule="auto" w:line="240"/>
        <w:ind w:right="-822" w:hanging="0"/>
        <w:jc w:val="both"/>
        <w:rPr>
          <w:rFonts w:ascii="Arial" w:hAnsi="Arial"/>
        </w:rPr>
      </w:pPr>
      <w:r>
        <w:rPr>
          <w:rFonts w:cs="Times New Roman" w:ascii="Arial" w:hAnsi="Arial"/>
          <w:sz w:val="24"/>
          <w:szCs w:val="24"/>
        </w:rPr>
        <w:t>- rodzaj skrzynki (wolnostojąca/wisząca oddzielnie/ w stacji trafo)</w:t>
      </w:r>
    </w:p>
    <w:p>
      <w:pPr>
        <w:pStyle w:val="Normal"/>
        <w:shd w:val="clear" w:color="auto" w:fill="FFFFFF"/>
        <w:tabs>
          <w:tab w:val="clear" w:pos="708"/>
          <w:tab w:val="left" w:pos="142" w:leader="none"/>
          <w:tab w:val="left" w:pos="284" w:leader="none"/>
          <w:tab w:val="left" w:pos="851" w:leader="none"/>
        </w:tabs>
        <w:spacing w:lineRule="auto" w:line="240"/>
        <w:ind w:right="-822" w:hanging="0"/>
        <w:jc w:val="both"/>
        <w:rPr>
          <w:rFonts w:ascii="Arial" w:hAnsi="Arial"/>
        </w:rPr>
      </w:pPr>
      <w:r>
        <w:rPr>
          <w:rFonts w:cs="Times New Roman" w:ascii="Arial" w:hAnsi="Arial"/>
          <w:sz w:val="24"/>
          <w:szCs w:val="24"/>
        </w:rPr>
        <w:t>- oznaczenie transformatora z którym powiązany jest punkt zasilania</w:t>
      </w:r>
    </w:p>
    <w:p>
      <w:pPr>
        <w:pStyle w:val="Normal"/>
        <w:shd w:val="clear" w:color="auto" w:fill="FFFFFF"/>
        <w:tabs>
          <w:tab w:val="clear" w:pos="708"/>
          <w:tab w:val="left" w:pos="142" w:leader="none"/>
          <w:tab w:val="left" w:pos="284" w:leader="none"/>
          <w:tab w:val="left" w:pos="851" w:leader="none"/>
        </w:tabs>
        <w:spacing w:lineRule="auto" w:line="240"/>
        <w:ind w:right="-822" w:hanging="0"/>
        <w:jc w:val="both"/>
        <w:rPr>
          <w:rFonts w:ascii="Arial" w:hAnsi="Arial"/>
        </w:rPr>
      </w:pPr>
      <w:r>
        <w:rPr>
          <w:rFonts w:cs="Times New Roman" w:ascii="Arial" w:hAnsi="Arial"/>
          <w:sz w:val="24"/>
          <w:szCs w:val="24"/>
        </w:rPr>
        <w:t>- ilość obwodów</w:t>
      </w:r>
    </w:p>
    <w:p>
      <w:pPr>
        <w:pStyle w:val="Normal"/>
        <w:shd w:val="clear" w:color="auto" w:fill="FFFFFF"/>
        <w:tabs>
          <w:tab w:val="clear" w:pos="708"/>
          <w:tab w:val="left" w:pos="142" w:leader="none"/>
          <w:tab w:val="left" w:pos="284" w:leader="none"/>
          <w:tab w:val="left" w:pos="851" w:leader="none"/>
        </w:tabs>
        <w:spacing w:lineRule="auto" w:line="240"/>
        <w:ind w:right="-822" w:hanging="0"/>
        <w:jc w:val="both"/>
        <w:rPr>
          <w:rFonts w:ascii="Arial" w:hAnsi="Arial"/>
        </w:rPr>
      </w:pPr>
      <w:r>
        <w:rPr>
          <w:rFonts w:cs="Times New Roman" w:ascii="Arial" w:hAnsi="Arial"/>
          <w:b/>
          <w:sz w:val="24"/>
          <w:szCs w:val="24"/>
        </w:rPr>
        <w:t>1.3</w:t>
      </w:r>
      <w:r>
        <w:rPr>
          <w:rFonts w:cs="Times New Roman" w:ascii="Arial" w:hAnsi="Arial"/>
          <w:b/>
          <w:i/>
          <w:sz w:val="24"/>
          <w:szCs w:val="24"/>
        </w:rPr>
        <w:t>.</w:t>
      </w:r>
      <w:r>
        <w:rPr>
          <w:rFonts w:cs="Times New Roman" w:ascii="Arial" w:hAnsi="Arial"/>
          <w:i/>
          <w:sz w:val="24"/>
          <w:szCs w:val="24"/>
        </w:rPr>
        <w:t xml:space="preserve"> Warstwa tematyczna STACJE TRANSFORMATOROWE</w:t>
      </w:r>
    </w:p>
    <w:p>
      <w:pPr>
        <w:pStyle w:val="Normal"/>
        <w:shd w:val="clear" w:color="auto" w:fill="FFFFFF"/>
        <w:tabs>
          <w:tab w:val="clear" w:pos="708"/>
          <w:tab w:val="left" w:pos="142" w:leader="none"/>
          <w:tab w:val="left" w:pos="284" w:leader="none"/>
          <w:tab w:val="left" w:pos="851" w:leader="none"/>
        </w:tabs>
        <w:spacing w:lineRule="auto" w:line="240"/>
        <w:ind w:right="-822" w:hanging="0"/>
        <w:jc w:val="both"/>
        <w:rPr>
          <w:rFonts w:ascii="Arial" w:hAnsi="Arial"/>
        </w:rPr>
      </w:pPr>
      <w:r>
        <w:rPr>
          <w:rFonts w:cs="Times New Roman" w:ascii="Arial" w:hAnsi="Arial"/>
          <w:sz w:val="24"/>
          <w:szCs w:val="24"/>
        </w:rPr>
        <w:t>- jednolity, niepowtarzalny numer transformatora</w:t>
      </w:r>
    </w:p>
    <w:p>
      <w:pPr>
        <w:pStyle w:val="Normal"/>
        <w:shd w:val="clear" w:color="auto" w:fill="FFFFFF"/>
        <w:tabs>
          <w:tab w:val="clear" w:pos="708"/>
          <w:tab w:val="left" w:pos="142" w:leader="none"/>
          <w:tab w:val="left" w:pos="284" w:leader="none"/>
          <w:tab w:val="left" w:pos="851" w:leader="none"/>
        </w:tabs>
        <w:spacing w:lineRule="auto" w:line="240"/>
        <w:ind w:right="-822" w:hanging="0"/>
        <w:jc w:val="both"/>
        <w:rPr>
          <w:rFonts w:ascii="Arial" w:hAnsi="Arial"/>
        </w:rPr>
      </w:pPr>
      <w:r>
        <w:rPr>
          <w:rFonts w:cs="Times New Roman" w:ascii="Arial" w:hAnsi="Arial"/>
          <w:sz w:val="24"/>
          <w:szCs w:val="24"/>
        </w:rPr>
        <w:t>- oznakowanie stacji trafo</w:t>
      </w:r>
    </w:p>
    <w:p>
      <w:pPr>
        <w:pStyle w:val="Normal"/>
        <w:shd w:val="clear" w:color="auto" w:fill="FFFFFF"/>
        <w:tabs>
          <w:tab w:val="clear" w:pos="708"/>
          <w:tab w:val="left" w:pos="142" w:leader="none"/>
          <w:tab w:val="left" w:pos="284" w:leader="none"/>
          <w:tab w:val="left" w:pos="851" w:leader="none"/>
        </w:tabs>
        <w:spacing w:lineRule="auto" w:line="240"/>
        <w:ind w:right="-822" w:hanging="0"/>
        <w:jc w:val="both"/>
        <w:rPr>
          <w:rFonts w:ascii="Arial" w:hAnsi="Arial"/>
        </w:rPr>
      </w:pPr>
      <w:r>
        <w:rPr>
          <w:rFonts w:cs="Times New Roman" w:ascii="Arial" w:hAnsi="Arial"/>
          <w:sz w:val="24"/>
          <w:szCs w:val="24"/>
        </w:rPr>
        <w:t>- konstrukcja (napowietrzna, murowana)</w:t>
      </w:r>
    </w:p>
    <w:p>
      <w:pPr>
        <w:pStyle w:val="Normal"/>
        <w:shd w:val="clear" w:color="auto" w:fill="FFFFFF"/>
        <w:tabs>
          <w:tab w:val="clear" w:pos="708"/>
          <w:tab w:val="left" w:pos="142" w:leader="none"/>
          <w:tab w:val="left" w:pos="284" w:leader="none"/>
          <w:tab w:val="left" w:pos="851" w:leader="none"/>
        </w:tabs>
        <w:spacing w:lineRule="auto" w:line="240"/>
        <w:ind w:right="-822" w:hanging="0"/>
        <w:jc w:val="both"/>
        <w:rPr>
          <w:rFonts w:ascii="Arial" w:hAnsi="Arial"/>
        </w:rPr>
      </w:pPr>
      <w:r>
        <w:rPr>
          <w:rFonts w:cs="Times New Roman" w:ascii="Arial" w:hAnsi="Arial"/>
          <w:sz w:val="24"/>
          <w:szCs w:val="24"/>
        </w:rPr>
        <w:t>- lokalizację stacji ( współrzędne X,Y )</w:t>
      </w:r>
    </w:p>
    <w:p>
      <w:pPr>
        <w:pStyle w:val="Tekstpodstawowy21"/>
        <w:jc w:val="both"/>
        <w:rPr>
          <w:rFonts w:ascii="Arial" w:hAnsi="Arial"/>
        </w:rPr>
      </w:pPr>
      <w:r>
        <w:rPr>
          <w:rFonts w:ascii="Arial" w:hAnsi="Arial"/>
          <w:sz w:val="24"/>
        </w:rPr>
        <w:tab/>
        <w:tab/>
      </w:r>
    </w:p>
    <w:p>
      <w:pPr>
        <w:pStyle w:val="Tekstpodstawowy21"/>
        <w:jc w:val="both"/>
        <w:rPr>
          <w:rFonts w:ascii="Arial" w:hAnsi="Arial"/>
          <w:sz w:val="24"/>
        </w:rPr>
      </w:pPr>
      <w:r>
        <w:rPr>
          <w:rFonts w:ascii="Arial" w:hAnsi="Arial"/>
          <w:sz w:val="24"/>
        </w:rPr>
      </w:r>
    </w:p>
    <w:p>
      <w:pPr>
        <w:pStyle w:val="Tekstpodstawowy21"/>
        <w:jc w:val="both"/>
        <w:rPr>
          <w:rFonts w:ascii="Arial" w:hAnsi="Arial"/>
        </w:rPr>
      </w:pPr>
      <w:r>
        <w:rPr>
          <w:rFonts w:ascii="Arial" w:hAnsi="Arial"/>
          <w:b/>
          <w:sz w:val="24"/>
        </w:rPr>
        <w:t>Zakres robót objętych specyfikacją</w:t>
      </w:r>
    </w:p>
    <w:p>
      <w:pPr>
        <w:pStyle w:val="Tekstpodstawowy21"/>
        <w:jc w:val="both"/>
        <w:rPr>
          <w:rFonts w:ascii="Arial" w:hAnsi="Arial"/>
        </w:rPr>
      </w:pPr>
      <w:r>
        <w:rPr>
          <w:rFonts w:ascii="Arial" w:hAnsi="Arial"/>
          <w:sz w:val="24"/>
        </w:rPr>
        <w:t>Ustalenia zawarte w niniejszej specyfikacji dotyczą zasad prowadzenia robót związanych z remontem oświetlenia na drogach publicznych istniejących.</w:t>
      </w:r>
    </w:p>
    <w:p>
      <w:pPr>
        <w:pStyle w:val="Tekstpodstawowy21"/>
        <w:jc w:val="both"/>
        <w:rPr>
          <w:rFonts w:ascii="Arial" w:hAnsi="Arial"/>
        </w:rPr>
      </w:pPr>
      <w:r>
        <w:rPr>
          <w:rFonts w:ascii="Arial" w:hAnsi="Arial"/>
          <w:sz w:val="24"/>
        </w:rPr>
        <w:tab/>
        <w:tab/>
      </w:r>
    </w:p>
    <w:p>
      <w:pPr>
        <w:pStyle w:val="Tekstpodstawowy21"/>
        <w:jc w:val="both"/>
        <w:rPr>
          <w:rFonts w:ascii="Arial" w:hAnsi="Arial"/>
        </w:rPr>
      </w:pPr>
      <w:r>
        <w:rPr>
          <w:rFonts w:ascii="Arial" w:hAnsi="Arial"/>
          <w:b/>
          <w:sz w:val="24"/>
        </w:rPr>
        <w:t>Kody CPV</w:t>
      </w:r>
    </w:p>
    <w:p>
      <w:pPr>
        <w:pStyle w:val="Tekstpodstawowy21"/>
        <w:jc w:val="both"/>
        <w:rPr>
          <w:rFonts w:ascii="Arial" w:hAnsi="Arial"/>
        </w:rPr>
      </w:pPr>
      <w:r>
        <w:rPr>
          <w:rFonts w:ascii="Arial" w:hAnsi="Arial"/>
          <w:sz w:val="24"/>
        </w:rPr>
        <w:t>W robotach remontowych oświetlenia ulicznego objętych opracowaniem występują kody CPV:</w:t>
      </w:r>
    </w:p>
    <w:p>
      <w:pPr>
        <w:pStyle w:val="Tekstpodstawowy21"/>
        <w:jc w:val="both"/>
        <w:rPr>
          <w:rFonts w:ascii="Arial" w:hAnsi="Arial"/>
        </w:rPr>
      </w:pPr>
      <w:r>
        <w:rPr>
          <w:rFonts w:ascii="Arial" w:hAnsi="Arial"/>
          <w:sz w:val="24"/>
        </w:rPr>
        <w:t>- słownictwo główne CPV 45.31.61.10-9</w:t>
      </w:r>
    </w:p>
    <w:p>
      <w:pPr>
        <w:pStyle w:val="Tekstpodstawowy21"/>
        <w:jc w:val="both"/>
        <w:rPr>
          <w:rFonts w:ascii="Arial" w:hAnsi="Arial"/>
        </w:rPr>
      </w:pPr>
      <w:r>
        <w:rPr>
          <w:rFonts w:ascii="Arial" w:hAnsi="Arial"/>
          <w:b/>
          <w:sz w:val="24"/>
        </w:rPr>
        <w:t>Określenia podstawowe:</w:t>
      </w:r>
    </w:p>
    <w:p>
      <w:pPr>
        <w:pStyle w:val="Tekstpodstawowy21"/>
        <w:jc w:val="both"/>
        <w:rPr>
          <w:rFonts w:ascii="Arial" w:hAnsi="Arial"/>
          <w:b/>
          <w:b/>
          <w:sz w:val="24"/>
        </w:rPr>
      </w:pPr>
      <w:r>
        <w:rPr>
          <w:rFonts w:ascii="Arial" w:hAnsi="Arial"/>
          <w:b/>
          <w:sz w:val="24"/>
        </w:rPr>
      </w:r>
    </w:p>
    <w:p>
      <w:pPr>
        <w:pStyle w:val="Normal"/>
        <w:spacing w:lineRule="auto" w:line="240" w:before="0" w:after="0"/>
        <w:rPr>
          <w:rFonts w:ascii="Arial" w:hAnsi="Arial"/>
        </w:rPr>
      </w:pPr>
      <w:r>
        <w:rPr>
          <w:rFonts w:cs="TimesNewRomanPS-BoldMT" w:ascii="Arial" w:hAnsi="Arial"/>
          <w:b/>
          <w:bCs/>
          <w:sz w:val="24"/>
          <w:szCs w:val="24"/>
        </w:rPr>
        <w:t xml:space="preserve">Słup </w:t>
      </w:r>
      <w:r>
        <w:rPr>
          <w:rFonts w:cs="TimesNewRomanPSMT" w:ascii="Arial" w:hAnsi="Arial"/>
          <w:sz w:val="24"/>
          <w:szCs w:val="24"/>
        </w:rPr>
        <w:t>- Słup oświetleniowy - konstrukcja wsporcza osadzona na fundamencie żelbetowym, służąca</w:t>
      </w:r>
    </w:p>
    <w:p>
      <w:pPr>
        <w:pStyle w:val="Tekstpodstawowy21"/>
        <w:jc w:val="both"/>
        <w:rPr>
          <w:rFonts w:ascii="Arial" w:hAnsi="Arial"/>
        </w:rPr>
      </w:pPr>
      <w:r>
        <w:rPr>
          <w:rFonts w:cs="TimesNewRomanPSMT" w:ascii="Arial" w:hAnsi="Arial"/>
          <w:sz w:val="24"/>
        </w:rPr>
        <w:t>do zamocowania oprawy oświetleniowej na wysokości nie większej niż 14 m..</w:t>
      </w:r>
      <w:r>
        <w:rPr>
          <w:rFonts w:ascii="Arial" w:hAnsi="Arial"/>
          <w:sz w:val="24"/>
        </w:rPr>
        <w:tab/>
      </w:r>
      <w:r>
        <w:rPr>
          <w:rFonts w:ascii="Arial" w:hAnsi="Arial"/>
          <w:color w:val="FF0000"/>
          <w:sz w:val="24"/>
        </w:rPr>
        <w:tab/>
      </w:r>
    </w:p>
    <w:p>
      <w:pPr>
        <w:pStyle w:val="Normal"/>
        <w:spacing w:lineRule="auto" w:line="240" w:before="0" w:after="0"/>
        <w:jc w:val="both"/>
        <w:rPr>
          <w:rFonts w:ascii="Arial" w:hAnsi="Arial"/>
        </w:rPr>
      </w:pPr>
      <w:r>
        <w:rPr>
          <w:rFonts w:cs="TimesNewRomanPS-BoldMT" w:ascii="Arial" w:hAnsi="Arial"/>
          <w:b/>
          <w:bCs/>
          <w:sz w:val="24"/>
          <w:szCs w:val="24"/>
        </w:rPr>
        <w:t xml:space="preserve">Kabel </w:t>
      </w:r>
      <w:r>
        <w:rPr>
          <w:rFonts w:cs="TimesNewRomanPSMT" w:ascii="Arial" w:hAnsi="Arial"/>
          <w:sz w:val="24"/>
          <w:szCs w:val="24"/>
        </w:rPr>
        <w:t>- przewód wielożyłowy izolowany, przystosowany do przewodzenia prądu elektrycznego, mogący pracować pod i nad ziemią</w:t>
      </w:r>
    </w:p>
    <w:p>
      <w:pPr>
        <w:pStyle w:val="Normal"/>
        <w:spacing w:lineRule="auto" w:line="240" w:before="0" w:after="0"/>
        <w:jc w:val="both"/>
        <w:rPr>
          <w:rFonts w:ascii="Arial" w:hAnsi="Arial"/>
        </w:rPr>
      </w:pPr>
      <w:r>
        <w:rPr>
          <w:rFonts w:cs="TimesNewRomanPS-BoldMT" w:ascii="Arial" w:hAnsi="Arial"/>
          <w:b/>
          <w:bCs/>
          <w:sz w:val="24"/>
          <w:szCs w:val="24"/>
        </w:rPr>
        <w:t xml:space="preserve">Linia napowietrzna izolowana </w:t>
      </w:r>
      <w:r>
        <w:rPr>
          <w:rFonts w:cs="TimesNewRomanPSMT" w:ascii="Arial" w:hAnsi="Arial"/>
          <w:sz w:val="24"/>
          <w:szCs w:val="24"/>
        </w:rPr>
        <w:t>- przewód wielożyłowy izolowany, przystosowany do przewodzenia prądu elektrycznego, pracujący nad ziemią</w:t>
      </w:r>
    </w:p>
    <w:p>
      <w:pPr>
        <w:pStyle w:val="Normal"/>
        <w:spacing w:lineRule="auto" w:line="240" w:before="0" w:after="0"/>
        <w:jc w:val="both"/>
        <w:rPr>
          <w:rFonts w:ascii="Arial" w:hAnsi="Arial"/>
        </w:rPr>
      </w:pPr>
      <w:r>
        <w:rPr>
          <w:rFonts w:cs="TimesNewRomanPS-BoldMT" w:ascii="Arial" w:hAnsi="Arial"/>
          <w:b/>
          <w:bCs/>
          <w:sz w:val="24"/>
          <w:szCs w:val="24"/>
        </w:rPr>
        <w:t xml:space="preserve">Wysięgnik </w:t>
      </w:r>
      <w:r>
        <w:rPr>
          <w:rFonts w:cs="TimesNewRomanPSMT" w:ascii="Arial" w:hAnsi="Arial"/>
          <w:sz w:val="24"/>
          <w:szCs w:val="24"/>
        </w:rPr>
        <w:t>- element profilowy montowany na wierzchołku lub na boku słupa służący do zamocowania i ustawienia oprawy oświetleniowej w pozycji pracy.</w:t>
      </w:r>
    </w:p>
    <w:p>
      <w:pPr>
        <w:pStyle w:val="Normal"/>
        <w:spacing w:lineRule="auto" w:line="240" w:before="0" w:after="0"/>
        <w:jc w:val="both"/>
        <w:rPr>
          <w:rFonts w:ascii="Arial" w:hAnsi="Arial"/>
        </w:rPr>
      </w:pPr>
      <w:r>
        <w:rPr>
          <w:rFonts w:cs="TimesNewRomanPS-BoldMT" w:ascii="Arial" w:hAnsi="Arial"/>
          <w:b/>
          <w:bCs/>
          <w:sz w:val="24"/>
          <w:szCs w:val="24"/>
        </w:rPr>
        <w:t xml:space="preserve">Oprawa oświetleniowa </w:t>
      </w:r>
      <w:r>
        <w:rPr>
          <w:rFonts w:cs="TimesNewRomanPSMT" w:ascii="Arial" w:hAnsi="Arial"/>
          <w:sz w:val="24"/>
          <w:szCs w:val="24"/>
        </w:rPr>
        <w:t>- urządzenie służące do rozdziału, filtracji i przekształcania strumienia świetlnego wysyłanego przez źródło światła, zawierające wszystkie niezbędne elementy do przymocowania i połączenia z instalacją elektryczną.</w:t>
      </w:r>
    </w:p>
    <w:p>
      <w:pPr>
        <w:pStyle w:val="Normal"/>
        <w:spacing w:lineRule="auto" w:line="240" w:before="0" w:after="0"/>
        <w:jc w:val="both"/>
        <w:rPr>
          <w:rFonts w:ascii="Arial" w:hAnsi="Arial"/>
        </w:rPr>
      </w:pPr>
      <w:r>
        <w:rPr>
          <w:rFonts w:cs="TimesNewRomanPS-BoldMT" w:ascii="Arial" w:hAnsi="Arial"/>
          <w:b/>
          <w:bCs/>
          <w:sz w:val="24"/>
          <w:szCs w:val="24"/>
        </w:rPr>
        <w:t xml:space="preserve">Fundament </w:t>
      </w:r>
      <w:r>
        <w:rPr>
          <w:rFonts w:cs="TimesNewRomanPSMT" w:ascii="Arial" w:hAnsi="Arial"/>
          <w:sz w:val="24"/>
          <w:szCs w:val="24"/>
        </w:rPr>
        <w:t>- konstrukcja betonowa zagłębiona w ziemi, służąca do ustawienia słupa lub szafy oświetleniowej.</w:t>
      </w:r>
    </w:p>
    <w:p>
      <w:pPr>
        <w:pStyle w:val="Normal"/>
        <w:spacing w:lineRule="auto" w:line="240" w:before="0" w:after="0"/>
        <w:jc w:val="both"/>
        <w:rPr>
          <w:rFonts w:ascii="Arial" w:hAnsi="Arial"/>
        </w:rPr>
      </w:pPr>
      <w:r>
        <w:rPr>
          <w:rFonts w:cs="TimesNewRomanPS-BoldMT" w:ascii="Arial" w:hAnsi="Arial"/>
          <w:b/>
          <w:bCs/>
          <w:sz w:val="24"/>
          <w:szCs w:val="24"/>
        </w:rPr>
        <w:t xml:space="preserve">Szafa oświetleniowa </w:t>
      </w:r>
      <w:r>
        <w:rPr>
          <w:rFonts w:cs="TimesNewRomanPSMT" w:ascii="Arial" w:hAnsi="Arial"/>
          <w:sz w:val="24"/>
          <w:szCs w:val="24"/>
        </w:rPr>
        <w:t>- urządzenie rozdzielczo-sterownicze bezpośrednio zasilające instalacje oświetleniowe.</w:t>
      </w:r>
    </w:p>
    <w:p>
      <w:pPr>
        <w:pStyle w:val="Normal"/>
        <w:spacing w:lineRule="auto" w:line="240" w:before="0" w:after="0"/>
        <w:jc w:val="both"/>
        <w:rPr>
          <w:rFonts w:ascii="Arial" w:hAnsi="Arial"/>
        </w:rPr>
      </w:pPr>
      <w:r>
        <w:rPr>
          <w:rFonts w:cs="TimesNewRomanPS-BoldMT" w:ascii="Arial" w:hAnsi="Arial"/>
          <w:b/>
          <w:bCs/>
          <w:sz w:val="24"/>
          <w:szCs w:val="24"/>
        </w:rPr>
        <w:t xml:space="preserve">Osprzęt linii </w:t>
      </w:r>
      <w:r>
        <w:rPr>
          <w:rFonts w:cs="TimesNewRomanPSMT" w:ascii="Arial" w:hAnsi="Arial"/>
          <w:sz w:val="24"/>
          <w:szCs w:val="24"/>
        </w:rPr>
        <w:t>- zbiór elementów przeznaczonych do łączenia i zakończenia przewodów.</w:t>
      </w:r>
    </w:p>
    <w:p>
      <w:pPr>
        <w:pStyle w:val="Normal"/>
        <w:spacing w:lineRule="auto" w:line="240" w:before="0" w:after="0"/>
        <w:jc w:val="both"/>
        <w:rPr>
          <w:rFonts w:ascii="Arial" w:hAnsi="Arial"/>
        </w:rPr>
      </w:pPr>
      <w:r>
        <w:rPr>
          <w:rFonts w:cs="TimesNewRomanPS-BoldMT" w:ascii="Arial" w:hAnsi="Arial"/>
          <w:b/>
          <w:bCs/>
          <w:sz w:val="24"/>
          <w:szCs w:val="24"/>
        </w:rPr>
        <w:t xml:space="preserve">Skrzyżowanie </w:t>
      </w:r>
      <w:r>
        <w:rPr>
          <w:rFonts w:cs="TimesNewRomanPSMT" w:ascii="Arial" w:hAnsi="Arial"/>
          <w:sz w:val="24"/>
          <w:szCs w:val="24"/>
        </w:rPr>
        <w:t>- takie miejsce na trasie linii , w którym jakakolwiek część rzutu poziomego linii, przecina lub pokrywa jakąkolwiek część rzutu poziomego innej linii lub innego urządzenia naziemnego.</w:t>
      </w:r>
    </w:p>
    <w:p>
      <w:pPr>
        <w:pStyle w:val="Normal"/>
        <w:spacing w:lineRule="auto" w:line="240" w:before="0" w:after="0"/>
        <w:jc w:val="both"/>
        <w:rPr>
          <w:rFonts w:ascii="Arial" w:hAnsi="Arial"/>
        </w:rPr>
      </w:pPr>
      <w:r>
        <w:rPr>
          <w:rFonts w:cs="TimesNewRomanPS-BoldMT" w:ascii="Arial" w:hAnsi="Arial"/>
          <w:b/>
          <w:bCs/>
          <w:sz w:val="24"/>
          <w:szCs w:val="24"/>
        </w:rPr>
        <w:t xml:space="preserve">Dodatkowa ochrona przeciwporażeniowa </w:t>
      </w:r>
      <w:r>
        <w:rPr>
          <w:rFonts w:cs="TimesNewRomanPSMT" w:ascii="Arial" w:hAnsi="Arial"/>
          <w:sz w:val="24"/>
          <w:szCs w:val="24"/>
        </w:rPr>
        <w:t xml:space="preserve">- ochrona części przewodzących, dostępnych </w:t>
        <w:br/>
        <w:t>w wypadku pojawienia się na nich napięcia w warunkach zakłóceniowych.</w:t>
      </w:r>
    </w:p>
    <w:p>
      <w:pPr>
        <w:pStyle w:val="Tekstpodstawowy21"/>
        <w:jc w:val="both"/>
        <w:rPr>
          <w:rFonts w:ascii="Arial" w:hAnsi="Arial"/>
        </w:rPr>
      </w:pPr>
      <w:r>
        <w:rPr>
          <w:rFonts w:ascii="Arial" w:hAnsi="Arial"/>
          <w:sz w:val="24"/>
        </w:rPr>
        <w:tab/>
        <w:tab/>
        <w:tab/>
        <w:tab/>
      </w:r>
    </w:p>
    <w:p>
      <w:pPr>
        <w:pStyle w:val="Normal"/>
        <w:rPr>
          <w:rFonts w:ascii="Arial" w:hAnsi="Arial"/>
        </w:rPr>
      </w:pPr>
      <w:r>
        <w:rPr>
          <w:rFonts w:cs="Times New Roman" w:ascii="Arial" w:hAnsi="Arial"/>
          <w:b/>
          <w:sz w:val="24"/>
          <w:szCs w:val="24"/>
        </w:rPr>
        <w:t>Ogólne wymagania dotyczące robót</w:t>
      </w:r>
    </w:p>
    <w:p>
      <w:pPr>
        <w:pStyle w:val="Normal"/>
        <w:jc w:val="both"/>
        <w:rPr>
          <w:rFonts w:ascii="Arial" w:hAnsi="Arial"/>
        </w:rPr>
      </w:pPr>
      <w:r>
        <w:rPr>
          <w:rFonts w:cs="Times New Roman" w:ascii="Arial" w:hAnsi="Arial"/>
          <w:sz w:val="24"/>
          <w:szCs w:val="24"/>
        </w:rPr>
        <w:t>Wykonawca robót jest odpowiedzialny za jakość wykonywania robót oraz ich zgodność z dokumentacją. Do obowiązków wykonawcy należy:</w:t>
      </w:r>
    </w:p>
    <w:p>
      <w:pPr>
        <w:pStyle w:val="NoSpacing"/>
        <w:jc w:val="both"/>
        <w:rPr>
          <w:rFonts w:ascii="Arial" w:hAnsi="Arial" w:cs="Times New Roman"/>
          <w:b/>
          <w:b/>
          <w:sz w:val="16"/>
          <w:szCs w:val="16"/>
        </w:rPr>
      </w:pPr>
      <w:r>
        <w:rPr>
          <w:rFonts w:cs="Times New Roman" w:ascii="Arial" w:hAnsi="Arial"/>
          <w:b/>
          <w:sz w:val="16"/>
          <w:szCs w:val="16"/>
        </w:rPr>
      </w:r>
    </w:p>
    <w:p>
      <w:pPr>
        <w:pStyle w:val="NoSpacing"/>
        <w:jc w:val="both"/>
        <w:rPr>
          <w:rFonts w:ascii="Arial" w:hAnsi="Arial"/>
        </w:rPr>
      </w:pPr>
      <w:r>
        <w:rPr>
          <w:rFonts w:cs="Times New Roman" w:ascii="Arial" w:hAnsi="Arial"/>
          <w:sz w:val="24"/>
          <w:szCs w:val="24"/>
        </w:rPr>
        <w:t>- dokonać odbioru terenu budowy,</w:t>
      </w:r>
    </w:p>
    <w:p>
      <w:pPr>
        <w:pStyle w:val="NoSpacing"/>
        <w:jc w:val="both"/>
        <w:rPr>
          <w:rFonts w:ascii="Arial" w:hAnsi="Arial"/>
        </w:rPr>
      </w:pPr>
      <w:r>
        <w:rPr>
          <w:rFonts w:cs="Times New Roman" w:ascii="Arial" w:hAnsi="Arial"/>
          <w:sz w:val="24"/>
          <w:szCs w:val="24"/>
        </w:rPr>
        <w:t>- zabezpieczyć teren prac,</w:t>
      </w:r>
    </w:p>
    <w:p>
      <w:pPr>
        <w:pStyle w:val="NoSpacing"/>
        <w:jc w:val="both"/>
        <w:rPr>
          <w:rFonts w:ascii="Arial" w:hAnsi="Arial"/>
        </w:rPr>
      </w:pPr>
      <w:r>
        <w:rPr>
          <w:rFonts w:cs="Times New Roman" w:ascii="Arial" w:hAnsi="Arial"/>
          <w:sz w:val="24"/>
          <w:szCs w:val="24"/>
        </w:rPr>
        <w:t xml:space="preserve">- wykonać roboty zgodnie z dokumentacją, w czasie i terminie uzgodnionym </w:t>
        <w:br/>
        <w:t>z administratorem.</w:t>
      </w:r>
    </w:p>
    <w:p>
      <w:pPr>
        <w:pStyle w:val="NoSpacing"/>
        <w:jc w:val="both"/>
        <w:rPr>
          <w:rFonts w:ascii="Arial" w:hAnsi="Arial"/>
        </w:rPr>
      </w:pPr>
      <w:r>
        <w:rPr>
          <w:rFonts w:cs="Times New Roman" w:ascii="Arial" w:hAnsi="Arial"/>
          <w:sz w:val="24"/>
          <w:szCs w:val="24"/>
        </w:rPr>
        <w:t>- stosować przepisy p. pożarowe,</w:t>
      </w:r>
    </w:p>
    <w:p>
      <w:pPr>
        <w:pStyle w:val="NoSpacing"/>
        <w:jc w:val="both"/>
        <w:rPr>
          <w:rFonts w:ascii="Arial" w:hAnsi="Arial"/>
        </w:rPr>
      </w:pPr>
      <w:r>
        <w:rPr>
          <w:rFonts w:cs="Times New Roman" w:ascii="Arial" w:hAnsi="Arial"/>
          <w:sz w:val="24"/>
          <w:szCs w:val="24"/>
        </w:rPr>
        <w:t>- chronić własność publiczną i prywatną,</w:t>
      </w:r>
    </w:p>
    <w:p>
      <w:pPr>
        <w:pStyle w:val="NoSpacing"/>
        <w:jc w:val="both"/>
        <w:rPr>
          <w:rFonts w:ascii="Arial" w:hAnsi="Arial"/>
        </w:rPr>
      </w:pPr>
      <w:r>
        <w:rPr>
          <w:rFonts w:cs="Times New Roman" w:ascii="Arial" w:hAnsi="Arial"/>
          <w:sz w:val="24"/>
          <w:szCs w:val="24"/>
        </w:rPr>
        <w:t>- stosować się do przepisów BHP,</w:t>
      </w:r>
    </w:p>
    <w:p>
      <w:pPr>
        <w:pStyle w:val="NoSpacing"/>
        <w:jc w:val="both"/>
        <w:rPr>
          <w:rFonts w:ascii="Arial" w:hAnsi="Arial"/>
        </w:rPr>
      </w:pPr>
      <w:r>
        <w:rPr>
          <w:rFonts w:cs="Times New Roman" w:ascii="Arial" w:hAnsi="Arial"/>
          <w:sz w:val="24"/>
          <w:szCs w:val="24"/>
        </w:rPr>
        <w:t>- przestrzegać obowiązujące przepisy prawne,</w:t>
      </w:r>
    </w:p>
    <w:p>
      <w:pPr>
        <w:pStyle w:val="Tekstpodstawowy21"/>
        <w:jc w:val="both"/>
        <w:rPr>
          <w:rFonts w:ascii="Arial" w:hAnsi="Arial"/>
        </w:rPr>
      </w:pPr>
      <w:r>
        <w:rPr>
          <w:rFonts w:ascii="Arial" w:hAnsi="Arial"/>
          <w:sz w:val="24"/>
        </w:rPr>
        <w:tab/>
        <w:tab/>
      </w:r>
    </w:p>
    <w:p>
      <w:pPr>
        <w:pStyle w:val="Tekstpodstawowy21"/>
        <w:jc w:val="both"/>
        <w:rPr>
          <w:rFonts w:ascii="Arial" w:hAnsi="Arial"/>
        </w:rPr>
      </w:pPr>
      <w:r>
        <w:rPr>
          <w:rFonts w:ascii="Arial" w:hAnsi="Arial"/>
          <w:b/>
          <w:sz w:val="24"/>
        </w:rPr>
        <w:t>Zgodność robót z opisem przedmiotu zamówienia</w:t>
      </w:r>
    </w:p>
    <w:p>
      <w:pPr>
        <w:pStyle w:val="Tekstpodstawowy21"/>
        <w:jc w:val="both"/>
        <w:rPr>
          <w:rFonts w:ascii="Arial" w:hAnsi="Arial"/>
        </w:rPr>
      </w:pPr>
      <w:r>
        <w:rPr>
          <w:rFonts w:ascii="Arial" w:hAnsi="Arial"/>
          <w:sz w:val="24"/>
        </w:rPr>
        <w:t>Dokumentacja przetargowa oraz dodatkowe dokumenty przekazane przez Zamawiającego Wykonawcy stanowią część umowy, a wymagania wyszczególnione w choćby jednym z nich są obowiązujące dla Wykonawcy tak jakby zawarte były w całej dokumentacji. Wykonawca nie może wykorzystywać błędów lub opuszczeń w dokumentach kontraktowych, a o ich wykryciu winien natychmiast powiadomić Zamawiającego, który dokona odpowiednich zmian i poprawek. Wszystkie wykonane roboty i dostarczone materiały będą zgodne z dokumentacją i wymogami przetargowymi. W przypadku, gdy materiały lub roboty nie będą w pełni zgodne z dokumentacją oraz wymogami przetargowymi i wpłynie to na niezadowalającą jakość elementu budowli, to takie materiały zostaną zastąpione innymi, a roboty rozebrane i wykonane ponownie na koszt Wykonawcy.</w:t>
      </w:r>
    </w:p>
    <w:p>
      <w:pPr>
        <w:pStyle w:val="Tekstpodstawowy21"/>
        <w:jc w:val="both"/>
        <w:rPr>
          <w:rFonts w:ascii="Arial" w:hAnsi="Arial"/>
        </w:rPr>
      </w:pPr>
      <w:r>
        <w:rPr>
          <w:rFonts w:ascii="Arial" w:hAnsi="Arial"/>
          <w:sz w:val="24"/>
        </w:rPr>
        <w:tab/>
        <w:tab/>
      </w:r>
    </w:p>
    <w:p>
      <w:pPr>
        <w:pStyle w:val="Tekstpodstawowy21"/>
        <w:jc w:val="both"/>
        <w:rPr>
          <w:rFonts w:ascii="Arial" w:hAnsi="Arial"/>
        </w:rPr>
      </w:pPr>
      <w:r>
        <w:rPr>
          <w:rFonts w:ascii="Arial" w:hAnsi="Arial"/>
          <w:b/>
          <w:sz w:val="24"/>
        </w:rPr>
        <w:t>Zabezpieczenie terenu prac</w:t>
      </w:r>
    </w:p>
    <w:p>
      <w:pPr>
        <w:pStyle w:val="Tekstpodstawowy21"/>
        <w:jc w:val="both"/>
        <w:rPr>
          <w:rFonts w:ascii="Arial" w:hAnsi="Arial"/>
        </w:rPr>
      </w:pPr>
      <w:r>
        <w:rPr>
          <w:rFonts w:ascii="Arial" w:hAnsi="Arial"/>
          <w:sz w:val="24"/>
        </w:rPr>
        <w:t>Wykonawca jest zobowiązany do utrzymania ruchu publicznego na terenie wykonywania prac, w okresie trwania realizacji kontraktu, aż do zakończenia i odbioru ostatecznego robót. Przed przystąpieniem do robót Wykonawca przedstawi Zamawiającemu do zatwierdzenia uzgodniony z odpowiednim zarządcą drogi i organem zarządzającym ruchem projekt organizacji ruchu i zabezpieczenia robót w okresie trwania budowy. W czasie wykonywania robót Wykonawca dostarczy, zainstaluje i będzie obsługiwał wszystkie tymczasowe urządzenia zabezpieczające takie jak: zapory, znaki drogowe itp., zapewniając w ten sposób bezpieczeństwo pojazdów i pieszych. Koszt zabezpieczenia terenu prac nie podlega odrębnej zapłacie i przyjmuje się, że jest włączony w cenę umowną.</w:t>
      </w:r>
    </w:p>
    <w:p>
      <w:pPr>
        <w:pStyle w:val="Tekstpodstawowy21"/>
        <w:jc w:val="both"/>
        <w:rPr>
          <w:rFonts w:ascii="Arial" w:hAnsi="Arial"/>
        </w:rPr>
      </w:pPr>
      <w:r>
        <w:rPr>
          <w:rFonts w:ascii="Arial" w:hAnsi="Arial"/>
          <w:sz w:val="24"/>
        </w:rPr>
        <w:tab/>
        <w:tab/>
      </w:r>
    </w:p>
    <w:p>
      <w:pPr>
        <w:pStyle w:val="Tekstpodstawowy21"/>
        <w:jc w:val="both"/>
        <w:rPr>
          <w:rFonts w:ascii="Arial" w:hAnsi="Arial"/>
        </w:rPr>
      </w:pPr>
      <w:r>
        <w:rPr>
          <w:rFonts w:ascii="Arial" w:hAnsi="Arial"/>
          <w:b/>
          <w:sz w:val="24"/>
        </w:rPr>
        <w:t>Ochrona środowiska w czasie wykonywania robót</w:t>
      </w:r>
    </w:p>
    <w:p>
      <w:pPr>
        <w:pStyle w:val="Tekstpodstawowy21"/>
        <w:jc w:val="both"/>
        <w:rPr>
          <w:rFonts w:ascii="Arial" w:hAnsi="Arial"/>
        </w:rPr>
      </w:pPr>
      <w:r>
        <w:rPr>
          <w:rFonts w:ascii="Arial" w:hAnsi="Arial"/>
          <w:sz w:val="24"/>
        </w:rPr>
        <w:t>Wykonawca ma obowiązek znać i stosować w czasie prowadzenia robót wszelkie przepisy dotyczące ochrony środowiska naturalnego. W okresie trwania budowy i wykańczania robót Wykonawca będzie podejmować wszelkie uzasadnione kroki mające na celu stosowanie się do przepisów i norm dotyczących ochrony środowiska na terenie i wokół terenu prac oraz będzie unikać  uszkodzeń   lub   uciążliwości   dla   osób   lub   własności   społecznej   i   innych, a wynikających ze skażenia, hałasu lub innych przyczyn powstałych w następstwie jego sposobu działania.</w:t>
      </w:r>
    </w:p>
    <w:p>
      <w:pPr>
        <w:pStyle w:val="Tekstpodstawowy21"/>
        <w:jc w:val="both"/>
        <w:rPr>
          <w:rFonts w:ascii="Arial" w:hAnsi="Arial"/>
        </w:rPr>
      </w:pPr>
      <w:r>
        <w:rPr>
          <w:rFonts w:ascii="Arial" w:hAnsi="Arial"/>
          <w:sz w:val="24"/>
        </w:rPr>
        <w:tab/>
        <w:tab/>
      </w:r>
    </w:p>
    <w:p>
      <w:pPr>
        <w:pStyle w:val="Tekstpodstawowy21"/>
        <w:jc w:val="both"/>
        <w:rPr>
          <w:rFonts w:ascii="Arial" w:hAnsi="Arial"/>
        </w:rPr>
      </w:pPr>
      <w:r>
        <w:rPr>
          <w:rFonts w:ascii="Arial" w:hAnsi="Arial"/>
          <w:b/>
          <w:sz w:val="24"/>
        </w:rPr>
        <w:t>Ochrona własności publicznej i prywatnej</w:t>
      </w:r>
    </w:p>
    <w:p>
      <w:pPr>
        <w:pStyle w:val="Tekstpodstawowy21"/>
        <w:jc w:val="both"/>
        <w:rPr>
          <w:rFonts w:ascii="Arial" w:hAnsi="Arial"/>
        </w:rPr>
      </w:pPr>
      <w:r>
        <w:rPr>
          <w:rFonts w:ascii="Arial" w:hAnsi="Arial"/>
          <w:sz w:val="24"/>
        </w:rPr>
        <w:t>Wykonawca odpowiada za ochronę instalacji na powierzchni ziemi i za urządzenia podziemne, takie jak rurociągi, kable itp. oraz uzyska od odpowiednich władz będących właścicielami tych urządzeń potwierdzenie informacji dostarczonych mu przez Zamawiającego w ramach planu ich lokalizacji. Wykonawca zapewni właściwe oznaczenie i zabezpieczenie przed uszkodzeniem tych instalacji  i urządzeń w czasie trwania prac.</w:t>
      </w:r>
    </w:p>
    <w:p>
      <w:pPr>
        <w:pStyle w:val="Tekstpodstawowy21"/>
        <w:jc w:val="both"/>
        <w:rPr>
          <w:rFonts w:ascii="Arial" w:hAnsi="Arial"/>
        </w:rPr>
      </w:pPr>
      <w:r>
        <w:rPr>
          <w:rFonts w:ascii="Arial" w:hAnsi="Arial"/>
          <w:sz w:val="24"/>
        </w:rPr>
        <w:tab/>
        <w:tab/>
      </w:r>
    </w:p>
    <w:p>
      <w:pPr>
        <w:pStyle w:val="Tekstpodstawowy21"/>
        <w:jc w:val="both"/>
        <w:rPr>
          <w:rFonts w:ascii="Arial" w:hAnsi="Arial"/>
        </w:rPr>
      </w:pPr>
      <w:r>
        <w:rPr>
          <w:rFonts w:ascii="Arial" w:hAnsi="Arial"/>
          <w:b/>
          <w:sz w:val="24"/>
        </w:rPr>
        <w:t>Bezpieczeństwo i higiena pracy</w:t>
      </w:r>
    </w:p>
    <w:p>
      <w:pPr>
        <w:pStyle w:val="Tekstpodstawowy21"/>
        <w:jc w:val="both"/>
        <w:rPr>
          <w:rFonts w:ascii="Arial" w:hAnsi="Arial"/>
        </w:rPr>
      </w:pPr>
      <w:r>
        <w:rPr>
          <w:rFonts w:ascii="Arial" w:hAnsi="Arial"/>
          <w:sz w:val="24"/>
        </w:rPr>
        <w:t>Podczas realizacji robót Wykonawca będzie przestrzegać przepisów dotyczących bezpieczeństwa  i higieny pracy. W szczególności Wykonawca ma obowiązek zadbać, aby personel nie wykonywał pracy w warunkach niebezpiecznych, szkodliwych dla zdrowia oraz nie spełniających odpowiednich wymagań sanitarnych. Wykonawca zapewni i będzie utrzymywał wszelkie urządzenia zabezpieczające, socjalne oraz sprzęt i odpowiednią odzież dla ochrony życia i zdrowia osób zatrudnionych na budowie oraz dla zapewnienia bezpieczeństwa publicznego. Uznaje się, że wszelkie koszty związane z wypełnieniem wymagań określonych powyżej nie podlegają odrębnej zapłacie i są uwzględnione w cenie umownej.</w:t>
      </w:r>
    </w:p>
    <w:p>
      <w:pPr>
        <w:pStyle w:val="Tekstpodstawowy21"/>
        <w:jc w:val="both"/>
        <w:rPr>
          <w:rFonts w:ascii="Arial" w:hAnsi="Arial"/>
        </w:rPr>
      </w:pPr>
      <w:r>
        <w:rPr>
          <w:rFonts w:ascii="Arial" w:hAnsi="Arial"/>
          <w:sz w:val="24"/>
        </w:rPr>
        <w:tab/>
        <w:tab/>
      </w:r>
    </w:p>
    <w:p>
      <w:pPr>
        <w:pStyle w:val="Tekstpodstawowy21"/>
        <w:jc w:val="both"/>
        <w:rPr>
          <w:rFonts w:ascii="Arial" w:hAnsi="Arial"/>
        </w:rPr>
      </w:pPr>
      <w:r>
        <w:rPr>
          <w:rFonts w:ascii="Arial" w:hAnsi="Arial"/>
          <w:b/>
          <w:sz w:val="24"/>
        </w:rPr>
        <w:t>Stosowanie się do prawa i innych przepisów</w:t>
      </w:r>
    </w:p>
    <w:p>
      <w:pPr>
        <w:pStyle w:val="Tekstpodstawowy21"/>
        <w:jc w:val="both"/>
        <w:rPr>
          <w:rFonts w:ascii="Arial" w:hAnsi="Arial"/>
        </w:rPr>
      </w:pPr>
      <w:r>
        <w:rPr>
          <w:rFonts w:ascii="Arial" w:hAnsi="Arial"/>
          <w:sz w:val="24"/>
        </w:rPr>
        <w:t>Wykonawca zobowiązany jest znać wszystkie przepisy wydane przez władze centralne i miejscowe oraz inne przepisy i wytyczne, które są w jakikolwiek sposób związane z robotami i będzie w pełni odpowiedzialny za przestrzeganie tych praw, przepisów i wytycznych podczas prowadzenia robót.</w:t>
      </w:r>
    </w:p>
    <w:p>
      <w:pPr>
        <w:pStyle w:val="Tekstpodstawowy21"/>
        <w:jc w:val="both"/>
        <w:rPr>
          <w:rFonts w:ascii="Arial" w:hAnsi="Arial"/>
        </w:rPr>
      </w:pPr>
      <w:r>
        <w:rPr>
          <w:rFonts w:ascii="Arial" w:hAnsi="Arial"/>
          <w:sz w:val="24"/>
        </w:rPr>
        <w:t>Wykonawca będzie przestrzegać praw patentowych i będzie w pełni odpowiedzialny za wypełnienie wszelkich wymagań prawnych odnośnie wykorzystania opatentowanych urządzeń lub metod i w sposób ciągły będzie informować Zamawiającego o swoich działaniach, przedstawiając kopie zezwoleń i inne odnośne dokumenty.</w:t>
      </w:r>
    </w:p>
    <w:p>
      <w:pPr>
        <w:pStyle w:val="Tekstpodstawowy21"/>
        <w:jc w:val="both"/>
        <w:rPr>
          <w:rFonts w:ascii="Arial" w:hAnsi="Arial"/>
          <w:sz w:val="24"/>
        </w:rPr>
      </w:pPr>
      <w:r>
        <w:rPr>
          <w:rFonts w:ascii="Arial" w:hAnsi="Arial"/>
          <w:sz w:val="24"/>
        </w:rPr>
      </w:r>
    </w:p>
    <w:p>
      <w:pPr>
        <w:pStyle w:val="Tekstpodstawowy21"/>
        <w:jc w:val="both"/>
        <w:rPr>
          <w:rFonts w:ascii="Arial" w:hAnsi="Arial"/>
        </w:rPr>
      </w:pPr>
      <w:r>
        <w:rPr>
          <w:rFonts w:ascii="Arial" w:hAnsi="Arial"/>
          <w:b/>
          <w:sz w:val="24"/>
        </w:rPr>
        <w:t>2. MATERIAŁY</w:t>
      </w:r>
    </w:p>
    <w:p>
      <w:pPr>
        <w:pStyle w:val="Tekstpodstawowy21"/>
        <w:jc w:val="both"/>
        <w:rPr>
          <w:rFonts w:ascii="Arial" w:hAnsi="Arial"/>
          <w:b/>
          <w:b/>
          <w:sz w:val="24"/>
        </w:rPr>
      </w:pPr>
      <w:r>
        <w:rPr>
          <w:rFonts w:ascii="Arial" w:hAnsi="Arial"/>
          <w:b/>
          <w:sz w:val="24"/>
        </w:rPr>
      </w:r>
    </w:p>
    <w:p>
      <w:pPr>
        <w:pStyle w:val="ListParagraph"/>
        <w:numPr>
          <w:ilvl w:val="0"/>
          <w:numId w:val="3"/>
        </w:numPr>
        <w:spacing w:lineRule="auto" w:line="240" w:before="0" w:after="0"/>
        <w:contextualSpacing/>
        <w:rPr>
          <w:rFonts w:ascii="Arial" w:hAnsi="Arial"/>
        </w:rPr>
      </w:pPr>
      <w:r>
        <w:rPr>
          <w:rFonts w:cs="TimesNewRomanPS-BoldMT" w:ascii="Arial" w:hAnsi="Arial"/>
          <w:b/>
          <w:bCs/>
          <w:sz w:val="24"/>
          <w:szCs w:val="24"/>
        </w:rPr>
        <w:t>Ogólne wymagania dotyczące materiałów</w:t>
      </w:r>
    </w:p>
    <w:p>
      <w:pPr>
        <w:pStyle w:val="ListParagraph"/>
        <w:spacing w:lineRule="auto" w:line="240" w:before="0" w:after="0"/>
        <w:ind w:left="1080" w:hanging="0"/>
        <w:contextualSpacing/>
        <w:rPr>
          <w:rFonts w:ascii="Arial" w:hAnsi="Arial" w:cs="TimesNewRomanPS-BoldMT"/>
          <w:b/>
          <w:b/>
          <w:bCs/>
          <w:sz w:val="24"/>
          <w:szCs w:val="24"/>
        </w:rPr>
      </w:pPr>
      <w:r>
        <w:rPr>
          <w:rFonts w:cs="TimesNewRomanPS-BoldMT" w:ascii="Arial" w:hAnsi="Arial"/>
          <w:b/>
          <w:bCs/>
          <w:sz w:val="24"/>
          <w:szCs w:val="24"/>
        </w:rPr>
      </w:r>
    </w:p>
    <w:p>
      <w:pPr>
        <w:pStyle w:val="Normal"/>
        <w:spacing w:lineRule="auto" w:line="240" w:before="0" w:after="0"/>
        <w:jc w:val="both"/>
        <w:rPr>
          <w:rFonts w:ascii="Arial" w:hAnsi="Arial"/>
        </w:rPr>
      </w:pPr>
      <w:r>
        <w:rPr>
          <w:rFonts w:cs="TimesNewRomanPSMT" w:ascii="Arial" w:hAnsi="Arial"/>
          <w:sz w:val="24"/>
          <w:szCs w:val="24"/>
        </w:rPr>
        <w:t xml:space="preserve">Wszystkie materiały i wyroby budowlane powinny być przeznaczone do obrotu i powszechnego stosowania w budownictwie, być zgodne z Polskimi Normami lub posiadać zgodnie z zaleceniami Zamawiającego Certyfikaty Zgodności z Polską Normą (CE ), oraz ENEC. </w:t>
      </w:r>
      <w:r>
        <w:rPr>
          <w:rFonts w:cs="TimesNewRomanPSMT" w:ascii="Arial" w:hAnsi="Arial"/>
          <w:sz w:val="24"/>
        </w:rPr>
        <w:t>Przechowywanie i składowanie materiałów zgodnie z warunkami technicznymi.</w:t>
      </w:r>
    </w:p>
    <w:p>
      <w:pPr>
        <w:pStyle w:val="Tekstpodstawowy21"/>
        <w:jc w:val="both"/>
        <w:rPr>
          <w:rFonts w:ascii="Arial" w:hAnsi="Arial"/>
          <w:b/>
          <w:b/>
          <w:sz w:val="24"/>
        </w:rPr>
      </w:pPr>
      <w:r>
        <w:rPr>
          <w:rFonts w:ascii="Arial" w:hAnsi="Arial"/>
          <w:b/>
          <w:sz w:val="24"/>
        </w:rPr>
      </w:r>
    </w:p>
    <w:p>
      <w:pPr>
        <w:pStyle w:val="ListParagraph"/>
        <w:numPr>
          <w:ilvl w:val="0"/>
          <w:numId w:val="3"/>
        </w:numPr>
        <w:spacing w:lineRule="auto" w:line="240" w:before="0" w:after="0"/>
        <w:contextualSpacing/>
        <w:rPr>
          <w:rFonts w:ascii="Arial" w:hAnsi="Arial"/>
        </w:rPr>
      </w:pPr>
      <w:r>
        <w:rPr>
          <w:rFonts w:cs="TimesNewRomanPS-BoldMT" w:ascii="Arial" w:hAnsi="Arial"/>
          <w:b/>
          <w:bCs/>
          <w:sz w:val="24"/>
          <w:szCs w:val="24"/>
        </w:rPr>
        <w:t>Rodzaje materiałów</w:t>
      </w:r>
    </w:p>
    <w:p>
      <w:pPr>
        <w:pStyle w:val="Normal"/>
        <w:spacing w:lineRule="auto" w:line="240" w:before="0" w:after="0"/>
        <w:rPr>
          <w:rFonts w:ascii="Arial" w:hAnsi="Arial" w:cs="TimesNewRomanPSMT"/>
          <w:sz w:val="24"/>
          <w:szCs w:val="24"/>
        </w:rPr>
      </w:pPr>
      <w:r>
        <w:rPr>
          <w:rFonts w:cs="TimesNewRomanPSMT" w:ascii="Arial" w:hAnsi="Arial"/>
          <w:sz w:val="24"/>
          <w:szCs w:val="24"/>
        </w:rPr>
      </w:r>
    </w:p>
    <w:p>
      <w:pPr>
        <w:pStyle w:val="Normal"/>
        <w:spacing w:lineRule="auto" w:line="240" w:before="0" w:after="0"/>
        <w:rPr>
          <w:rFonts w:ascii="Arial" w:hAnsi="Arial"/>
        </w:rPr>
      </w:pPr>
      <w:r>
        <w:rPr>
          <w:rFonts w:cs="TimesNewRomanPSMT" w:ascii="Arial" w:hAnsi="Arial"/>
          <w:sz w:val="24"/>
          <w:szCs w:val="24"/>
        </w:rPr>
        <w:t xml:space="preserve">      </w:t>
      </w:r>
      <w:r>
        <w:rPr>
          <w:rFonts w:cs="TimesNewRomanPSMT" w:ascii="Arial" w:hAnsi="Arial"/>
          <w:sz w:val="24"/>
          <w:szCs w:val="24"/>
        </w:rPr>
        <w:t>Materiały i prefabrykaty stosowane przy robotach objętych niniejszą specyfikacją to:</w:t>
      </w:r>
    </w:p>
    <w:p>
      <w:pPr>
        <w:pStyle w:val="Normal"/>
        <w:spacing w:lineRule="auto" w:line="240" w:before="0" w:after="0"/>
        <w:rPr>
          <w:rFonts w:ascii="Arial" w:hAnsi="Arial" w:cs="TimesNewRomanPSMT"/>
          <w:sz w:val="24"/>
          <w:szCs w:val="24"/>
        </w:rPr>
      </w:pPr>
      <w:r>
        <w:rPr>
          <w:rFonts w:cs="TimesNewRomanPSMT" w:ascii="Arial" w:hAnsi="Arial"/>
          <w:sz w:val="24"/>
          <w:szCs w:val="24"/>
        </w:rPr>
      </w:r>
    </w:p>
    <w:p>
      <w:pPr>
        <w:pStyle w:val="Normal"/>
        <w:spacing w:lineRule="auto" w:line="240" w:before="0" w:after="0"/>
        <w:rPr>
          <w:rFonts w:ascii="Arial" w:hAnsi="Arial"/>
        </w:rPr>
      </w:pPr>
      <w:r>
        <w:rPr>
          <w:rFonts w:cs="TimesNewRomanPS-BoldMT" w:ascii="Arial" w:hAnsi="Arial"/>
          <w:b/>
          <w:bCs/>
          <w:sz w:val="24"/>
          <w:szCs w:val="24"/>
        </w:rPr>
        <w:t>Linia napowietrzna izolowana</w:t>
      </w:r>
    </w:p>
    <w:p>
      <w:pPr>
        <w:pStyle w:val="Normal"/>
        <w:spacing w:lineRule="auto" w:line="240" w:before="0" w:after="0"/>
        <w:rPr>
          <w:rFonts w:ascii="Arial" w:hAnsi="Arial" w:cs="TimesNewRomanPS-BoldMT"/>
          <w:b/>
          <w:b/>
          <w:bCs/>
          <w:sz w:val="24"/>
          <w:szCs w:val="24"/>
        </w:rPr>
      </w:pPr>
      <w:r>
        <w:rPr>
          <w:rFonts w:cs="TimesNewRomanPS-BoldMT" w:ascii="Arial" w:hAnsi="Arial"/>
          <w:b/>
          <w:bCs/>
          <w:sz w:val="24"/>
          <w:szCs w:val="24"/>
        </w:rPr>
      </w:r>
    </w:p>
    <w:p>
      <w:pPr>
        <w:pStyle w:val="Tekstpodstawowy21"/>
        <w:jc w:val="both"/>
        <w:rPr>
          <w:rFonts w:ascii="Arial" w:hAnsi="Arial"/>
        </w:rPr>
      </w:pPr>
      <w:r>
        <w:rPr>
          <w:rFonts w:cs="TimesNewRomanPSMT" w:ascii="Arial" w:hAnsi="Arial"/>
          <w:sz w:val="24"/>
        </w:rPr>
        <w:t>Linka izolowana AsXSn 2 x 25 mm</w:t>
      </w:r>
      <w:r>
        <w:rPr>
          <w:rFonts w:cs="TimesNewRomanPSMT" w:ascii="Arial" w:hAnsi="Arial"/>
          <w:sz w:val="16"/>
          <w:szCs w:val="16"/>
        </w:rPr>
        <w:t xml:space="preserve">2 </w:t>
      </w:r>
      <w:r>
        <w:rPr>
          <w:rFonts w:cs="TimesNewRomanPSMT" w:ascii="Arial" w:hAnsi="Arial"/>
          <w:sz w:val="24"/>
        </w:rPr>
        <w:t>.</w:t>
      </w:r>
    </w:p>
    <w:p>
      <w:pPr>
        <w:pStyle w:val="Tekstpodstawowy21"/>
        <w:jc w:val="both"/>
        <w:rPr>
          <w:rFonts w:ascii="Arial" w:hAnsi="Arial"/>
        </w:rPr>
      </w:pPr>
      <w:r>
        <w:rPr>
          <w:rFonts w:ascii="Arial" w:hAnsi="Arial"/>
          <w:sz w:val="24"/>
        </w:rPr>
        <w:tab/>
      </w:r>
    </w:p>
    <w:p>
      <w:pPr>
        <w:pStyle w:val="Normal"/>
        <w:spacing w:lineRule="auto" w:line="240" w:before="0" w:after="0"/>
        <w:rPr>
          <w:rFonts w:ascii="Arial" w:hAnsi="Arial"/>
        </w:rPr>
      </w:pPr>
      <w:r>
        <w:rPr>
          <w:rFonts w:cs="TimesNewRomanPS-BoldMT" w:ascii="Arial" w:hAnsi="Arial"/>
          <w:b/>
          <w:bCs/>
          <w:sz w:val="24"/>
          <w:szCs w:val="24"/>
        </w:rPr>
        <w:t>Zabezpieczenie oprawy:</w:t>
      </w:r>
    </w:p>
    <w:p>
      <w:pPr>
        <w:pStyle w:val="Normal"/>
        <w:spacing w:lineRule="auto" w:line="240" w:before="0" w:after="0"/>
        <w:rPr>
          <w:rFonts w:ascii="Arial" w:hAnsi="Arial" w:cs="TimesNewRomanPS-BoldMT"/>
          <w:b/>
          <w:b/>
          <w:bCs/>
          <w:sz w:val="24"/>
          <w:szCs w:val="24"/>
        </w:rPr>
      </w:pPr>
      <w:r>
        <w:rPr>
          <w:rFonts w:cs="TimesNewRomanPS-BoldMT" w:ascii="Arial" w:hAnsi="Arial"/>
          <w:b/>
          <w:bCs/>
          <w:sz w:val="24"/>
          <w:szCs w:val="24"/>
        </w:rPr>
      </w:r>
    </w:p>
    <w:p>
      <w:pPr>
        <w:pStyle w:val="Normal"/>
        <w:spacing w:lineRule="auto" w:line="240" w:before="0" w:after="0"/>
        <w:rPr>
          <w:rFonts w:ascii="Arial" w:hAnsi="Arial"/>
        </w:rPr>
      </w:pPr>
      <w:r>
        <w:rPr>
          <w:rFonts w:cs="TimesNewRomanPSMT" w:ascii="Arial" w:hAnsi="Arial"/>
          <w:sz w:val="24"/>
          <w:szCs w:val="24"/>
        </w:rPr>
        <w:t xml:space="preserve">bezpieczniki BZO z wkładką 6A </w:t>
      </w:r>
    </w:p>
    <w:p>
      <w:pPr>
        <w:pStyle w:val="Normal"/>
        <w:spacing w:lineRule="auto" w:line="240" w:before="0" w:after="0"/>
        <w:rPr>
          <w:rFonts w:ascii="Arial" w:hAnsi="Arial" w:cs="TimesNewRomanPS-BoldMT"/>
          <w:b/>
          <w:b/>
          <w:bCs/>
          <w:sz w:val="24"/>
          <w:szCs w:val="24"/>
        </w:rPr>
      </w:pPr>
      <w:r>
        <w:rPr>
          <w:rFonts w:cs="TimesNewRomanPS-BoldMT" w:ascii="Arial" w:hAnsi="Arial"/>
          <w:b/>
          <w:bCs/>
          <w:sz w:val="24"/>
          <w:szCs w:val="24"/>
        </w:rPr>
      </w:r>
    </w:p>
    <w:p>
      <w:pPr>
        <w:pStyle w:val="Normal"/>
        <w:spacing w:lineRule="auto" w:line="240" w:before="0" w:after="0"/>
        <w:rPr>
          <w:rFonts w:ascii="Arial" w:hAnsi="Arial"/>
        </w:rPr>
      </w:pPr>
      <w:r>
        <w:rPr>
          <w:rFonts w:cs="TimesNewRomanPS-BoldMT" w:ascii="Arial" w:hAnsi="Arial"/>
          <w:b/>
          <w:bCs/>
          <w:sz w:val="24"/>
          <w:szCs w:val="24"/>
        </w:rPr>
        <w:t>Oprawy oświetleniowe drogowe</w:t>
      </w:r>
    </w:p>
    <w:p>
      <w:pPr>
        <w:pStyle w:val="Normal"/>
        <w:spacing w:lineRule="auto" w:line="240" w:before="0" w:after="0"/>
        <w:rPr>
          <w:rFonts w:ascii="Arial" w:hAnsi="Arial" w:cs="TimesNewRomanPS-BoldMT"/>
          <w:b/>
          <w:b/>
          <w:bCs/>
          <w:sz w:val="24"/>
          <w:szCs w:val="24"/>
        </w:rPr>
      </w:pPr>
      <w:r>
        <w:rPr>
          <w:rFonts w:cs="TimesNewRomanPS-BoldMT" w:ascii="Arial" w:hAnsi="Arial"/>
          <w:b/>
          <w:bCs/>
          <w:sz w:val="24"/>
          <w:szCs w:val="24"/>
        </w:rPr>
      </w:r>
    </w:p>
    <w:p>
      <w:pPr>
        <w:pStyle w:val="Normal"/>
        <w:jc w:val="both"/>
        <w:rPr>
          <w:rFonts w:ascii="Arial" w:hAnsi="Arial"/>
        </w:rPr>
      </w:pPr>
      <w:r>
        <w:rPr>
          <w:rFonts w:cs="Calibri" w:ascii="Arial" w:hAnsi="Arial" w:cstheme="minorHAnsi"/>
          <w:b/>
          <w:bCs/>
          <w:sz w:val="24"/>
          <w:szCs w:val="24"/>
        </w:rPr>
        <w:t xml:space="preserve">      </w:t>
      </w:r>
      <w:r>
        <w:rPr>
          <w:rFonts w:cs="Calibri" w:ascii="Arial" w:hAnsi="Arial" w:cstheme="minorHAnsi"/>
          <w:sz w:val="24"/>
          <w:szCs w:val="24"/>
          <w:u w:val="single"/>
        </w:rPr>
        <w:t xml:space="preserve">Do wykonania niniejszego zamówienia należy zastosować oprawy oświetlenia ulicznego </w:t>
        <w:br/>
        <w:t>o parametrach technicznych, użytkowych i fotometrycznych nie gorszych niż opisane poniżej:</w:t>
      </w:r>
    </w:p>
    <w:p>
      <w:pPr>
        <w:pStyle w:val="Normal"/>
        <w:jc w:val="both"/>
        <w:rPr>
          <w:rFonts w:ascii="Arial" w:hAnsi="Arial"/>
        </w:rPr>
      </w:pPr>
      <w:r>
        <w:rPr>
          <w:rFonts w:ascii="Arial" w:hAnsi="Arial"/>
        </w:rPr>
      </w:r>
    </w:p>
    <w:p>
      <w:pPr>
        <w:pStyle w:val="Normal"/>
        <w:jc w:val="both"/>
        <w:rPr>
          <w:rFonts w:ascii="Arial" w:hAnsi="Arial"/>
        </w:rPr>
      </w:pPr>
      <w:r>
        <w:rPr>
          <w:rFonts w:eastAsia="Times New Roman" w:cs="Times New Roman" w:ascii="Arial" w:hAnsi="Arial"/>
          <w:b/>
          <w:sz w:val="24"/>
          <w:szCs w:val="24"/>
          <w:lang w:eastAsia="ar-SA"/>
        </w:rPr>
        <w:t>Oprawa oświetleniowa drogowa oraz przejść dla pieszych</w:t>
      </w:r>
    </w:p>
    <w:p>
      <w:pPr>
        <w:pStyle w:val="Normal"/>
        <w:spacing w:lineRule="auto" w:line="276" w:before="0" w:after="0"/>
        <w:jc w:val="both"/>
        <w:rPr>
          <w:rFonts w:ascii="Arial" w:hAnsi="Arial"/>
        </w:rPr>
      </w:pPr>
      <w:r>
        <w:rPr>
          <w:rFonts w:eastAsia="Times New Roman" w:cs="Tahoma" w:ascii="Arial" w:hAnsi="Arial"/>
          <w:sz w:val="24"/>
          <w:u w:val="single"/>
          <w:lang w:eastAsia="ar-SA"/>
        </w:rPr>
        <w:t>Oprawy uliczne oświetleniowe przeznaczone do zainstalowania powinny posiadać następujące właściwości i parametry:</w:t>
      </w:r>
    </w:p>
    <w:p>
      <w:pPr>
        <w:pStyle w:val="Normal"/>
        <w:spacing w:lineRule="auto" w:line="276" w:before="0" w:after="0"/>
        <w:ind w:left="851" w:hanging="0"/>
        <w:jc w:val="both"/>
        <w:rPr>
          <w:rFonts w:ascii="Arial" w:hAnsi="Arial" w:eastAsia="Times New Roman" w:cs="Tahoma"/>
          <w:sz w:val="24"/>
          <w:u w:val="single"/>
          <w:lang w:eastAsia="ar-SA"/>
        </w:rPr>
      </w:pPr>
      <w:r>
        <w:rPr>
          <w:rFonts w:eastAsia="Times New Roman" w:cs="Tahoma" w:ascii="Arial" w:hAnsi="Arial"/>
          <w:sz w:val="24"/>
          <w:u w:val="single"/>
          <w:lang w:eastAsia="ar-SA"/>
        </w:rPr>
      </w:r>
    </w:p>
    <w:p>
      <w:pPr>
        <w:pStyle w:val="Normal"/>
        <w:numPr>
          <w:ilvl w:val="0"/>
          <w:numId w:val="5"/>
        </w:numPr>
        <w:spacing w:lineRule="auto" w:line="276" w:before="0" w:after="200"/>
        <w:contextualSpacing/>
        <w:rPr>
          <w:rFonts w:ascii="Arial" w:hAnsi="Arial" w:eastAsia="Batang;바탕" w:cs="Arial"/>
          <w:color w:val="000000"/>
          <w:sz w:val="24"/>
          <w:szCs w:val="24"/>
        </w:rPr>
      </w:pPr>
      <w:r>
        <w:rPr>
          <w:rFonts w:eastAsia="Batang;바탕" w:cs="Arial" w:ascii="Arial" w:hAnsi="Arial"/>
          <w:color w:val="000000"/>
          <w:sz w:val="24"/>
          <w:szCs w:val="24"/>
        </w:rPr>
        <w:t>Stopień ochrony przed pyłem i wodą IP66</w:t>
      </w:r>
    </w:p>
    <w:p>
      <w:pPr>
        <w:pStyle w:val="Normal"/>
        <w:numPr>
          <w:ilvl w:val="0"/>
          <w:numId w:val="5"/>
        </w:numPr>
        <w:spacing w:lineRule="auto" w:line="276" w:before="0" w:after="200"/>
        <w:contextualSpacing/>
        <w:rPr>
          <w:rFonts w:ascii="Arial" w:hAnsi="Arial" w:eastAsia="Batang;바탕" w:cs="Arial"/>
          <w:color w:val="000000"/>
          <w:sz w:val="24"/>
          <w:szCs w:val="24"/>
        </w:rPr>
      </w:pPr>
      <w:r>
        <w:rPr>
          <w:rFonts w:eastAsia="Batang;바탕" w:cs="Arial" w:ascii="Arial" w:hAnsi="Arial"/>
          <w:color w:val="000000"/>
          <w:sz w:val="24"/>
          <w:szCs w:val="24"/>
        </w:rPr>
        <w:t>Stopień odporności na uszkodzenia mechaniczne IK09</w:t>
      </w:r>
    </w:p>
    <w:p>
      <w:pPr>
        <w:pStyle w:val="Normal"/>
        <w:numPr>
          <w:ilvl w:val="0"/>
          <w:numId w:val="5"/>
        </w:numPr>
        <w:spacing w:lineRule="auto" w:line="276" w:before="0" w:after="200"/>
        <w:contextualSpacing/>
        <w:rPr>
          <w:rFonts w:ascii="Arial" w:hAnsi="Arial" w:eastAsia="Batang;바탕" w:cs="Arial"/>
          <w:color w:val="000000"/>
          <w:sz w:val="24"/>
          <w:szCs w:val="24"/>
        </w:rPr>
      </w:pPr>
      <w:r>
        <w:rPr>
          <w:rFonts w:eastAsia="Batang;바탕" w:cs="Arial" w:ascii="Arial" w:hAnsi="Arial"/>
          <w:color w:val="000000"/>
          <w:sz w:val="24"/>
          <w:szCs w:val="24"/>
        </w:rPr>
        <w:t>Klasa ochronności: II</w:t>
      </w:r>
    </w:p>
    <w:p>
      <w:pPr>
        <w:pStyle w:val="Normal"/>
        <w:numPr>
          <w:ilvl w:val="0"/>
          <w:numId w:val="5"/>
        </w:numPr>
        <w:spacing w:lineRule="auto" w:line="276" w:before="0" w:after="200"/>
        <w:contextualSpacing/>
        <w:rPr>
          <w:rFonts w:ascii="Arial" w:hAnsi="Arial" w:eastAsia="Batang;바탕" w:cs="Arial"/>
          <w:color w:val="000000"/>
          <w:sz w:val="24"/>
          <w:szCs w:val="24"/>
        </w:rPr>
      </w:pPr>
      <w:r>
        <w:rPr>
          <w:rFonts w:eastAsia="Batang;바탕" w:cs="Arial" w:ascii="Arial" w:hAnsi="Arial"/>
          <w:color w:val="000000"/>
          <w:sz w:val="24"/>
          <w:szCs w:val="24"/>
        </w:rPr>
        <w:t>Napięcie zasilania: 230V/50Hz</w:t>
      </w:r>
    </w:p>
    <w:p>
      <w:pPr>
        <w:pStyle w:val="Normal"/>
        <w:numPr>
          <w:ilvl w:val="0"/>
          <w:numId w:val="5"/>
        </w:numPr>
        <w:spacing w:lineRule="auto" w:line="276" w:before="0" w:after="200"/>
        <w:contextualSpacing/>
        <w:rPr>
          <w:rFonts w:ascii="Arial" w:hAnsi="Arial" w:eastAsia="Batang;바탕" w:cs="Arial"/>
          <w:color w:val="000000"/>
          <w:sz w:val="24"/>
          <w:szCs w:val="24"/>
        </w:rPr>
      </w:pPr>
      <w:r>
        <w:rPr>
          <w:rFonts w:eastAsia="Batang;바탕" w:cs="Arial" w:ascii="Arial" w:hAnsi="Arial"/>
          <w:color w:val="000000"/>
          <w:sz w:val="24"/>
          <w:szCs w:val="24"/>
        </w:rPr>
        <w:t>Współczynnik mocy ≥ 0,95</w:t>
      </w:r>
    </w:p>
    <w:p>
      <w:pPr>
        <w:pStyle w:val="Normal"/>
        <w:numPr>
          <w:ilvl w:val="0"/>
          <w:numId w:val="5"/>
        </w:numPr>
        <w:spacing w:lineRule="auto" w:line="276" w:before="0" w:after="200"/>
        <w:contextualSpacing/>
        <w:rPr>
          <w:rFonts w:ascii="Arial" w:hAnsi="Arial" w:eastAsia="Batang;바탕" w:cs="Arial"/>
          <w:color w:val="000000"/>
          <w:sz w:val="24"/>
          <w:szCs w:val="24"/>
        </w:rPr>
      </w:pPr>
      <w:r>
        <w:rPr>
          <w:rFonts w:eastAsia="Batang;바탕" w:cs="Arial" w:ascii="Arial" w:hAnsi="Arial"/>
          <w:color w:val="000000"/>
          <w:sz w:val="24"/>
          <w:szCs w:val="24"/>
        </w:rPr>
        <w:t>Skuteczność świetlna oprawy ≥ 140 lm/W</w:t>
      </w:r>
    </w:p>
    <w:p>
      <w:pPr>
        <w:pStyle w:val="Normal"/>
        <w:numPr>
          <w:ilvl w:val="0"/>
          <w:numId w:val="5"/>
        </w:numPr>
        <w:spacing w:lineRule="auto" w:line="276" w:before="0" w:after="200"/>
        <w:contextualSpacing/>
        <w:rPr>
          <w:rFonts w:ascii="Arial" w:hAnsi="Arial" w:eastAsia="Batang;바탕" w:cs="Arial"/>
          <w:color w:val="000000"/>
          <w:sz w:val="24"/>
          <w:szCs w:val="24"/>
        </w:rPr>
      </w:pPr>
      <w:r>
        <w:rPr>
          <w:rFonts w:eastAsia="Batang;바탕" w:cs="Arial" w:ascii="Arial" w:hAnsi="Arial"/>
          <w:color w:val="000000"/>
          <w:sz w:val="24"/>
          <w:szCs w:val="24"/>
        </w:rPr>
        <w:t>Zabezpieczenie przeciwprzepięciowe ≥ 10kV lub  ≥ 6kV pod warunkiem zastosowania ochronników w szafce zasilającej</w:t>
      </w:r>
    </w:p>
    <w:p>
      <w:pPr>
        <w:pStyle w:val="Normal"/>
        <w:numPr>
          <w:ilvl w:val="0"/>
          <w:numId w:val="5"/>
        </w:numPr>
        <w:spacing w:lineRule="auto" w:line="276" w:before="0" w:after="200"/>
        <w:contextualSpacing/>
        <w:rPr>
          <w:rFonts w:ascii="Arial" w:hAnsi="Arial"/>
          <w:sz w:val="24"/>
          <w:szCs w:val="24"/>
        </w:rPr>
      </w:pPr>
      <w:r>
        <w:rPr>
          <w:rFonts w:eastAsia="Batang;바탕" w:cs="Arial" w:ascii="Arial" w:hAnsi="Arial"/>
          <w:color w:val="000000"/>
          <w:sz w:val="24"/>
          <w:szCs w:val="24"/>
        </w:rPr>
        <w:t>Zakres temperatur pracy  Od -35</w:t>
      </w:r>
      <w:r>
        <w:rPr>
          <w:rFonts w:eastAsia="Batang;바탕" w:cs="Arial" w:ascii="Arial" w:hAnsi="Arial"/>
          <w:color w:val="000000"/>
          <w:sz w:val="24"/>
          <w:szCs w:val="24"/>
          <w:vertAlign w:val="superscript"/>
        </w:rPr>
        <w:t>o</w:t>
      </w:r>
      <w:r>
        <w:rPr>
          <w:rFonts w:eastAsia="Batang;바탕" w:cs="Arial" w:ascii="Arial" w:hAnsi="Arial"/>
          <w:color w:val="000000"/>
          <w:sz w:val="24"/>
          <w:szCs w:val="24"/>
        </w:rPr>
        <w:t>C do +50</w:t>
      </w:r>
      <w:r>
        <w:rPr>
          <w:rFonts w:eastAsia="Batang;바탕" w:cs="Arial" w:ascii="Arial" w:hAnsi="Arial"/>
          <w:color w:val="000000"/>
          <w:sz w:val="24"/>
          <w:szCs w:val="24"/>
          <w:vertAlign w:val="superscript"/>
        </w:rPr>
        <w:t>o</w:t>
      </w:r>
      <w:r>
        <w:rPr>
          <w:rFonts w:eastAsia="Batang;바탕" w:cs="Arial" w:ascii="Arial" w:hAnsi="Arial"/>
          <w:color w:val="000000"/>
          <w:sz w:val="24"/>
          <w:szCs w:val="24"/>
        </w:rPr>
        <w:t xml:space="preserve">C  </w:t>
      </w:r>
    </w:p>
    <w:p>
      <w:pPr>
        <w:pStyle w:val="Normal"/>
        <w:numPr>
          <w:ilvl w:val="0"/>
          <w:numId w:val="5"/>
        </w:numPr>
        <w:spacing w:lineRule="auto" w:line="276" w:before="0" w:after="200"/>
        <w:contextualSpacing/>
        <w:rPr>
          <w:rFonts w:ascii="Arial" w:hAnsi="Arial" w:eastAsia="Batang;바탕" w:cs="Arial"/>
          <w:color w:val="000000"/>
          <w:sz w:val="24"/>
          <w:szCs w:val="24"/>
        </w:rPr>
      </w:pPr>
      <w:r>
        <w:rPr>
          <w:rFonts w:eastAsia="Batang;바탕" w:cs="Arial" w:ascii="Arial" w:hAnsi="Arial"/>
          <w:color w:val="000000"/>
          <w:sz w:val="24"/>
          <w:szCs w:val="24"/>
        </w:rPr>
        <w:t xml:space="preserve">Certyfikat akredytowanego ośrodka badawczego potwierdzający wykonanie wyrobu zgodnie z Normami </w:t>
        <w:tab/>
        <w:t xml:space="preserve">zharmonizowanymi z Dyrektywą LVD (PN-EN 60598-1/PN-EN 60598-2-3) zgodnie z Typem 5 wg ISO/IEC </w:t>
        <w:tab/>
        <w:t>17067, np. certyfikat ENEC.</w:t>
      </w:r>
    </w:p>
    <w:p>
      <w:pPr>
        <w:pStyle w:val="Normal"/>
        <w:numPr>
          <w:ilvl w:val="0"/>
          <w:numId w:val="5"/>
        </w:numPr>
        <w:spacing w:lineRule="auto" w:line="276" w:before="0" w:after="200"/>
        <w:contextualSpacing/>
        <w:rPr>
          <w:color w:val="000000"/>
        </w:rPr>
      </w:pPr>
      <w:r>
        <w:rPr>
          <w:rFonts w:eastAsia="Batang;바탕" w:cs="Arial" w:ascii="Arial" w:hAnsi="Arial"/>
          <w:color w:val="000000"/>
          <w:sz w:val="24"/>
          <w:szCs w:val="24"/>
        </w:rPr>
        <w:t xml:space="preserve">Oprawy LED z możliwością reakcji natężenia oświetlenia. </w:t>
      </w:r>
    </w:p>
    <w:p>
      <w:pPr>
        <w:pStyle w:val="Normal"/>
        <w:numPr>
          <w:ilvl w:val="0"/>
          <w:numId w:val="5"/>
        </w:numPr>
        <w:spacing w:lineRule="auto" w:line="276" w:before="0" w:after="200"/>
        <w:contextualSpacing/>
        <w:rPr>
          <w:color w:val="000000"/>
        </w:rPr>
      </w:pPr>
      <w:r>
        <w:rPr>
          <w:rFonts w:eastAsia="Batang;바탕" w:cs="Arial" w:ascii="Arial" w:hAnsi="Arial"/>
          <w:color w:val="000000"/>
          <w:sz w:val="24"/>
          <w:szCs w:val="24"/>
        </w:rPr>
        <w:t>Panel LED posiadający soczewki kształtujące rozsył światła wykonane z tworzywa odpornego na UV.</w:t>
      </w:r>
    </w:p>
    <w:p>
      <w:pPr>
        <w:pStyle w:val="Normal"/>
        <w:numPr>
          <w:ilvl w:val="0"/>
          <w:numId w:val="5"/>
        </w:numPr>
        <w:spacing w:lineRule="auto" w:line="276" w:before="0" w:after="200"/>
        <w:contextualSpacing/>
        <w:rPr>
          <w:color w:val="000000"/>
        </w:rPr>
      </w:pPr>
      <w:r>
        <w:rPr>
          <w:rFonts w:eastAsia="Batang;바탕" w:cs="Arial" w:ascii="Arial" w:hAnsi="Arial"/>
          <w:color w:val="000000"/>
          <w:sz w:val="24"/>
          <w:szCs w:val="24"/>
        </w:rPr>
        <w:t>Temperatura barwowa 4000K oprawa drogowa i parkowa, 5000 K oprawa drogowa doświetlająca przejście dla pieszych.</w:t>
      </w:r>
    </w:p>
    <w:p>
      <w:pPr>
        <w:pStyle w:val="Normal"/>
        <w:numPr>
          <w:ilvl w:val="0"/>
          <w:numId w:val="5"/>
        </w:numPr>
        <w:spacing w:lineRule="auto" w:line="276" w:before="0" w:after="200"/>
        <w:contextualSpacing/>
        <w:rPr>
          <w:color w:val="000000"/>
        </w:rPr>
      </w:pPr>
      <w:r>
        <w:rPr>
          <w:rFonts w:eastAsia="Batang;바탕" w:cs="Arial" w:ascii="Arial" w:hAnsi="Arial"/>
          <w:color w:val="000000"/>
          <w:sz w:val="24"/>
          <w:szCs w:val="24"/>
        </w:rPr>
        <w:t>Wskaźnik oddawania barw (CRI) ≥ 70</w:t>
      </w:r>
    </w:p>
    <w:p>
      <w:pPr>
        <w:pStyle w:val="Normal"/>
        <w:numPr>
          <w:ilvl w:val="0"/>
          <w:numId w:val="5"/>
        </w:numPr>
        <w:spacing w:lineRule="auto" w:line="276" w:before="0" w:after="200"/>
        <w:contextualSpacing/>
        <w:rPr>
          <w:color w:val="000000"/>
        </w:rPr>
      </w:pPr>
      <w:r>
        <w:rPr>
          <w:rFonts w:eastAsia="Batang;바탕" w:cs="Arial" w:ascii="Arial" w:hAnsi="Arial"/>
          <w:color w:val="000000"/>
          <w:sz w:val="24"/>
          <w:szCs w:val="24"/>
        </w:rPr>
        <w:t>Trwałość źródeł światła nie mniejsza niż wyrażona parametrem L90 100 000h</w:t>
      </w:r>
    </w:p>
    <w:p>
      <w:pPr>
        <w:pStyle w:val="Normal"/>
        <w:numPr>
          <w:ilvl w:val="0"/>
          <w:numId w:val="5"/>
        </w:numPr>
        <w:spacing w:lineRule="auto" w:line="276" w:before="0" w:after="200"/>
        <w:contextualSpacing/>
        <w:rPr>
          <w:color w:val="000000"/>
        </w:rPr>
      </w:pPr>
      <w:r>
        <w:rPr>
          <w:rFonts w:eastAsia="Batang;바탕" w:cs="Arial" w:ascii="Arial" w:hAnsi="Arial"/>
          <w:color w:val="000000"/>
          <w:sz w:val="24"/>
          <w:szCs w:val="24"/>
        </w:rPr>
        <w:t>Korpus wykonany z wysokociśnieniowego aluminium, malowany proszkowo</w:t>
      </w:r>
    </w:p>
    <w:p>
      <w:pPr>
        <w:pStyle w:val="Normal"/>
        <w:numPr>
          <w:ilvl w:val="0"/>
          <w:numId w:val="5"/>
        </w:numPr>
        <w:spacing w:lineRule="auto" w:line="276" w:before="0" w:after="200"/>
        <w:contextualSpacing/>
        <w:rPr>
          <w:color w:val="000000"/>
        </w:rPr>
      </w:pPr>
      <w:r>
        <w:rPr>
          <w:rFonts w:eastAsia="Batang;바탕" w:cs="Arial" w:ascii="Arial" w:hAnsi="Arial"/>
          <w:color w:val="000000"/>
          <w:sz w:val="24"/>
          <w:szCs w:val="24"/>
        </w:rPr>
        <w:t>Szklany klosz oprawy, osłaniający panel LED</w:t>
      </w:r>
    </w:p>
    <w:p>
      <w:pPr>
        <w:pStyle w:val="Normal"/>
        <w:numPr>
          <w:ilvl w:val="0"/>
          <w:numId w:val="5"/>
        </w:numPr>
        <w:spacing w:lineRule="auto" w:line="276" w:before="0" w:after="200"/>
        <w:contextualSpacing/>
        <w:rPr>
          <w:color w:val="000000"/>
        </w:rPr>
      </w:pPr>
      <w:r>
        <w:rPr>
          <w:rFonts w:eastAsia="Batang;바탕" w:cs="Arial" w:ascii="Arial" w:hAnsi="Arial"/>
          <w:color w:val="000000"/>
          <w:sz w:val="24"/>
          <w:szCs w:val="24"/>
        </w:rPr>
        <w:t>Elementy mocujące i zamykające oprawę wykonane ze stali nierdzewnej lub aluminium</w:t>
      </w:r>
    </w:p>
    <w:p>
      <w:pPr>
        <w:pStyle w:val="Normal"/>
        <w:numPr>
          <w:ilvl w:val="0"/>
          <w:numId w:val="5"/>
        </w:numPr>
        <w:spacing w:lineRule="auto" w:line="276" w:before="0" w:after="200"/>
        <w:contextualSpacing/>
        <w:rPr>
          <w:color w:val="000000"/>
        </w:rPr>
      </w:pPr>
      <w:r>
        <w:rPr>
          <w:rFonts w:eastAsia="Batang;바탕" w:cs="Arial" w:ascii="Arial" w:hAnsi="Arial"/>
          <w:color w:val="000000"/>
          <w:sz w:val="24"/>
          <w:szCs w:val="24"/>
        </w:rPr>
        <w:t>Korpus wykonany jako dwukomorowy (osobna komora elektryczna oraz optyczna)</w:t>
      </w:r>
    </w:p>
    <w:p>
      <w:pPr>
        <w:pStyle w:val="Normal"/>
        <w:numPr>
          <w:ilvl w:val="0"/>
          <w:numId w:val="5"/>
        </w:numPr>
        <w:spacing w:lineRule="auto" w:line="276" w:before="0" w:after="200"/>
        <w:contextualSpacing/>
        <w:rPr>
          <w:color w:val="000000"/>
        </w:rPr>
      </w:pPr>
      <w:r>
        <w:rPr>
          <w:rFonts w:eastAsia="Batang;바탕" w:cs="Arial" w:ascii="Arial" w:hAnsi="Arial"/>
          <w:color w:val="000000"/>
          <w:sz w:val="24"/>
          <w:szCs w:val="24"/>
        </w:rPr>
        <w:t>Uchwyt montażowy regulowany w zakresie +/- 15</w:t>
      </w:r>
      <w:r>
        <w:rPr>
          <w:rFonts w:eastAsia="Batang;바탕" w:cs="Arial" w:ascii="Arial" w:hAnsi="Arial"/>
          <w:color w:val="000000"/>
          <w:sz w:val="24"/>
          <w:szCs w:val="24"/>
          <w:vertAlign w:val="superscript"/>
        </w:rPr>
        <w:t xml:space="preserve">o </w:t>
      </w:r>
    </w:p>
    <w:p>
      <w:pPr>
        <w:pStyle w:val="Normal"/>
        <w:numPr>
          <w:ilvl w:val="0"/>
          <w:numId w:val="5"/>
        </w:numPr>
        <w:spacing w:lineRule="auto" w:line="276" w:before="0" w:after="200"/>
        <w:contextualSpacing/>
        <w:jc w:val="both"/>
        <w:rPr>
          <w:color w:val="000000"/>
        </w:rPr>
      </w:pPr>
      <w:r>
        <w:rPr>
          <w:rFonts w:eastAsia="Batang;바탕" w:cs="Arial" w:ascii="Arial" w:hAnsi="Arial"/>
          <w:color w:val="000000"/>
          <w:sz w:val="24"/>
          <w:szCs w:val="24"/>
        </w:rPr>
        <w:t xml:space="preserve">Dostęp do komory elektrycznej – klasa serwisowa A. </w:t>
      </w:r>
      <w:r>
        <w:rPr>
          <w:rFonts w:cs="Arial" w:ascii="Arial" w:hAnsi="Arial"/>
          <w:color w:val="000000"/>
          <w:sz w:val="24"/>
          <w:szCs w:val="24"/>
        </w:rPr>
        <w:t xml:space="preserve">Oddzielna część elektryczna i optyczna, dostęp do części elektrycznej osobno, wymienne podzespoły nie zintegrowane (osobno zasilacz, panel LED, sterownik, itp.) z możliwością wymiany osobnych komponentów. </w:t>
        <w:tab/>
        <w:t>Dodatkowo możliwość zakupu podzespołów celem naprawy elementu, a nie wymiany całej oprawy.</w:t>
      </w:r>
    </w:p>
    <w:p>
      <w:pPr>
        <w:pStyle w:val="Normal"/>
        <w:numPr>
          <w:ilvl w:val="0"/>
          <w:numId w:val="5"/>
        </w:numPr>
        <w:spacing w:lineRule="auto" w:line="276" w:before="0" w:after="200"/>
        <w:contextualSpacing/>
        <w:rPr>
          <w:color w:val="000000"/>
        </w:rPr>
      </w:pPr>
      <w:r>
        <w:rPr>
          <w:rFonts w:eastAsia="Batang;바탕" w:cs="Arial" w:ascii="Arial" w:hAnsi="Arial"/>
          <w:color w:val="000000"/>
          <w:sz w:val="24"/>
          <w:szCs w:val="24"/>
        </w:rPr>
        <w:t>Oprawa wyposażona w gniazdo komunikacyjne typu NEMA 7 PIN/ZHAGA</w:t>
      </w:r>
    </w:p>
    <w:p>
      <w:pPr>
        <w:pStyle w:val="Normal"/>
        <w:numPr>
          <w:ilvl w:val="0"/>
          <w:numId w:val="5"/>
        </w:numPr>
        <w:spacing w:lineRule="auto" w:line="276" w:before="0" w:after="200"/>
        <w:contextualSpacing/>
        <w:rPr>
          <w:color w:val="000000"/>
        </w:rPr>
      </w:pPr>
      <w:r>
        <w:rPr>
          <w:rFonts w:eastAsia="Batang;바탕" w:cs="Arial" w:ascii="Arial" w:hAnsi="Arial"/>
          <w:color w:val="000000"/>
          <w:sz w:val="24"/>
          <w:szCs w:val="24"/>
        </w:rPr>
        <w:t xml:space="preserve">System blokady uniemożliwiający przypadkowe zamknięcie otwartej oprawy w trakcie montażu lub  </w:t>
        <w:tab/>
        <w:t>czynności serwisowych</w:t>
      </w:r>
    </w:p>
    <w:p>
      <w:pPr>
        <w:pStyle w:val="Normal"/>
        <w:numPr>
          <w:ilvl w:val="0"/>
          <w:numId w:val="5"/>
        </w:numPr>
        <w:spacing w:lineRule="auto" w:line="276" w:before="0" w:after="200"/>
        <w:contextualSpacing/>
        <w:rPr>
          <w:color w:val="000000"/>
        </w:rPr>
      </w:pPr>
      <w:r>
        <w:rPr>
          <w:rFonts w:eastAsia="Batang;바탕" w:cs="Arial" w:ascii="Arial" w:hAnsi="Arial"/>
          <w:color w:val="000000"/>
          <w:sz w:val="24"/>
          <w:szCs w:val="24"/>
        </w:rPr>
        <w:t>Rozłącznik nożowy, odcinający napięcie przy otwarciu komory elektrycznej</w:t>
      </w:r>
    </w:p>
    <w:p>
      <w:pPr>
        <w:pStyle w:val="Normal"/>
        <w:numPr>
          <w:ilvl w:val="0"/>
          <w:numId w:val="5"/>
        </w:numPr>
        <w:spacing w:lineRule="auto" w:line="276" w:before="0" w:after="200"/>
        <w:contextualSpacing/>
        <w:rPr>
          <w:color w:val="000000"/>
        </w:rPr>
      </w:pPr>
      <w:r>
        <w:rPr>
          <w:rFonts w:eastAsia="Batang;바탕" w:cs="Arial" w:ascii="Arial" w:hAnsi="Arial"/>
          <w:color w:val="000000"/>
          <w:sz w:val="24"/>
          <w:szCs w:val="24"/>
        </w:rPr>
        <w:t>Zasilacz o trwałości min. L90 100000h</w:t>
      </w:r>
    </w:p>
    <w:p>
      <w:pPr>
        <w:pStyle w:val="Normal"/>
        <w:numPr>
          <w:ilvl w:val="0"/>
          <w:numId w:val="0"/>
        </w:numPr>
        <w:spacing w:lineRule="auto" w:line="276" w:before="0" w:after="200"/>
        <w:ind w:left="1211" w:right="281" w:hanging="0"/>
        <w:contextualSpacing/>
        <w:rPr>
          <w:rFonts w:ascii="Arial" w:hAnsi="Arial" w:cs="Arial"/>
          <w:color w:val="000000"/>
          <w:sz w:val="24"/>
          <w:szCs w:val="24"/>
        </w:rPr>
      </w:pPr>
      <w:r>
        <w:rPr>
          <w:rFonts w:cs="Arial" w:ascii="Arial" w:hAnsi="Arial"/>
          <w:color w:val="000000"/>
          <w:sz w:val="24"/>
          <w:szCs w:val="24"/>
        </w:rPr>
      </w:r>
    </w:p>
    <w:p>
      <w:pPr>
        <w:pStyle w:val="Normal"/>
        <w:numPr>
          <w:ilvl w:val="0"/>
          <w:numId w:val="0"/>
        </w:numPr>
        <w:spacing w:lineRule="auto" w:line="276"/>
        <w:ind w:left="720" w:right="0" w:hanging="0"/>
        <w:jc w:val="both"/>
        <w:rPr>
          <w:color w:val="000000"/>
        </w:rPr>
      </w:pPr>
      <w:r>
        <w:rPr>
          <w:rFonts w:cs="Arial" w:ascii="Arial" w:hAnsi="Arial"/>
          <w:b/>
          <w:bCs/>
          <w:i w:val="false"/>
          <w:iCs w:val="false"/>
          <w:color w:val="000000"/>
          <w:sz w:val="24"/>
          <w:szCs w:val="24"/>
        </w:rPr>
        <w:t xml:space="preserve">Oprawy drogowe przewidziane na przejścia dla pieszych mogą pochodzić z innej rodziny (mogą mieć inny kształt) opraw niż oprawy drogowe przewidziane do oświetlenia ciągów ulic. </w:t>
      </w:r>
    </w:p>
    <w:p>
      <w:pPr>
        <w:pStyle w:val="Normal"/>
        <w:jc w:val="both"/>
        <w:rPr>
          <w:color w:val="000000"/>
        </w:rPr>
      </w:pPr>
      <w:r>
        <w:rPr>
          <w:rFonts w:cs="Arial" w:ascii="Arial" w:hAnsi="Arial"/>
          <w:b/>
          <w:bCs/>
          <w:i w:val="false"/>
          <w:iCs w:val="false"/>
          <w:color w:val="000000"/>
          <w:sz w:val="24"/>
          <w:szCs w:val="24"/>
          <w:shd w:fill="FFFFFF" w:val="clear"/>
        </w:rPr>
        <w:tab/>
        <w:t xml:space="preserve">Oprawy przejść dla pieszych - dane do obliczeń: hp = 5,0 m, odległość od skraju </w:t>
        <w:tab/>
        <w:t xml:space="preserve">przejścia przyjąć 1,0 m, </w:t>
        <w:tab/>
        <w:t>nawis -0,5 m, optyka prawostronna.</w:t>
      </w:r>
    </w:p>
    <w:p>
      <w:pPr>
        <w:pStyle w:val="Normal"/>
        <w:spacing w:lineRule="auto" w:line="276" w:before="0" w:after="200"/>
        <w:ind w:left="851" w:right="281" w:firstLine="142"/>
        <w:contextualSpacing/>
        <w:rPr>
          <w:rFonts w:ascii="Arial" w:hAnsi="Arial" w:eastAsia="Batang;바탕" w:cs="Arial"/>
          <w:color w:val="000000"/>
          <w:sz w:val="24"/>
          <w:szCs w:val="24"/>
        </w:rPr>
      </w:pPr>
      <w:r>
        <w:rPr>
          <w:rFonts w:eastAsia="Batang;바탕" w:cs="Arial" w:ascii="Arial" w:hAnsi="Arial"/>
          <w:color w:val="000000"/>
          <w:sz w:val="24"/>
          <w:szCs w:val="24"/>
        </w:rPr>
      </w:r>
    </w:p>
    <w:p>
      <w:pPr>
        <w:pStyle w:val="Normal"/>
        <w:jc w:val="both"/>
        <w:rPr>
          <w:color w:val="000000"/>
        </w:rPr>
      </w:pPr>
      <w:r>
        <w:rPr>
          <w:rFonts w:cs="Arial" w:ascii="Arial" w:hAnsi="Arial"/>
          <w:b/>
          <w:bCs/>
          <w:color w:val="000000"/>
          <w:sz w:val="24"/>
          <w:szCs w:val="24"/>
        </w:rPr>
        <w:t>Oprawy parkowe</w:t>
      </w:r>
    </w:p>
    <w:p>
      <w:pPr>
        <w:pStyle w:val="Normal"/>
        <w:spacing w:before="0" w:after="0"/>
        <w:ind w:left="0" w:right="0" w:firstLine="708"/>
        <w:jc w:val="both"/>
        <w:rPr>
          <w:color w:val="000000"/>
        </w:rPr>
      </w:pPr>
      <w:r>
        <w:rPr>
          <w:rFonts w:cs="Arial" w:ascii="Arial" w:hAnsi="Arial"/>
          <w:color w:val="000000"/>
          <w:sz w:val="24"/>
          <w:szCs w:val="24"/>
        </w:rPr>
        <w:t>1. Stopień ochrony przed pyłem i wodą IP66</w:t>
      </w:r>
    </w:p>
    <w:p>
      <w:pPr>
        <w:pStyle w:val="Normal"/>
        <w:spacing w:before="0" w:after="0"/>
        <w:ind w:left="0" w:right="0" w:firstLine="708"/>
        <w:jc w:val="both"/>
        <w:rPr>
          <w:color w:val="000000"/>
        </w:rPr>
      </w:pPr>
      <w:r>
        <w:rPr>
          <w:rFonts w:cs="Arial" w:ascii="Arial" w:hAnsi="Arial"/>
          <w:color w:val="000000"/>
          <w:sz w:val="24"/>
          <w:szCs w:val="24"/>
        </w:rPr>
        <w:t>2. Stopień odporności na uszkodzenia mechaniczne IK08</w:t>
      </w:r>
    </w:p>
    <w:p>
      <w:pPr>
        <w:pStyle w:val="Normal"/>
        <w:spacing w:before="0" w:after="0"/>
        <w:ind w:left="0" w:right="0" w:firstLine="708"/>
        <w:jc w:val="both"/>
        <w:rPr>
          <w:color w:val="000000"/>
        </w:rPr>
      </w:pPr>
      <w:r>
        <w:rPr>
          <w:rFonts w:cs="Arial" w:ascii="Arial" w:hAnsi="Arial"/>
          <w:color w:val="000000"/>
          <w:sz w:val="24"/>
          <w:szCs w:val="24"/>
        </w:rPr>
        <w:t>3. Klasa ochronności: II</w:t>
      </w:r>
    </w:p>
    <w:p>
      <w:pPr>
        <w:pStyle w:val="Normal"/>
        <w:spacing w:before="0" w:after="0"/>
        <w:ind w:left="0" w:right="0" w:firstLine="708"/>
        <w:jc w:val="both"/>
        <w:rPr>
          <w:color w:val="000000"/>
        </w:rPr>
      </w:pPr>
      <w:r>
        <w:rPr>
          <w:rFonts w:cs="Arial" w:ascii="Arial" w:hAnsi="Arial"/>
          <w:color w:val="000000"/>
          <w:sz w:val="24"/>
          <w:szCs w:val="24"/>
        </w:rPr>
        <w:t>4. Napięcie zasilania: 230V/50Hz</w:t>
      </w:r>
    </w:p>
    <w:p>
      <w:pPr>
        <w:pStyle w:val="Normal"/>
        <w:spacing w:before="0" w:after="0"/>
        <w:ind w:left="0" w:right="0" w:firstLine="708"/>
        <w:jc w:val="both"/>
        <w:rPr>
          <w:color w:val="000000"/>
        </w:rPr>
      </w:pPr>
      <w:r>
        <w:rPr>
          <w:rFonts w:cs="Arial" w:ascii="Arial" w:hAnsi="Arial"/>
          <w:color w:val="000000"/>
          <w:sz w:val="24"/>
          <w:szCs w:val="24"/>
        </w:rPr>
        <w:t>5. Współczynnik mocy ≥ 0,95</w:t>
      </w:r>
    </w:p>
    <w:p>
      <w:pPr>
        <w:pStyle w:val="Normal"/>
        <w:spacing w:before="0" w:after="0"/>
        <w:ind w:left="0" w:right="0" w:firstLine="708"/>
        <w:jc w:val="both"/>
        <w:rPr>
          <w:color w:val="000000"/>
        </w:rPr>
      </w:pPr>
      <w:r>
        <w:rPr>
          <w:rFonts w:cs="Arial" w:ascii="Arial" w:hAnsi="Arial"/>
          <w:color w:val="000000"/>
          <w:sz w:val="24"/>
          <w:szCs w:val="24"/>
        </w:rPr>
        <w:t>6. Skuteczność świetlna oprawy ≥ 100 lm/W</w:t>
      </w:r>
    </w:p>
    <w:p>
      <w:pPr>
        <w:pStyle w:val="Normal"/>
        <w:spacing w:before="0" w:after="0"/>
        <w:ind w:left="708" w:right="0" w:hanging="0"/>
        <w:jc w:val="both"/>
        <w:rPr>
          <w:color w:val="000000"/>
        </w:rPr>
      </w:pPr>
      <w:r>
        <w:rPr>
          <w:rFonts w:cs="Arial" w:ascii="Arial" w:hAnsi="Arial"/>
          <w:color w:val="000000"/>
          <w:sz w:val="24"/>
          <w:szCs w:val="24"/>
        </w:rPr>
        <w:t>7. Zabezpieczenie przeciwprzepięciowe ≥ 10kV lub ≥ 6kV pod warunkiem zastosowania ochronników w szafce zasilającej</w:t>
      </w:r>
    </w:p>
    <w:p>
      <w:pPr>
        <w:pStyle w:val="Normal"/>
        <w:spacing w:before="0" w:after="0"/>
        <w:ind w:left="0" w:right="0" w:firstLine="708"/>
        <w:jc w:val="both"/>
        <w:rPr>
          <w:color w:val="000000"/>
        </w:rPr>
      </w:pPr>
      <w:r>
        <w:rPr>
          <w:rFonts w:cs="Arial" w:ascii="Arial" w:hAnsi="Arial"/>
          <w:color w:val="000000"/>
          <w:sz w:val="24"/>
          <w:szCs w:val="24"/>
        </w:rPr>
        <w:t>8. Zakres temperatur pracy Od -35</w:t>
      </w:r>
      <w:r>
        <w:rPr>
          <w:rFonts w:cs="Arial" w:ascii="Arial" w:hAnsi="Arial"/>
          <w:color w:val="000000"/>
          <w:sz w:val="24"/>
          <w:szCs w:val="24"/>
          <w:vertAlign w:val="superscript"/>
        </w:rPr>
        <w:t>o</w:t>
      </w:r>
      <w:r>
        <w:rPr>
          <w:rFonts w:cs="Arial" w:ascii="Arial" w:hAnsi="Arial"/>
          <w:color w:val="000000"/>
          <w:sz w:val="24"/>
          <w:szCs w:val="24"/>
        </w:rPr>
        <w:t>C do +50</w:t>
      </w:r>
      <w:r>
        <w:rPr>
          <w:rFonts w:cs="Arial" w:ascii="Arial" w:hAnsi="Arial"/>
          <w:color w:val="000000"/>
          <w:sz w:val="24"/>
          <w:szCs w:val="24"/>
          <w:vertAlign w:val="superscript"/>
        </w:rPr>
        <w:t>o</w:t>
      </w:r>
      <w:r>
        <w:rPr>
          <w:rFonts w:cs="Arial" w:ascii="Arial" w:hAnsi="Arial"/>
          <w:color w:val="000000"/>
          <w:sz w:val="24"/>
          <w:szCs w:val="24"/>
        </w:rPr>
        <w:t>C</w:t>
      </w:r>
    </w:p>
    <w:p>
      <w:pPr>
        <w:pStyle w:val="Normal"/>
        <w:spacing w:before="0" w:after="0"/>
        <w:ind w:left="708" w:right="0" w:hanging="0"/>
        <w:jc w:val="both"/>
        <w:rPr>
          <w:color w:val="000000"/>
        </w:rPr>
      </w:pPr>
      <w:r>
        <w:rPr>
          <w:rFonts w:cs="Arial" w:ascii="Arial" w:hAnsi="Arial"/>
          <w:color w:val="000000"/>
          <w:sz w:val="24"/>
          <w:szCs w:val="24"/>
        </w:rPr>
        <w:t xml:space="preserve">9. Certyfikaty, deklaracje zgodności, własności użytkowe, dopuszczenia </w:t>
      </w:r>
      <w:r>
        <w:rPr>
          <w:rFonts w:cs="Arial" w:ascii="Arial" w:hAnsi="Arial"/>
          <w:color w:val="000000"/>
          <w:sz w:val="24"/>
          <w:szCs w:val="24"/>
        </w:rPr>
        <w:t>Certyfikat akredytowanego ośrodka badawczego potwierdzający wykonanie wyrobu zgodnie z Normami zharmonizowanymi z Dyrektywą LVD (PN-EN 60598-1/PN-EN 60598-2-3) zgodnie z Typem 5 wg ISO/IEC 17067 np. certyfikat ENEC</w:t>
      </w:r>
    </w:p>
    <w:p>
      <w:pPr>
        <w:pStyle w:val="Normal"/>
        <w:spacing w:before="0" w:after="0"/>
        <w:ind w:left="0" w:right="0" w:firstLine="708"/>
        <w:jc w:val="both"/>
        <w:rPr>
          <w:color w:val="000000"/>
        </w:rPr>
      </w:pPr>
      <w:r>
        <w:rPr>
          <w:rFonts w:cs="Arial" w:ascii="Arial" w:hAnsi="Arial"/>
          <w:color w:val="000000"/>
          <w:sz w:val="24"/>
          <w:szCs w:val="24"/>
        </w:rPr>
        <w:t>10. Oprawy LED z możliwością reakcji natężenia oświetlenia.</w:t>
      </w:r>
    </w:p>
    <w:p>
      <w:pPr>
        <w:pStyle w:val="Normal"/>
        <w:spacing w:before="0" w:after="0"/>
        <w:ind w:left="708" w:right="0" w:hanging="0"/>
        <w:jc w:val="both"/>
        <w:rPr>
          <w:color w:val="000000"/>
        </w:rPr>
      </w:pPr>
      <w:r>
        <w:rPr>
          <w:rFonts w:cs="Arial" w:ascii="Arial" w:hAnsi="Arial"/>
          <w:color w:val="000000"/>
          <w:sz w:val="24"/>
          <w:szCs w:val="24"/>
        </w:rPr>
        <w:t>11. Panel LED posiadający soczewki kształtujące rozsył światła wykonane z tworzywa odpornego na UV.</w:t>
      </w:r>
    </w:p>
    <w:p>
      <w:pPr>
        <w:pStyle w:val="Normal"/>
        <w:spacing w:before="0" w:after="0"/>
        <w:ind w:left="708" w:right="0" w:hanging="0"/>
        <w:jc w:val="both"/>
        <w:rPr>
          <w:color w:val="000000"/>
        </w:rPr>
      </w:pPr>
      <w:r>
        <w:rPr>
          <w:rFonts w:cs="Arial" w:ascii="Arial" w:hAnsi="Arial"/>
          <w:color w:val="000000"/>
          <w:sz w:val="24"/>
          <w:szCs w:val="24"/>
        </w:rPr>
        <w:t xml:space="preserve">12. Temperatura barwowa 4000K </w:t>
      </w:r>
    </w:p>
    <w:p>
      <w:pPr>
        <w:pStyle w:val="Normal"/>
        <w:spacing w:before="0" w:after="0"/>
        <w:ind w:left="0" w:right="0" w:firstLine="708"/>
        <w:jc w:val="both"/>
        <w:rPr>
          <w:color w:val="000000"/>
        </w:rPr>
      </w:pPr>
      <w:r>
        <w:rPr>
          <w:rFonts w:cs="Arial" w:ascii="Arial" w:hAnsi="Arial"/>
          <w:color w:val="000000"/>
          <w:sz w:val="24"/>
          <w:szCs w:val="24"/>
        </w:rPr>
        <w:t>13. Wskaźnik oddawania barw (CRI) ≥ 70</w:t>
      </w:r>
    </w:p>
    <w:p>
      <w:pPr>
        <w:pStyle w:val="Normal"/>
        <w:spacing w:before="0" w:after="0"/>
        <w:ind w:left="708" w:right="0" w:hanging="0"/>
        <w:jc w:val="both"/>
        <w:rPr>
          <w:color w:val="000000"/>
        </w:rPr>
      </w:pPr>
      <w:r>
        <w:rPr>
          <w:rFonts w:cs="Arial" w:ascii="Arial" w:hAnsi="Arial"/>
          <w:color w:val="000000"/>
          <w:sz w:val="24"/>
          <w:szCs w:val="24"/>
        </w:rPr>
        <w:t>14. Trwałość źródeł światła nie mniejsza niż wyrażona parametrem L90 100 000h</w:t>
      </w:r>
    </w:p>
    <w:p>
      <w:pPr>
        <w:pStyle w:val="Normal"/>
        <w:spacing w:before="0" w:after="0"/>
        <w:ind w:left="708" w:right="0" w:hanging="0"/>
        <w:jc w:val="both"/>
        <w:rPr>
          <w:color w:val="000000"/>
        </w:rPr>
      </w:pPr>
      <w:r>
        <w:rPr>
          <w:rFonts w:cs="Arial" w:ascii="Arial" w:hAnsi="Arial"/>
          <w:color w:val="000000"/>
          <w:sz w:val="24"/>
          <w:szCs w:val="24"/>
        </w:rPr>
        <w:t>15. Korpus wykonany z wysokociśnieniowego aluminium, malowany proszkowo</w:t>
      </w:r>
    </w:p>
    <w:p>
      <w:pPr>
        <w:pStyle w:val="Normal"/>
        <w:spacing w:before="0" w:after="0"/>
        <w:ind w:left="0" w:right="0" w:firstLine="708"/>
        <w:jc w:val="both"/>
        <w:rPr>
          <w:color w:val="000000"/>
        </w:rPr>
      </w:pPr>
      <w:r>
        <w:rPr>
          <w:rFonts w:cs="Arial" w:ascii="Arial" w:hAnsi="Arial"/>
          <w:color w:val="000000"/>
          <w:sz w:val="24"/>
          <w:szCs w:val="24"/>
        </w:rPr>
        <w:t>16. Szklany klosz oprawy, osłaniający panel LED</w:t>
      </w:r>
    </w:p>
    <w:p>
      <w:pPr>
        <w:pStyle w:val="Normal"/>
        <w:spacing w:before="0" w:after="0"/>
        <w:ind w:left="708" w:right="0" w:hanging="0"/>
        <w:jc w:val="both"/>
        <w:rPr>
          <w:color w:val="000000"/>
        </w:rPr>
      </w:pPr>
      <w:r>
        <w:rPr>
          <w:rFonts w:cs="Arial" w:ascii="Arial" w:hAnsi="Arial"/>
          <w:color w:val="000000"/>
          <w:sz w:val="24"/>
          <w:szCs w:val="24"/>
        </w:rPr>
        <w:t>17. Elementy mocujące i zamykające oprawę wykonane ze stali nierdzewnej lub aluminium</w:t>
      </w:r>
    </w:p>
    <w:p>
      <w:pPr>
        <w:pStyle w:val="Normal"/>
        <w:spacing w:before="0" w:after="0"/>
        <w:ind w:left="0" w:right="0" w:firstLine="708"/>
        <w:jc w:val="both"/>
        <w:rPr>
          <w:color w:val="000000"/>
        </w:rPr>
      </w:pPr>
      <w:r>
        <w:rPr>
          <w:rFonts w:cs="Arial" w:ascii="Arial" w:hAnsi="Arial"/>
          <w:color w:val="000000"/>
          <w:sz w:val="24"/>
          <w:szCs w:val="24"/>
        </w:rPr>
        <w:t>18. Dostęp do komory elektrycznej – klasa serwisowa A</w:t>
      </w:r>
    </w:p>
    <w:p>
      <w:pPr>
        <w:pStyle w:val="Normal"/>
        <w:spacing w:before="0" w:after="0"/>
        <w:ind w:left="708" w:right="0" w:hanging="0"/>
        <w:jc w:val="both"/>
        <w:rPr>
          <w:color w:val="000000"/>
        </w:rPr>
      </w:pPr>
      <w:r>
        <w:rPr>
          <w:rFonts w:cs="Arial" w:ascii="Arial" w:hAnsi="Arial"/>
          <w:color w:val="000000"/>
          <w:sz w:val="24"/>
          <w:szCs w:val="24"/>
        </w:rPr>
        <w:t>19. Oprawa wyposażona w gniazdo komunikacyjne typu NEMA 7 PIN/ZHAGA</w:t>
      </w:r>
    </w:p>
    <w:p>
      <w:pPr>
        <w:pStyle w:val="Normal"/>
        <w:spacing w:before="0" w:after="0"/>
        <w:ind w:left="0" w:right="0" w:firstLine="708"/>
        <w:jc w:val="both"/>
        <w:rPr>
          <w:color w:val="000000"/>
        </w:rPr>
      </w:pPr>
      <w:r>
        <w:rPr>
          <w:rFonts w:cs="Arial" w:ascii="Arial" w:hAnsi="Arial"/>
          <w:color w:val="000000"/>
          <w:sz w:val="24"/>
          <w:szCs w:val="24"/>
        </w:rPr>
        <w:t>20. Zasilacz o trwałości min. L90 100000h</w:t>
      </w:r>
    </w:p>
    <w:p>
      <w:pPr>
        <w:pStyle w:val="Normal"/>
        <w:jc w:val="both"/>
        <w:rPr>
          <w:rFonts w:cs="Arial"/>
          <w:b w:val="false"/>
          <w:b w:val="false"/>
          <w:bCs w:val="false"/>
          <w:i w:val="false"/>
          <w:i w:val="false"/>
          <w:iCs w:val="false"/>
          <w:color w:val="000000"/>
        </w:rPr>
      </w:pPr>
      <w:r>
        <w:rPr>
          <w:rFonts w:cs="Arial"/>
          <w:b w:val="false"/>
          <w:bCs w:val="false"/>
          <w:i w:val="false"/>
          <w:iCs w:val="false"/>
          <w:color w:val="000000"/>
        </w:rPr>
      </w:r>
    </w:p>
    <w:p>
      <w:pPr>
        <w:pStyle w:val="Normal"/>
        <w:jc w:val="both"/>
        <w:rPr>
          <w:color w:val="000000"/>
        </w:rPr>
      </w:pPr>
      <w:r>
        <w:rPr>
          <w:rFonts w:cs="Arial" w:ascii="Arial" w:hAnsi="Arial"/>
          <w:b/>
          <w:bCs/>
          <w:i w:val="false"/>
          <w:iCs w:val="false"/>
          <w:color w:val="000000"/>
          <w:sz w:val="24"/>
          <w:szCs w:val="24"/>
        </w:rPr>
        <w:t>Iluminacje</w:t>
      </w:r>
    </w:p>
    <w:p>
      <w:pPr>
        <w:pStyle w:val="Bezodstpw"/>
        <w:spacing w:lineRule="auto" w:line="276"/>
        <w:jc w:val="both"/>
        <w:rPr>
          <w:color w:val="000000"/>
        </w:rPr>
      </w:pPr>
      <w:r>
        <w:rPr>
          <w:rFonts w:cs="Arial" w:ascii="Arial" w:hAnsi="Arial"/>
          <w:b w:val="false"/>
          <w:bCs w:val="false"/>
          <w:i w:val="false"/>
          <w:iCs w:val="false"/>
          <w:color w:val="000000"/>
          <w:sz w:val="24"/>
          <w:szCs w:val="24"/>
        </w:rPr>
        <w:tab/>
        <w:t xml:space="preserve">Nie należy wykonywać obliczeń fotometrycznych dla wierszy z tabeli załącznika nr 2 </w:t>
        <w:tab/>
        <w:t xml:space="preserve">(LATARNIE) oznaczonych </w:t>
        <w:tab/>
        <w:t xml:space="preserve">jako „iluminacja kościoła”, "Iluminacja", "Naświetlacz" </w:t>
        <w:tab/>
        <w:t xml:space="preserve">(dla tych sytuacji Wykonawcy mogą zaproponować oprawę bez </w:t>
        <w:tab/>
        <w:t xml:space="preserve">przedkładania </w:t>
        <w:tab/>
        <w:t xml:space="preserve">obliczeń fotometrycznych – w związku z faktem, że nie ma w tabeli określonych klas </w:t>
        <w:tab/>
        <w:t xml:space="preserve">jezdni czy innych </w:t>
        <w:tab/>
        <w:t xml:space="preserve">parametrów geometrycznych). Oprawy należy dobrać tak aby </w:t>
        <w:tab/>
        <w:t xml:space="preserve">zachować poziom luminancji jak dla oprawy </w:t>
        <w:tab/>
        <w:t xml:space="preserve">wymienianej, tzn. oprawa </w:t>
        <w:tab/>
        <w:t xml:space="preserve">metalohalogenkowa np. o luminancji 5000 lm wymieniana na LED o luminancji min. </w:t>
        <w:tab/>
        <w:t>5000 lm, aby zachować zaprojektowaną scenę świetlną.</w:t>
      </w:r>
    </w:p>
    <w:p>
      <w:pPr>
        <w:pStyle w:val="Bezodstpw"/>
        <w:spacing w:lineRule="auto" w:line="276"/>
        <w:jc w:val="both"/>
        <w:rPr>
          <w:color w:val="000000"/>
        </w:rPr>
      </w:pPr>
      <w:r>
        <w:rPr>
          <w:rFonts w:cs="Arial" w:ascii="Arial" w:hAnsi="Arial"/>
          <w:b w:val="false"/>
          <w:bCs w:val="false"/>
          <w:i w:val="false"/>
          <w:iCs w:val="false"/>
          <w:color w:val="000000"/>
          <w:sz w:val="24"/>
          <w:szCs w:val="24"/>
        </w:rPr>
        <w:tab/>
      </w:r>
      <w:r>
        <w:rPr>
          <w:rFonts w:cs="Arial" w:ascii="Arial" w:hAnsi="Arial"/>
          <w:b w:val="false"/>
          <w:bCs w:val="false"/>
          <w:i w:val="false"/>
          <w:iCs w:val="false"/>
          <w:color w:val="000000"/>
          <w:sz w:val="24"/>
          <w:szCs w:val="24"/>
        </w:rPr>
        <w:t xml:space="preserve">Dotyczy </w:t>
      </w:r>
      <w:r>
        <w:rPr>
          <w:rFonts w:cs="Arial" w:ascii="Arial" w:hAnsi="Arial"/>
          <w:b w:val="false"/>
          <w:bCs w:val="false"/>
          <w:i w:val="false"/>
          <w:iCs w:val="false"/>
          <w:color w:val="000000"/>
          <w:sz w:val="24"/>
          <w:szCs w:val="24"/>
        </w:rPr>
        <w:t>wierszy z tabeli załącznika nr 2 (LATARNIE):</w:t>
      </w:r>
      <w:r>
        <w:rPr>
          <w:rFonts w:cs="Arial" w:ascii="Arial" w:hAnsi="Arial"/>
          <w:b w:val="false"/>
          <w:bCs w:val="false"/>
          <w:i w:val="false"/>
          <w:iCs w:val="false"/>
          <w:color w:val="000000"/>
          <w:sz w:val="24"/>
          <w:szCs w:val="24"/>
        </w:rPr>
        <w:t xml:space="preserve"> </w:t>
      </w:r>
    </w:p>
    <w:p>
      <w:pPr>
        <w:pStyle w:val="Bezodstpw"/>
        <w:spacing w:lineRule="auto" w:line="240"/>
        <w:jc w:val="both"/>
        <w:rPr>
          <w:color w:val="000000"/>
        </w:rPr>
      </w:pPr>
      <w:r>
        <w:rPr>
          <w:rFonts w:cs="Arial" w:ascii="Arial" w:hAnsi="Arial"/>
          <w:b w:val="false"/>
          <w:bCs w:val="false"/>
          <w:i w:val="false"/>
          <w:iCs w:val="false"/>
          <w:color w:val="000000"/>
          <w:sz w:val="24"/>
          <w:szCs w:val="24"/>
        </w:rPr>
        <w:tab/>
        <w:t xml:space="preserve">1. Akord 2510, 2511, 2512, 2513, 2514 – iluminacja Kościoła Marii Panny – </w:t>
        <w:tab/>
        <w:t>naświetlacze,</w:t>
      </w:r>
    </w:p>
    <w:p>
      <w:pPr>
        <w:pStyle w:val="Bezodstpw"/>
        <w:spacing w:lineRule="auto" w:line="240"/>
        <w:jc w:val="both"/>
        <w:rPr>
          <w:color w:val="000000"/>
        </w:rPr>
      </w:pPr>
      <w:r>
        <w:rPr>
          <w:rFonts w:cs="Arial" w:ascii="Arial" w:hAnsi="Arial"/>
          <w:b w:val="false"/>
          <w:bCs w:val="false"/>
          <w:i w:val="false"/>
          <w:iCs w:val="false"/>
          <w:color w:val="000000"/>
          <w:sz w:val="24"/>
          <w:szCs w:val="24"/>
        </w:rPr>
        <w:tab/>
        <w:t xml:space="preserve">2. </w:t>
      </w:r>
      <w:r>
        <w:rPr>
          <w:rFonts w:cs="Arial" w:ascii="Arial" w:hAnsi="Arial"/>
          <w:color w:val="000000"/>
          <w:sz w:val="24"/>
          <w:szCs w:val="24"/>
        </w:rPr>
        <w:t>Akordy 2502, 2503, 2504, - iluminacja Kościoła Rocha naświetlacze,</w:t>
      </w:r>
    </w:p>
    <w:p>
      <w:pPr>
        <w:pStyle w:val="Bezodstpw"/>
        <w:spacing w:lineRule="auto" w:line="240"/>
        <w:jc w:val="both"/>
        <w:rPr>
          <w:color w:val="000000"/>
        </w:rPr>
      </w:pPr>
      <w:r>
        <w:rPr>
          <w:rFonts w:cs="Arial" w:ascii="Arial" w:hAnsi="Arial"/>
          <w:color w:val="000000"/>
          <w:sz w:val="24"/>
          <w:szCs w:val="24"/>
        </w:rPr>
        <w:tab/>
        <w:t>3. Akordy 2505, 2506, 2507, 2508, – iluminacja Kościoła Rocha oprawy doziemne</w:t>
      </w:r>
    </w:p>
    <w:p>
      <w:pPr>
        <w:pStyle w:val="Bezodstpw"/>
        <w:spacing w:lineRule="auto" w:line="240"/>
        <w:jc w:val="both"/>
        <w:rPr>
          <w:color w:val="000000"/>
        </w:rPr>
      </w:pPr>
      <w:r>
        <w:rPr>
          <w:rFonts w:cs="Arial" w:ascii="Arial" w:hAnsi="Arial"/>
          <w:color w:val="000000"/>
          <w:sz w:val="24"/>
          <w:szCs w:val="24"/>
        </w:rPr>
        <w:tab/>
        <w:t xml:space="preserve">4. Akordy 2557, 2558, 2559, 2560, 2561, 2562, 2563, 2564, 2565 – iluminacja </w:t>
        <w:tab/>
        <w:t>Kościoła Szkolnego.</w:t>
      </w:r>
    </w:p>
    <w:p>
      <w:pPr>
        <w:pStyle w:val="Normal"/>
        <w:spacing w:lineRule="auto" w:line="240" w:before="0" w:after="0"/>
        <w:jc w:val="both"/>
        <w:rPr>
          <w:color w:val="000000"/>
        </w:rPr>
      </w:pPr>
      <w:r>
        <w:rPr>
          <w:rFonts w:cs="Arial" w:ascii="Arial" w:hAnsi="Arial"/>
          <w:color w:val="000000"/>
          <w:sz w:val="24"/>
          <w:szCs w:val="24"/>
        </w:rPr>
        <w:tab/>
        <w:t>5. Akordy 2291,2292 – Plac Wolności iluminacja – naświetlacze</w:t>
      </w:r>
    </w:p>
    <w:p>
      <w:pPr>
        <w:pStyle w:val="Normal"/>
        <w:spacing w:lineRule="auto" w:line="240" w:before="0" w:after="46"/>
        <w:jc w:val="both"/>
        <w:rPr>
          <w:color w:val="000000"/>
        </w:rPr>
      </w:pPr>
      <w:r>
        <w:rPr>
          <w:rFonts w:cs="Arial" w:ascii="Arial" w:hAnsi="Arial"/>
          <w:b w:val="false"/>
          <w:bCs w:val="false"/>
          <w:i w:val="false"/>
          <w:iCs w:val="false"/>
          <w:color w:val="000000"/>
          <w:sz w:val="24"/>
          <w:szCs w:val="24"/>
        </w:rPr>
        <w:tab/>
        <w:t>6. Akord 1551 Promenada naświetlacz</w:t>
      </w:r>
    </w:p>
    <w:p>
      <w:pPr>
        <w:pStyle w:val="Bezodstpw"/>
        <w:spacing w:lineRule="auto" w:line="276"/>
        <w:jc w:val="both"/>
        <w:rPr>
          <w:color w:val="000000"/>
        </w:rPr>
      </w:pPr>
      <w:r>
        <w:rPr>
          <w:rFonts w:cs="Arial" w:ascii="Arial" w:hAnsi="Arial"/>
          <w:b w:val="false"/>
          <w:bCs w:val="false"/>
          <w:i w:val="false"/>
          <w:iCs w:val="false"/>
          <w:color w:val="000000"/>
          <w:sz w:val="24"/>
          <w:szCs w:val="24"/>
        </w:rPr>
        <w:tab/>
        <w:t xml:space="preserve">, </w:t>
      </w:r>
    </w:p>
    <w:p>
      <w:pPr>
        <w:pStyle w:val="ListParagraph"/>
        <w:spacing w:lineRule="auto" w:line="276" w:before="0" w:after="200"/>
        <w:ind w:left="720" w:right="281" w:hanging="0"/>
        <w:contextualSpacing/>
        <w:jc w:val="both"/>
        <w:rPr>
          <w:rFonts w:ascii="Arial" w:hAnsi="Arial" w:eastAsia="Batang" w:cs="Arial"/>
          <w:b/>
          <w:b/>
          <w:i/>
          <w:i/>
          <w:color w:val="000000"/>
          <w:sz w:val="24"/>
          <w:szCs w:val="24"/>
          <w:lang w:eastAsia="ar-SA"/>
        </w:rPr>
      </w:pPr>
      <w:r>
        <w:rPr>
          <w:rFonts w:eastAsia="Batang" w:cs="Arial" w:ascii="Arial" w:hAnsi="Arial"/>
          <w:b/>
          <w:i/>
          <w:color w:val="000000"/>
          <w:sz w:val="24"/>
          <w:szCs w:val="24"/>
          <w:lang w:eastAsia="ar-SA"/>
        </w:rPr>
      </w:r>
    </w:p>
    <w:p>
      <w:pPr>
        <w:pStyle w:val="ListParagraph"/>
        <w:numPr>
          <w:ilvl w:val="0"/>
          <w:numId w:val="4"/>
        </w:numPr>
        <w:spacing w:lineRule="auto" w:line="276" w:before="0" w:after="200"/>
        <w:contextualSpacing/>
        <w:jc w:val="both"/>
        <w:rPr>
          <w:color w:val="000000"/>
        </w:rPr>
      </w:pPr>
      <w:r>
        <w:rPr>
          <w:rFonts w:ascii="Arial" w:hAnsi="Arial"/>
          <w:color w:val="000000"/>
          <w:sz w:val="24"/>
          <w:szCs w:val="24"/>
        </w:rPr>
        <w:t xml:space="preserve">Oprawy muszą posiadać dostępne bazy danych fotometrycznych zamieszczonych na stronie producenta i umożliwiających wykonanie obliczeń parametrów oświetleniowych w ogólnodostępnych programach obliczeniowych typu DIALux i karty katalogowe wykazujące zgodność z danymi podanymi na oficjalnej stronie producenta. </w:t>
      </w:r>
    </w:p>
    <w:p>
      <w:pPr>
        <w:pStyle w:val="NoSpacing"/>
        <w:jc w:val="both"/>
        <w:rPr>
          <w:rFonts w:ascii="Arial" w:hAnsi="Arial" w:cs="Times New Roman"/>
          <w:color w:val="000000"/>
          <w:sz w:val="24"/>
          <w:szCs w:val="24"/>
          <w:u w:val="single"/>
        </w:rPr>
      </w:pPr>
      <w:r>
        <w:rPr>
          <w:rFonts w:cs="Times New Roman" w:ascii="Arial" w:hAnsi="Arial"/>
          <w:color w:val="000000"/>
          <w:sz w:val="24"/>
          <w:szCs w:val="24"/>
          <w:u w:val="single"/>
        </w:rPr>
      </w:r>
    </w:p>
    <w:p>
      <w:pPr>
        <w:pStyle w:val="NoSpacing"/>
        <w:jc w:val="both"/>
        <w:rPr>
          <w:color w:val="000000"/>
        </w:rPr>
      </w:pPr>
      <w:r>
        <w:rPr>
          <w:rFonts w:cs="Times New Roman" w:ascii="Arial" w:hAnsi="Arial"/>
          <w:color w:val="000000"/>
        </w:rPr>
        <w:t xml:space="preserve">       </w:t>
      </w:r>
    </w:p>
    <w:p>
      <w:pPr>
        <w:pStyle w:val="Normal"/>
        <w:jc w:val="both"/>
        <w:rPr>
          <w:color w:val="000000"/>
        </w:rPr>
      </w:pPr>
      <w:r>
        <w:rPr>
          <w:rFonts w:cs="Times New Roman" w:ascii="Arial" w:hAnsi="Arial"/>
          <w:color w:val="000000"/>
          <w:sz w:val="24"/>
          <w:szCs w:val="24"/>
        </w:rPr>
        <w:t xml:space="preserve">  </w:t>
      </w:r>
      <w:r>
        <w:rPr>
          <w:rFonts w:cs="Times New Roman" w:ascii="Arial" w:hAnsi="Arial"/>
          <w:color w:val="000000"/>
          <w:sz w:val="24"/>
          <w:szCs w:val="24"/>
        </w:rPr>
        <w:t xml:space="preserve">   </w:t>
      </w:r>
      <w:r>
        <w:rPr>
          <w:rFonts w:cs="Times New Roman" w:ascii="Arial" w:hAnsi="Arial"/>
          <w:color w:val="000000"/>
          <w:sz w:val="24"/>
          <w:szCs w:val="24"/>
        </w:rPr>
        <w:t xml:space="preserve">Aby potwierdzić, że oferowane oprawy oświetlenia ulicznego będą spełniać minimalne wymagania oświetleniowe i </w:t>
      </w:r>
      <w:r>
        <w:rPr>
          <w:rFonts w:cs="Times New Roman" w:ascii="Arial" w:hAnsi="Arial"/>
          <w:bCs/>
          <w:color w:val="000000"/>
          <w:sz w:val="24"/>
          <w:szCs w:val="24"/>
        </w:rPr>
        <w:t>będą zgodne z normą PN-EN 13201</w:t>
      </w:r>
      <w:r>
        <w:rPr>
          <w:rFonts w:cs="Times New Roman" w:ascii="Arial" w:hAnsi="Arial"/>
          <w:color w:val="000000"/>
          <w:sz w:val="24"/>
          <w:szCs w:val="24"/>
        </w:rPr>
        <w:t>, zaleca się załączyć obliczenia fotometryczne dla proponowanych opraw wykonane dla wszystkich charakterystycznych odcinków dróg. Wyliczenia takie, aby były porównywalne, muszą</w:t>
      </w:r>
      <w:r>
        <w:rPr>
          <w:rFonts w:cs="Times New Roman" w:ascii="Arial" w:hAnsi="Arial"/>
          <w:color w:val="000000"/>
          <w:sz w:val="28"/>
          <w:szCs w:val="28"/>
        </w:rPr>
        <w:t xml:space="preserve"> </w:t>
      </w:r>
      <w:r>
        <w:rPr>
          <w:rFonts w:cs="Times New Roman" w:ascii="Arial" w:hAnsi="Arial"/>
          <w:color w:val="000000"/>
          <w:sz w:val="24"/>
          <w:szCs w:val="24"/>
        </w:rPr>
        <w:t xml:space="preserve">zawierać wszystkie parametry, które zawierają obliczenia przykładowe, wykonane na podstawie tych samych danych, tj. szerokość drogi, wysokość zawieszenia oprawy, wysunięcie oprawy nad jezdnię, odstęp między oprawami, strumień źródła światła itd.  Zamawiający dopuszcza </w:t>
      </w:r>
      <w:r>
        <w:rPr>
          <w:rFonts w:eastAsia="Times New Roman" w:cs="Times New Roman" w:ascii="Arial" w:hAnsi="Arial"/>
          <w:color w:val="000000"/>
          <w:sz w:val="24"/>
          <w:szCs w:val="24"/>
        </w:rPr>
        <w:t xml:space="preserve">oprawy o mocy nie większej i strumieniu świetlnym emitowanym z oprawy nie mniejszym niż zawarte w projekcie </w:t>
      </w:r>
      <w:r>
        <w:rPr>
          <w:rFonts w:cs="Times New Roman" w:ascii="Arial" w:hAnsi="Arial"/>
          <w:color w:val="000000"/>
          <w:sz w:val="24"/>
          <w:szCs w:val="24"/>
        </w:rPr>
        <w:t xml:space="preserve">do oferty równoważnej.  </w:t>
      </w:r>
    </w:p>
    <w:p>
      <w:pPr>
        <w:pStyle w:val="NoSpacing"/>
        <w:jc w:val="both"/>
        <w:rPr>
          <w:color w:val="000000"/>
        </w:rPr>
      </w:pPr>
      <w:r>
        <w:rPr>
          <w:rFonts w:cs="Times New Roman" w:ascii="Arial" w:hAnsi="Arial"/>
          <w:color w:val="000000"/>
          <w:sz w:val="24"/>
          <w:szCs w:val="24"/>
        </w:rPr>
        <w:t xml:space="preserve">     </w:t>
      </w:r>
      <w:r>
        <w:rPr>
          <w:rFonts w:cs="Times New Roman" w:ascii="Arial" w:hAnsi="Arial"/>
          <w:color w:val="000000"/>
          <w:sz w:val="24"/>
          <w:szCs w:val="24"/>
        </w:rPr>
        <w:t>Aby móc stwierdzić, iż oprawy spełniają minimalne założenia fotometryczne należy udostępnić dane techniczne właściwości opraw – rozsyłu światła opraw</w:t>
      </w:r>
      <w:r>
        <w:rPr>
          <w:rFonts w:cs="Times New Roman" w:ascii="Arial" w:hAnsi="Arial"/>
          <w:color w:val="000000"/>
          <w:sz w:val="28"/>
          <w:szCs w:val="28"/>
        </w:rPr>
        <w:t xml:space="preserve"> </w:t>
      </w:r>
      <w:r>
        <w:rPr>
          <w:rFonts w:cs="Times New Roman" w:ascii="Arial" w:hAnsi="Arial"/>
          <w:color w:val="000000"/>
          <w:sz w:val="24"/>
          <w:szCs w:val="24"/>
        </w:rPr>
        <w:t>oświetleniowych – całej bryły światłości w formie elektronicznej bazy danych (np. plików LDT) umożliwiających na ich podstawie dokonanie wyliczeń parametrów</w:t>
      </w:r>
      <w:r>
        <w:rPr>
          <w:rFonts w:cs="Times New Roman" w:ascii="Arial" w:hAnsi="Arial"/>
          <w:color w:val="000000"/>
          <w:sz w:val="28"/>
          <w:szCs w:val="28"/>
        </w:rPr>
        <w:t xml:space="preserve"> </w:t>
      </w:r>
      <w:r>
        <w:rPr>
          <w:rFonts w:cs="Times New Roman" w:ascii="Arial" w:hAnsi="Arial"/>
          <w:color w:val="000000"/>
          <w:sz w:val="24"/>
          <w:szCs w:val="24"/>
        </w:rPr>
        <w:t>oświetleniowych drogi w ogólnie</w:t>
      </w:r>
      <w:r>
        <w:rPr>
          <w:rFonts w:cs="Times New Roman" w:ascii="Arial" w:hAnsi="Arial"/>
          <w:color w:val="000000"/>
          <w:sz w:val="28"/>
          <w:szCs w:val="28"/>
        </w:rPr>
        <w:t xml:space="preserve"> </w:t>
      </w:r>
      <w:r>
        <w:rPr>
          <w:rFonts w:cs="Times New Roman" w:ascii="Arial" w:hAnsi="Arial"/>
          <w:color w:val="000000"/>
          <w:sz w:val="24"/>
          <w:szCs w:val="24"/>
        </w:rPr>
        <w:t xml:space="preserve">dostępnym programie komputerowym do wspomagania obliczeń (np. RELUX lub DIALUX). </w:t>
      </w:r>
    </w:p>
    <w:p>
      <w:pPr>
        <w:pStyle w:val="NoSpacing"/>
        <w:jc w:val="both"/>
        <w:rPr>
          <w:rFonts w:ascii="Arial" w:hAnsi="Arial" w:cs="Times New Roman"/>
          <w:color w:val="000000"/>
          <w:sz w:val="24"/>
          <w:szCs w:val="24"/>
        </w:rPr>
      </w:pPr>
      <w:r>
        <w:rPr>
          <w:rFonts w:cs="Times New Roman" w:ascii="Arial" w:hAnsi="Arial"/>
          <w:color w:val="000000"/>
          <w:sz w:val="24"/>
          <w:szCs w:val="24"/>
        </w:rPr>
      </w:r>
    </w:p>
    <w:p>
      <w:pPr>
        <w:pStyle w:val="Tekstpodstawowy21"/>
        <w:jc w:val="both"/>
        <w:rPr>
          <w:color w:val="000000"/>
        </w:rPr>
      </w:pPr>
      <w:r>
        <w:rPr>
          <w:rFonts w:ascii="Arial" w:hAnsi="Arial"/>
          <w:b/>
          <w:color w:val="000000"/>
          <w:sz w:val="24"/>
        </w:rPr>
        <w:t>Wysięgniki</w:t>
      </w:r>
    </w:p>
    <w:p>
      <w:pPr>
        <w:pStyle w:val="Tekstpodstawowy21"/>
        <w:jc w:val="both"/>
        <w:rPr>
          <w:rFonts w:ascii="Arial" w:hAnsi="Arial"/>
        </w:rPr>
      </w:pPr>
      <w:r>
        <w:rPr>
          <w:rFonts w:ascii="Arial" w:hAnsi="Arial"/>
          <w:color w:val="000000"/>
          <w:sz w:val="24"/>
        </w:rPr>
        <w:t>Wysięgniki powinny być wykonane zgodnie z dokumentacją</w:t>
      </w:r>
      <w:r>
        <w:rPr>
          <w:rFonts w:ascii="Arial" w:hAnsi="Arial"/>
          <w:sz w:val="24"/>
        </w:rPr>
        <w:t xml:space="preserve"> przetargową, jeżeli dokumentacja przetargowa nie przewiduje inaczej, to należy wysięgniki wykonywać z rur ocynkowanych bez szwu i średnicy zewnętrznej 60 mm. Grubość ścianki rury nie powinna przekraczać 5 mm, natomiast długość wysięgnika 1,0 m i kącie nachylenia 10</w:t>
      </w:r>
      <w:r>
        <w:rPr>
          <w:rFonts w:ascii="Arial" w:hAnsi="Arial"/>
          <w:sz w:val="24"/>
          <w:vertAlign w:val="superscript"/>
        </w:rPr>
        <w:t>0</w:t>
      </w:r>
      <w:r>
        <w:rPr>
          <w:rFonts w:ascii="Arial" w:hAnsi="Arial"/>
          <w:sz w:val="24"/>
        </w:rPr>
        <w:t>.</w:t>
      </w:r>
    </w:p>
    <w:p>
      <w:pPr>
        <w:pStyle w:val="Tekstpodstawowy21"/>
        <w:jc w:val="both"/>
        <w:rPr>
          <w:rFonts w:ascii="Arial" w:hAnsi="Arial"/>
        </w:rPr>
      </w:pPr>
      <w:r>
        <w:rPr>
          <w:rFonts w:ascii="Arial" w:hAnsi="Arial"/>
          <w:sz w:val="24"/>
        </w:rPr>
        <w:t>Istniejące wysięgniki na słupach, na których wymieniana będzie oprawa i nie jest przewidziana  w inwentaryzacji wymiana istniejącego wysięgnika należy oczyścić z rdzy do stanu St-2 i pokryć powłokami malarskimi z zewnątrz rur na długości 15 cm w miejscu montażu oprawy, stosując farby antykorozyjne wieloskładnikowe do jednokrotnego malowania.</w:t>
      </w:r>
    </w:p>
    <w:p>
      <w:pPr>
        <w:pStyle w:val="Tekstpodstawowy21"/>
        <w:jc w:val="both"/>
        <w:rPr>
          <w:rFonts w:ascii="Arial" w:hAnsi="Arial"/>
          <w:sz w:val="24"/>
        </w:rPr>
      </w:pPr>
      <w:r>
        <w:rPr>
          <w:rFonts w:ascii="Arial" w:hAnsi="Arial"/>
          <w:sz w:val="24"/>
        </w:rPr>
      </w:r>
    </w:p>
    <w:p>
      <w:pPr>
        <w:pStyle w:val="Tekstpodstawowy21"/>
        <w:jc w:val="both"/>
        <w:rPr>
          <w:rFonts w:ascii="Arial" w:hAnsi="Arial"/>
        </w:rPr>
      </w:pPr>
      <w:r>
        <w:rPr>
          <w:rFonts w:ascii="Arial" w:hAnsi="Arial"/>
          <w:b/>
          <w:sz w:val="24"/>
        </w:rPr>
        <w:t>Kable</w:t>
      </w:r>
    </w:p>
    <w:p>
      <w:pPr>
        <w:pStyle w:val="Tekstpodstawowy21"/>
        <w:jc w:val="both"/>
        <w:rPr>
          <w:rFonts w:ascii="Arial" w:hAnsi="Arial"/>
        </w:rPr>
      </w:pPr>
      <w:r>
        <w:rPr>
          <w:rFonts w:ascii="Arial" w:hAnsi="Arial"/>
          <w:sz w:val="24"/>
        </w:rPr>
        <w:t xml:space="preserve">Kable używane do oświetlenia dróg powinny spełniać wymagania PN-93/E-90401 [17], Zaleca się stosowanie kabli o napięciu znamionowym 0,6/1 kV, o żyłach aluminiowych lub miedzianych w izolacji polwinitowej. </w:t>
      </w:r>
    </w:p>
    <w:p>
      <w:pPr>
        <w:pStyle w:val="Tekstpodstawowy21"/>
        <w:jc w:val="both"/>
        <w:rPr>
          <w:rFonts w:ascii="Arial" w:hAnsi="Arial"/>
        </w:rPr>
      </w:pPr>
      <w:r>
        <w:rPr>
          <w:rFonts w:ascii="Arial" w:hAnsi="Arial"/>
          <w:sz w:val="24"/>
        </w:rPr>
        <w:t>Bębny z kablami należy przechowywać w miejscach pokrytych dachem, zabezpieczonych przed opadami atmosferycznymi i bezpośrednim działaniem promieni słonecznych.</w:t>
        <w:tab/>
      </w:r>
    </w:p>
    <w:p>
      <w:pPr>
        <w:pStyle w:val="Tekstpodstawowy21"/>
        <w:jc w:val="both"/>
        <w:rPr>
          <w:rFonts w:ascii="Arial" w:hAnsi="Arial"/>
        </w:rPr>
      </w:pPr>
      <w:r>
        <w:rPr>
          <w:rFonts w:ascii="Arial" w:hAnsi="Arial"/>
        </w:rPr>
      </w:r>
    </w:p>
    <w:p>
      <w:pPr>
        <w:pStyle w:val="Tekstpodstawowy21"/>
        <w:jc w:val="both"/>
        <w:rPr>
          <w:rFonts w:ascii="Arial" w:hAnsi="Arial"/>
        </w:rPr>
      </w:pPr>
      <w:r>
        <w:rPr>
          <w:rFonts w:ascii="Arial" w:hAnsi="Arial"/>
          <w:b/>
          <w:sz w:val="24"/>
        </w:rPr>
        <w:t>Źródła światła i oprawy</w:t>
      </w:r>
    </w:p>
    <w:p>
      <w:pPr>
        <w:pStyle w:val="Tekstpodstawowy21"/>
        <w:jc w:val="both"/>
        <w:rPr>
          <w:rFonts w:ascii="Arial" w:hAnsi="Arial"/>
        </w:rPr>
      </w:pPr>
      <w:r>
        <w:rPr>
          <w:rFonts w:ascii="Arial" w:hAnsi="Arial"/>
          <w:sz w:val="24"/>
        </w:rPr>
        <w:t>Ze względu na wysoką skuteczność świetlną, trwałość i stałość strumienia świetlnego w czasie oraz oddawanie barw, zaleca się stosowanie lamp LED. Oprawy powinny charakteryzować się szerokim ograniczonym rozsyłem światła. Należy stosować oprawy zgodnie z opisem przedmiotu zamówienia, wykonane w II klasie izolacji. Oprawy powinny być przechowywane w pomieszczeniach o temperaturze nie niższej niż -5°C i wilgotności względnej powietrza nie przekraczającej 80% i w opakowaniach zgodnych z PN-86/O-79IOO [19].</w:t>
      </w:r>
    </w:p>
    <w:p>
      <w:pPr>
        <w:pStyle w:val="Tekstpodstawowy21"/>
        <w:jc w:val="both"/>
        <w:rPr>
          <w:rFonts w:ascii="Arial" w:hAnsi="Arial"/>
        </w:rPr>
      </w:pPr>
      <w:r>
        <w:rPr>
          <w:rFonts w:ascii="Arial" w:hAnsi="Arial"/>
          <w:sz w:val="24"/>
        </w:rPr>
        <w:tab/>
        <w:tab/>
      </w:r>
    </w:p>
    <w:p>
      <w:pPr>
        <w:pStyle w:val="Normal"/>
        <w:spacing w:lineRule="auto" w:line="240" w:before="0" w:after="0"/>
        <w:jc w:val="both"/>
        <w:rPr>
          <w:rFonts w:ascii="Arial" w:hAnsi="Arial" w:cs="TimesNewRomanPSMT"/>
          <w:color w:val="FF0000"/>
          <w:sz w:val="24"/>
          <w:szCs w:val="24"/>
        </w:rPr>
      </w:pPr>
      <w:r>
        <w:rPr>
          <w:rFonts w:cs="TimesNewRomanPSMT" w:ascii="Arial" w:hAnsi="Arial"/>
          <w:color w:val="FF0000"/>
          <w:sz w:val="24"/>
          <w:szCs w:val="24"/>
        </w:rPr>
      </w:r>
    </w:p>
    <w:p>
      <w:pPr>
        <w:pStyle w:val="ListParagraph"/>
        <w:numPr>
          <w:ilvl w:val="0"/>
          <w:numId w:val="3"/>
        </w:numPr>
        <w:spacing w:lineRule="auto" w:line="240" w:before="0" w:after="0"/>
        <w:contextualSpacing/>
        <w:rPr>
          <w:rFonts w:ascii="Arial" w:hAnsi="Arial"/>
        </w:rPr>
      </w:pPr>
      <w:r>
        <w:rPr>
          <w:rFonts w:cs="TimesNewRomanPS-BoldMT" w:ascii="Arial" w:hAnsi="Arial"/>
          <w:b/>
          <w:bCs/>
          <w:sz w:val="24"/>
          <w:szCs w:val="24"/>
        </w:rPr>
        <w:t>Odbiór materiałów</w:t>
      </w:r>
    </w:p>
    <w:p>
      <w:pPr>
        <w:pStyle w:val="Normal"/>
        <w:spacing w:lineRule="auto" w:line="240" w:before="0" w:after="0"/>
        <w:jc w:val="both"/>
        <w:rPr>
          <w:rFonts w:ascii="Arial" w:hAnsi="Arial"/>
        </w:rPr>
      </w:pPr>
      <w:r>
        <w:rPr>
          <w:rFonts w:cs="TimesNewRomanPSMT" w:ascii="Arial" w:hAnsi="Arial"/>
          <w:sz w:val="24"/>
          <w:szCs w:val="24"/>
        </w:rPr>
        <w:t>Materiały dostarczone na teren prac powinny posiadać świadectwa jakości, atesty, certyfikaty  i świadectwa gwarancyjne. Jeżeli istnieją jakiekolwiek wątpliwości dotyczące jego przydatności lub jakości, materiał taki należy poddać ponownemu badaniu.</w:t>
      </w:r>
    </w:p>
    <w:p>
      <w:pPr>
        <w:pStyle w:val="Normal"/>
        <w:spacing w:lineRule="auto" w:line="240" w:before="0" w:after="0"/>
        <w:rPr>
          <w:rFonts w:ascii="Arial" w:hAnsi="Arial" w:cs="TimesNewRomanPS-BoldMT"/>
          <w:b/>
          <w:b/>
          <w:bCs/>
          <w:sz w:val="24"/>
          <w:szCs w:val="24"/>
        </w:rPr>
      </w:pPr>
      <w:r>
        <w:rPr>
          <w:rFonts w:cs="TimesNewRomanPS-BoldMT" w:ascii="Arial" w:hAnsi="Arial"/>
          <w:b/>
          <w:bCs/>
          <w:sz w:val="24"/>
          <w:szCs w:val="24"/>
        </w:rPr>
      </w:r>
    </w:p>
    <w:p>
      <w:pPr>
        <w:pStyle w:val="ListParagraph"/>
        <w:numPr>
          <w:ilvl w:val="0"/>
          <w:numId w:val="3"/>
        </w:numPr>
        <w:spacing w:lineRule="auto" w:line="240" w:before="0" w:after="0"/>
        <w:contextualSpacing/>
        <w:rPr>
          <w:rFonts w:ascii="Arial" w:hAnsi="Arial"/>
        </w:rPr>
      </w:pPr>
      <w:r>
        <w:rPr>
          <w:rFonts w:cs="TimesNewRomanPS-BoldMT" w:ascii="Arial" w:hAnsi="Arial"/>
          <w:b/>
          <w:bCs/>
          <w:sz w:val="24"/>
          <w:szCs w:val="24"/>
        </w:rPr>
        <w:t>Składowanie materiałów w miejscu prac</w:t>
      </w:r>
    </w:p>
    <w:p>
      <w:pPr>
        <w:pStyle w:val="Tekstpodstawowy21"/>
        <w:jc w:val="both"/>
        <w:rPr>
          <w:rFonts w:ascii="Arial" w:hAnsi="Arial"/>
        </w:rPr>
      </w:pPr>
      <w:r>
        <w:rPr>
          <w:rFonts w:cs="TimesNewRomanPSMT" w:ascii="Arial" w:hAnsi="Arial"/>
          <w:sz w:val="24"/>
        </w:rPr>
        <w:t>Materiały należy dostarczać na budowę sukcesywnie w miarę postępu robót.</w:t>
      </w:r>
    </w:p>
    <w:p>
      <w:pPr>
        <w:pStyle w:val="Tekstpodstawowy21"/>
        <w:jc w:val="both"/>
        <w:rPr>
          <w:rFonts w:ascii="Arial" w:hAnsi="Arial" w:cs="TimesNewRomanPSMT"/>
          <w:sz w:val="24"/>
        </w:rPr>
      </w:pPr>
      <w:r>
        <w:rPr>
          <w:rFonts w:cs="TimesNewRomanPSMT" w:ascii="Arial" w:hAnsi="Arial"/>
          <w:sz w:val="24"/>
        </w:rPr>
      </w:r>
    </w:p>
    <w:p>
      <w:pPr>
        <w:pStyle w:val="Tekstpodstawowy21"/>
        <w:jc w:val="both"/>
        <w:rPr>
          <w:rFonts w:ascii="Arial" w:hAnsi="Arial"/>
          <w:sz w:val="24"/>
        </w:rPr>
      </w:pPr>
      <w:r>
        <w:rPr>
          <w:rFonts w:ascii="Arial" w:hAnsi="Arial"/>
          <w:sz w:val="24"/>
        </w:rPr>
      </w:r>
    </w:p>
    <w:p>
      <w:pPr>
        <w:pStyle w:val="Tekstpodstawowy21"/>
        <w:jc w:val="both"/>
        <w:rPr>
          <w:rFonts w:ascii="Arial" w:hAnsi="Arial"/>
        </w:rPr>
      </w:pPr>
      <w:r>
        <w:rPr>
          <w:rFonts w:ascii="Arial" w:hAnsi="Arial"/>
          <w:b/>
          <w:sz w:val="24"/>
        </w:rPr>
        <w:t>3. SPRZĘT</w:t>
      </w:r>
    </w:p>
    <w:p>
      <w:pPr>
        <w:pStyle w:val="Tekstpodstawowy21"/>
        <w:jc w:val="both"/>
        <w:rPr>
          <w:rFonts w:ascii="Arial" w:hAnsi="Arial"/>
        </w:rPr>
      </w:pPr>
      <w:r>
        <w:rPr>
          <w:rFonts w:ascii="Arial" w:hAnsi="Arial"/>
          <w:sz w:val="24"/>
        </w:rPr>
        <w:tab/>
        <w:tab/>
      </w:r>
    </w:p>
    <w:p>
      <w:pPr>
        <w:pStyle w:val="Tekstpodstawowy21"/>
        <w:jc w:val="both"/>
        <w:rPr>
          <w:rFonts w:ascii="Arial" w:hAnsi="Arial"/>
        </w:rPr>
      </w:pPr>
      <w:r>
        <w:rPr>
          <w:rFonts w:ascii="Arial" w:hAnsi="Arial"/>
          <w:b/>
          <w:sz w:val="24"/>
        </w:rPr>
        <w:t>Ogólne wymagania dotyczące sprzętu</w:t>
      </w:r>
    </w:p>
    <w:p>
      <w:pPr>
        <w:pStyle w:val="Tekstpodstawowy21"/>
        <w:jc w:val="both"/>
        <w:rPr>
          <w:rFonts w:ascii="Arial" w:hAnsi="Arial"/>
        </w:rPr>
      </w:pPr>
      <w:r>
        <w:rPr>
          <w:rFonts w:ascii="Arial" w:hAnsi="Arial"/>
          <w:sz w:val="24"/>
        </w:rPr>
        <w:t>Wykonawca jest zobowiązany do używania jedynie takiego sprzętu, który nie spowoduje niekorzystnego wpływu na jakość wykonywanych robót. Sprzęt używany do robót powinien być zgodny z ofertą Wykonawcy. Liczba i wydajność sprzętu będzie gwarantować przeprowadzenie robót, zgodnie z zasadami określonymi w dokumentacji projektowej, wskazaniach Zamawiającego w terminie przewidzianym umową. Sprzęt będący własnością Wykonawcy lub wynajęty do wykonania robót ma być utrzymywany w dobrym stanie i gotowości do pracy. Będzie on zgodny z normami ochrony środowiska i przepisami dotyczącymi jego użytkowania.</w:t>
      </w:r>
    </w:p>
    <w:p>
      <w:pPr>
        <w:pStyle w:val="Tekstpodstawowy21"/>
        <w:jc w:val="both"/>
        <w:rPr>
          <w:rFonts w:ascii="Arial" w:hAnsi="Arial"/>
        </w:rPr>
      </w:pPr>
      <w:r>
        <w:rPr>
          <w:rFonts w:ascii="Arial" w:hAnsi="Arial"/>
          <w:sz w:val="24"/>
        </w:rPr>
        <w:t>Wykonawca dostarczy Zamawiającemu kopie dokumentów potwierdzających dopuszczenie sprzętu do użytkowania, tam gdzie jest to wymagane przepisami.</w:t>
      </w:r>
    </w:p>
    <w:p>
      <w:pPr>
        <w:pStyle w:val="Tekstpodstawowy21"/>
        <w:jc w:val="both"/>
        <w:rPr>
          <w:rFonts w:ascii="Arial" w:hAnsi="Arial"/>
        </w:rPr>
      </w:pPr>
      <w:r>
        <w:rPr>
          <w:rFonts w:ascii="Arial" w:hAnsi="Arial"/>
          <w:sz w:val="24"/>
        </w:rPr>
        <w:tab/>
        <w:tab/>
      </w:r>
    </w:p>
    <w:p>
      <w:pPr>
        <w:pStyle w:val="Tekstpodstawowy21"/>
        <w:jc w:val="both"/>
        <w:rPr>
          <w:rFonts w:ascii="Arial" w:hAnsi="Arial"/>
        </w:rPr>
      </w:pPr>
      <w:r>
        <w:rPr>
          <w:rFonts w:ascii="Arial" w:hAnsi="Arial"/>
          <w:b/>
          <w:sz w:val="24"/>
        </w:rPr>
        <w:t>Sprzęt do wykonania oświetlenia drogowego</w:t>
      </w:r>
    </w:p>
    <w:p>
      <w:pPr>
        <w:pStyle w:val="Tekstpodstawowy21"/>
        <w:jc w:val="both"/>
        <w:rPr>
          <w:rFonts w:ascii="Arial" w:hAnsi="Arial"/>
        </w:rPr>
      </w:pPr>
      <w:r>
        <w:rPr>
          <w:rFonts w:ascii="Arial" w:hAnsi="Arial"/>
          <w:sz w:val="24"/>
        </w:rPr>
        <w:t>Wykonawca przystępujący do wykonania oświetlenia drogowego winien wykazać się możliwością korzystania z następujących maszyn i sprzętu gwarantujących właściwą jakość robót:</w:t>
      </w:r>
    </w:p>
    <w:p>
      <w:pPr>
        <w:pStyle w:val="Tekstpodstawowy21"/>
        <w:jc w:val="both"/>
        <w:rPr>
          <w:rFonts w:ascii="Arial" w:hAnsi="Arial"/>
        </w:rPr>
      </w:pPr>
      <w:r>
        <w:rPr>
          <w:rFonts w:ascii="Arial" w:hAnsi="Arial"/>
          <w:sz w:val="24"/>
        </w:rPr>
        <w:t xml:space="preserve"> </w:t>
      </w:r>
      <w:r>
        <w:rPr>
          <w:rFonts w:ascii="Arial" w:hAnsi="Arial"/>
          <w:sz w:val="24"/>
        </w:rPr>
        <w:t xml:space="preserve">- samochodu specjalnego z platformą i balkonem przystosowanego do pracy na liniach energetycznych nn. </w:t>
      </w:r>
    </w:p>
    <w:p>
      <w:pPr>
        <w:pStyle w:val="Tekstpodstawowy21"/>
        <w:jc w:val="both"/>
        <w:rPr>
          <w:rFonts w:ascii="Arial" w:hAnsi="Arial"/>
          <w:sz w:val="24"/>
        </w:rPr>
      </w:pPr>
      <w:r>
        <w:rPr>
          <w:rFonts w:ascii="Arial" w:hAnsi="Arial"/>
          <w:sz w:val="24"/>
        </w:rPr>
      </w:r>
    </w:p>
    <w:p>
      <w:pPr>
        <w:pStyle w:val="Tekstpodstawowy21"/>
        <w:jc w:val="both"/>
        <w:rPr>
          <w:rFonts w:ascii="Arial" w:hAnsi="Arial"/>
          <w:sz w:val="24"/>
        </w:rPr>
      </w:pPr>
      <w:r>
        <w:rPr>
          <w:rFonts w:ascii="Arial" w:hAnsi="Arial"/>
          <w:sz w:val="24"/>
        </w:rPr>
      </w:r>
    </w:p>
    <w:p>
      <w:pPr>
        <w:pStyle w:val="Tekstpodstawowy21"/>
        <w:jc w:val="both"/>
        <w:rPr>
          <w:rFonts w:ascii="Arial" w:hAnsi="Arial"/>
        </w:rPr>
      </w:pPr>
      <w:r>
        <w:rPr>
          <w:rFonts w:ascii="Arial" w:hAnsi="Arial"/>
          <w:b/>
          <w:sz w:val="24"/>
        </w:rPr>
        <w:t>4. TRANSPORT</w:t>
      </w:r>
    </w:p>
    <w:p>
      <w:pPr>
        <w:pStyle w:val="Tekstpodstawowy21"/>
        <w:jc w:val="both"/>
        <w:rPr>
          <w:rFonts w:ascii="Arial" w:hAnsi="Arial"/>
        </w:rPr>
      </w:pPr>
      <w:r>
        <w:rPr>
          <w:rFonts w:ascii="Arial" w:hAnsi="Arial"/>
          <w:sz w:val="24"/>
        </w:rPr>
        <w:tab/>
        <w:tab/>
      </w:r>
    </w:p>
    <w:p>
      <w:pPr>
        <w:pStyle w:val="Tekstpodstawowy21"/>
        <w:jc w:val="both"/>
        <w:rPr>
          <w:rFonts w:ascii="Arial" w:hAnsi="Arial"/>
        </w:rPr>
      </w:pPr>
      <w:r>
        <w:rPr>
          <w:rFonts w:ascii="Arial" w:hAnsi="Arial"/>
          <w:b/>
          <w:sz w:val="24"/>
        </w:rPr>
        <w:t>Ogólne wymagania dotyczące transportu</w:t>
      </w:r>
    </w:p>
    <w:p>
      <w:pPr>
        <w:pStyle w:val="Tekstpodstawowy21"/>
        <w:jc w:val="both"/>
        <w:rPr>
          <w:rFonts w:ascii="Arial" w:hAnsi="Arial"/>
        </w:rPr>
      </w:pPr>
      <w:r>
        <w:rPr>
          <w:rFonts w:ascii="Arial" w:hAnsi="Arial"/>
          <w:sz w:val="24"/>
        </w:rPr>
        <w:t>Wykonawca jest zobowiązany do stosowania jedynie takich środków transportu, które nie wpłyną niekorzystnie na jakość wykonywanych robót i właściwości przewożonych materiałów. Liczba środków transportu będzie zapewniać prowadzenie robót zgodnie z zasadami określonymi w dokumentacji przetargowej i wskazaniami Zamawiającego, w terminie przewidzianym umową.</w:t>
      </w:r>
    </w:p>
    <w:p>
      <w:pPr>
        <w:pStyle w:val="Tekstpodstawowy21"/>
        <w:jc w:val="both"/>
        <w:rPr>
          <w:rFonts w:ascii="Arial" w:hAnsi="Arial"/>
        </w:rPr>
      </w:pPr>
      <w:r>
        <w:rPr>
          <w:rFonts w:ascii="Arial" w:hAnsi="Arial"/>
          <w:sz w:val="24"/>
        </w:rPr>
        <w:t>Wykonawca będzie usuwać na bieżąco, na własny koszt, wszelkie zanieczyszczenia spowodowane jego pojazdami na drogach publicznych oraz dojazdach do miejsca prac.</w:t>
      </w:r>
    </w:p>
    <w:p>
      <w:pPr>
        <w:pStyle w:val="Tekstpodstawowy21"/>
        <w:jc w:val="both"/>
        <w:rPr>
          <w:rFonts w:ascii="Arial" w:hAnsi="Arial"/>
        </w:rPr>
      </w:pPr>
      <w:r>
        <w:rPr>
          <w:rFonts w:ascii="Arial" w:hAnsi="Arial"/>
          <w:sz w:val="24"/>
        </w:rPr>
        <w:tab/>
      </w:r>
    </w:p>
    <w:p>
      <w:pPr>
        <w:pStyle w:val="Tekstpodstawowy21"/>
        <w:jc w:val="both"/>
        <w:rPr>
          <w:rFonts w:ascii="Arial" w:hAnsi="Arial"/>
        </w:rPr>
      </w:pPr>
      <w:r>
        <w:rPr>
          <w:rFonts w:ascii="Arial" w:hAnsi="Arial"/>
          <w:b/>
          <w:sz w:val="24"/>
        </w:rPr>
        <w:t>Transport materiałów i elementów oświetleniowych</w:t>
      </w:r>
    </w:p>
    <w:p>
      <w:pPr>
        <w:pStyle w:val="Tekstpodstawowy21"/>
        <w:jc w:val="both"/>
        <w:rPr>
          <w:rFonts w:ascii="Arial" w:hAnsi="Arial"/>
        </w:rPr>
      </w:pPr>
      <w:r>
        <w:rPr>
          <w:rFonts w:ascii="Arial" w:hAnsi="Arial"/>
          <w:sz w:val="24"/>
        </w:rPr>
        <w:t>Wykonawca przystępujący do wykonania oświetlenia winien wykazać się możliwością korzystania z następujących środków transportu:</w:t>
      </w:r>
    </w:p>
    <w:p>
      <w:pPr>
        <w:pStyle w:val="Tekstpodstawowy21"/>
        <w:jc w:val="both"/>
        <w:rPr>
          <w:rFonts w:ascii="Arial" w:hAnsi="Arial"/>
        </w:rPr>
      </w:pPr>
      <w:r>
        <w:rPr>
          <w:rFonts w:ascii="Arial" w:hAnsi="Arial"/>
          <w:sz w:val="24"/>
        </w:rPr>
        <w:t>- samochodu dostawczego</w:t>
      </w:r>
    </w:p>
    <w:p>
      <w:pPr>
        <w:pStyle w:val="Tekstpodstawowy21"/>
        <w:jc w:val="both"/>
        <w:rPr>
          <w:rFonts w:ascii="Arial" w:hAnsi="Arial"/>
        </w:rPr>
      </w:pPr>
      <w:r>
        <w:rPr>
          <w:rFonts w:ascii="Arial" w:hAnsi="Arial"/>
          <w:sz w:val="24"/>
        </w:rPr>
        <w:t>- samochodu skrzyniowego</w:t>
      </w:r>
    </w:p>
    <w:p>
      <w:pPr>
        <w:pStyle w:val="Tekstpodstawowy21"/>
        <w:jc w:val="both"/>
        <w:rPr>
          <w:rFonts w:ascii="Arial" w:hAnsi="Arial"/>
        </w:rPr>
      </w:pPr>
      <w:r>
        <w:rPr>
          <w:rFonts w:ascii="Arial" w:hAnsi="Arial"/>
          <w:sz w:val="24"/>
        </w:rPr>
        <w:t>- samochodu specjalnego z platformą i balkonem,</w:t>
      </w:r>
    </w:p>
    <w:p>
      <w:pPr>
        <w:pStyle w:val="Tekstpodstawowy21"/>
        <w:jc w:val="both"/>
        <w:rPr>
          <w:rFonts w:ascii="Arial" w:hAnsi="Arial"/>
          <w:sz w:val="24"/>
        </w:rPr>
      </w:pPr>
      <w:r>
        <w:rPr>
          <w:rFonts w:ascii="Arial" w:hAnsi="Arial"/>
          <w:sz w:val="24"/>
        </w:rPr>
      </w:r>
    </w:p>
    <w:p>
      <w:pPr>
        <w:pStyle w:val="Tekstpodstawowy21"/>
        <w:jc w:val="both"/>
        <w:rPr>
          <w:rFonts w:ascii="Arial" w:hAnsi="Arial"/>
        </w:rPr>
      </w:pPr>
      <w:r>
        <w:rPr>
          <w:rFonts w:ascii="Arial" w:hAnsi="Arial"/>
          <w:sz w:val="24"/>
        </w:rPr>
        <w:t>Na środkach transportu przewożone materiały i elementy powinny być zabezpieczone przed ich przemieszczaniem, układane zgodnie z warunkami transportu wydanymi przez wytwórcę dla poszczególnych elementów.</w:t>
      </w:r>
    </w:p>
    <w:p>
      <w:pPr>
        <w:pStyle w:val="Tekstpodstawowy21"/>
        <w:jc w:val="both"/>
        <w:rPr>
          <w:rFonts w:ascii="Arial" w:hAnsi="Arial"/>
          <w:sz w:val="24"/>
        </w:rPr>
      </w:pPr>
      <w:r>
        <w:rPr>
          <w:rFonts w:ascii="Arial" w:hAnsi="Arial"/>
          <w:sz w:val="24"/>
        </w:rPr>
      </w:r>
    </w:p>
    <w:p>
      <w:pPr>
        <w:pStyle w:val="Tekstpodstawowy21"/>
        <w:jc w:val="both"/>
        <w:rPr>
          <w:rFonts w:ascii="Arial" w:hAnsi="Arial"/>
        </w:rPr>
      </w:pPr>
      <w:r>
        <w:rPr>
          <w:rFonts w:ascii="Arial" w:hAnsi="Arial"/>
          <w:b/>
          <w:sz w:val="24"/>
        </w:rPr>
        <w:t>5. WYKONANIE ROBÓT</w:t>
      </w:r>
    </w:p>
    <w:p>
      <w:pPr>
        <w:pStyle w:val="Tekstpodstawowy21"/>
        <w:jc w:val="both"/>
        <w:rPr>
          <w:rFonts w:ascii="Arial" w:hAnsi="Arial"/>
        </w:rPr>
      </w:pPr>
      <w:r>
        <w:rPr>
          <w:rFonts w:ascii="Arial" w:hAnsi="Arial"/>
          <w:sz w:val="24"/>
        </w:rPr>
        <w:tab/>
        <w:tab/>
      </w:r>
    </w:p>
    <w:p>
      <w:pPr>
        <w:pStyle w:val="Tekstpodstawowy21"/>
        <w:jc w:val="both"/>
        <w:rPr>
          <w:rFonts w:ascii="Arial" w:hAnsi="Arial"/>
        </w:rPr>
      </w:pPr>
      <w:r>
        <w:rPr>
          <w:rFonts w:ascii="Arial" w:hAnsi="Arial"/>
          <w:b/>
          <w:sz w:val="24"/>
        </w:rPr>
        <w:t>Ogólne zasady wykonania robót</w:t>
      </w:r>
    </w:p>
    <w:p>
      <w:pPr>
        <w:pStyle w:val="Tekstpodstawowy21"/>
        <w:jc w:val="both"/>
        <w:rPr>
          <w:rFonts w:ascii="Arial" w:hAnsi="Arial"/>
        </w:rPr>
      </w:pPr>
      <w:r>
        <w:rPr>
          <w:rFonts w:ascii="Arial" w:hAnsi="Arial"/>
          <w:sz w:val="24"/>
        </w:rPr>
        <w:t>Wykonawca jest odpowiedzialny za prowadzenie robót zgodnie z umową oraz za jakość zastosowanych materiałów i wykonywanych robót, za ich zgodność z dokumentacją przetargową.</w:t>
      </w:r>
    </w:p>
    <w:p>
      <w:pPr>
        <w:pStyle w:val="Normal"/>
        <w:spacing w:lineRule="auto" w:line="240" w:before="0" w:after="0"/>
        <w:jc w:val="both"/>
        <w:rPr>
          <w:rFonts w:ascii="Arial" w:hAnsi="Arial"/>
        </w:rPr>
      </w:pPr>
      <w:r>
        <w:rPr>
          <w:rFonts w:cs="Times New Roman" w:ascii="Arial" w:hAnsi="Arial"/>
          <w:sz w:val="24"/>
        </w:rPr>
        <w:t xml:space="preserve">Decyzje Zamawiającego dotyczące akceptacji lub odrzucenia materiałów i elementów robót będą oparte na wymaganiach sformułowanych w dokumentach umowy, dokumentacji przetargowej, a także  w normach i wytycznych. Prace na liniach napowietrznych Zakładu Energetycznego należy prowadzić w technologii bez napięcia, przy udziale przeszkolonych załóg posiadających odpowiednie kwalifikacje i uprawnienia. </w:t>
      </w:r>
      <w:r>
        <w:rPr>
          <w:rFonts w:cs="Times New Roman" w:ascii="Arial" w:hAnsi="Arial"/>
          <w:sz w:val="24"/>
          <w:szCs w:val="24"/>
        </w:rPr>
        <w:t>Wszystkie prace prowadzone będą na polecenie pisemne.</w:t>
      </w:r>
    </w:p>
    <w:p>
      <w:pPr>
        <w:pStyle w:val="Tekstpodstawowy21"/>
        <w:jc w:val="both"/>
        <w:rPr>
          <w:rFonts w:ascii="Arial" w:hAnsi="Arial"/>
        </w:rPr>
      </w:pPr>
      <w:r>
        <w:rPr>
          <w:rFonts w:ascii="Arial" w:hAnsi="Arial"/>
          <w:sz w:val="24"/>
        </w:rPr>
        <w:t>Koszty dopuszczeń do pracy należy uwzględnić w ofercie. Jeżeli w trakcie wykonywania modernizacji znajdzie się element, który nie nosi znamion zużycia wymagającego remontu lub wymiany a został do takich prac zakwalifikowany w inwentaryzacji, należy każdorazowo uzgodnić z Zamawiającym, jakie zabiegi należy wykonać na danym elemencie instalacji.</w:t>
      </w:r>
    </w:p>
    <w:p>
      <w:pPr>
        <w:pStyle w:val="Tekstpodstawowy21"/>
        <w:jc w:val="both"/>
        <w:rPr>
          <w:rFonts w:ascii="Arial" w:hAnsi="Arial"/>
        </w:rPr>
      </w:pPr>
      <w:r>
        <w:rPr>
          <w:rFonts w:ascii="Arial" w:hAnsi="Arial"/>
          <w:sz w:val="24"/>
        </w:rPr>
        <w:t>Polecenia Zamawiającego będą wykonywane nie później niż w czasie przez niego wyznaczonym, po ich pisemnym lub ustnym otrzymaniu przez Wykonawcę, pod groźbą zatrzymania robót. Skutki finansowe z tego tytułu ponosi Wykonawca.</w:t>
      </w:r>
    </w:p>
    <w:p>
      <w:pPr>
        <w:pStyle w:val="Tekstpodstawowy21"/>
        <w:jc w:val="both"/>
        <w:rPr>
          <w:rFonts w:ascii="Arial" w:hAnsi="Arial"/>
        </w:rPr>
      </w:pPr>
      <w:r>
        <w:rPr>
          <w:rFonts w:ascii="Arial" w:hAnsi="Arial"/>
          <w:sz w:val="24"/>
        </w:rPr>
        <w:tab/>
        <w:tab/>
      </w:r>
    </w:p>
    <w:p>
      <w:pPr>
        <w:pStyle w:val="Tekstpodstawowy21"/>
        <w:jc w:val="both"/>
        <w:rPr>
          <w:rFonts w:ascii="Arial" w:hAnsi="Arial"/>
        </w:rPr>
      </w:pPr>
      <w:r>
        <w:rPr>
          <w:rFonts w:ascii="Arial" w:hAnsi="Arial"/>
          <w:b/>
          <w:sz w:val="24"/>
        </w:rPr>
        <w:t>Czyszczenie i malowanie wysięgników</w:t>
      </w:r>
    </w:p>
    <w:p>
      <w:pPr>
        <w:pStyle w:val="Tekstpodstawowy21"/>
        <w:jc w:val="both"/>
        <w:rPr>
          <w:rFonts w:ascii="Arial" w:hAnsi="Arial"/>
        </w:rPr>
      </w:pPr>
      <w:r>
        <w:rPr>
          <w:rFonts w:ascii="Arial" w:hAnsi="Arial"/>
          <w:sz w:val="24"/>
        </w:rPr>
        <w:t>Wysięgniki, na których wymieniane będą oprawy, a inwentaryzacja do modernizacji nie przewiduje wymiany wysięgnika, należy oczyścić z rdzy do stopnia St 2 wg normy PN-ISO-8501-I[32], a następnie pomalować na odcinku 15 cm od oprawy farbą antykorozyjną wieloskładnikową przystosowaną do jednokrotnego malowania w kolorze uzgodnionym z Zamawiającym.</w:t>
      </w:r>
    </w:p>
    <w:p>
      <w:pPr>
        <w:pStyle w:val="Tekstpodstawowy21"/>
        <w:jc w:val="both"/>
        <w:rPr>
          <w:rFonts w:ascii="Arial" w:hAnsi="Arial"/>
          <w:sz w:val="24"/>
        </w:rPr>
      </w:pPr>
      <w:r>
        <w:rPr>
          <w:rFonts w:ascii="Arial" w:hAnsi="Arial"/>
          <w:sz w:val="24"/>
        </w:rPr>
      </w:r>
    </w:p>
    <w:p>
      <w:pPr>
        <w:pStyle w:val="Tekstpodstawowy21"/>
        <w:jc w:val="both"/>
        <w:rPr>
          <w:rFonts w:ascii="Arial" w:hAnsi="Arial"/>
          <w:sz w:val="24"/>
        </w:rPr>
      </w:pPr>
      <w:r>
        <w:rPr>
          <w:rFonts w:ascii="Arial" w:hAnsi="Arial"/>
          <w:sz w:val="24"/>
        </w:rPr>
      </w:r>
    </w:p>
    <w:p>
      <w:pPr>
        <w:pStyle w:val="Normal"/>
        <w:spacing w:lineRule="auto" w:line="240" w:before="0" w:after="0"/>
        <w:rPr>
          <w:rFonts w:ascii="Arial" w:hAnsi="Arial"/>
        </w:rPr>
      </w:pPr>
      <w:r>
        <w:rPr>
          <w:rFonts w:cs="TimesNewRomanPS-BoldMT" w:ascii="Arial" w:hAnsi="Arial"/>
          <w:b/>
          <w:bCs/>
          <w:sz w:val="24"/>
          <w:szCs w:val="24"/>
        </w:rPr>
        <w:t>Montaż opraw oświetleniowych</w:t>
      </w:r>
    </w:p>
    <w:p>
      <w:pPr>
        <w:pStyle w:val="Normal"/>
        <w:spacing w:lineRule="auto" w:line="240" w:before="0" w:after="0"/>
        <w:jc w:val="both"/>
        <w:rPr>
          <w:rFonts w:ascii="Arial" w:hAnsi="Arial"/>
        </w:rPr>
      </w:pPr>
      <w:r>
        <w:rPr>
          <w:rFonts w:cs="TimesNewRomanPSMT" w:ascii="Arial" w:hAnsi="Arial"/>
          <w:sz w:val="24"/>
          <w:szCs w:val="24"/>
        </w:rPr>
        <w:t>Oprawy oświetleniowe zainstalowane będą na słupach na wysięgnikach rurowych. Montaż opraw na wysięgnikach należy wykonywać przy pomocy samochodu z balkonem. Każdą oprawę przed zmontowaniem należy podłączyć do sieci i sprawdzić jej działanie (sprawdzenie zaświecenia się lampy).</w:t>
      </w:r>
    </w:p>
    <w:p>
      <w:pPr>
        <w:pStyle w:val="Normal"/>
        <w:spacing w:lineRule="auto" w:line="240" w:before="0" w:after="0"/>
        <w:jc w:val="both"/>
        <w:rPr>
          <w:rFonts w:ascii="Arial" w:hAnsi="Arial"/>
        </w:rPr>
      </w:pPr>
      <w:r>
        <w:rPr>
          <w:rFonts w:cs="TimesNewRomanPSMT" w:ascii="Arial" w:hAnsi="Arial"/>
          <w:sz w:val="24"/>
          <w:szCs w:val="24"/>
        </w:rPr>
        <w:t>Oprawy należy montować po uprzednim wciągnięciu przewodów zasilających do słupów. Należy prowadzić przewody kabelkowe miedziane YDY 2x2,5 mm</w:t>
      </w:r>
      <w:r>
        <w:rPr>
          <w:rFonts w:cs="TimesNewRomanPSMT" w:ascii="Arial" w:hAnsi="Arial"/>
          <w:sz w:val="16"/>
          <w:szCs w:val="16"/>
        </w:rPr>
        <w:t xml:space="preserve">2 </w:t>
      </w:r>
      <w:r>
        <w:rPr>
          <w:rFonts w:cs="TimesNewRomanPSMT" w:ascii="Arial" w:hAnsi="Arial"/>
          <w:sz w:val="24"/>
          <w:szCs w:val="24"/>
        </w:rPr>
        <w:t>- 750 V dodatkowo prowadzone w rurach izolacyjnych karbowanych giętkich fi-18. Oprawy powinny być mocowane w sposób trwały, aby nie zmieniły swego położenia pod wpływem warunków atmosferycznych i parcia wiatru. Elementy regulacyjne opraw kształtujące rozsył światła powinny być ustawione zgodnie z pozycjami wskazanymi w projekcie oświetleniowym w wydrukach raportu obliczeń parametrów oświetleniowych.</w:t>
      </w:r>
    </w:p>
    <w:p>
      <w:pPr>
        <w:pStyle w:val="Normal"/>
        <w:spacing w:lineRule="auto" w:line="240" w:before="0" w:after="0"/>
        <w:jc w:val="both"/>
        <w:rPr>
          <w:rFonts w:ascii="Arial" w:hAnsi="Arial" w:cs="TimesNewRomanPSMT"/>
          <w:sz w:val="24"/>
          <w:szCs w:val="24"/>
        </w:rPr>
      </w:pPr>
      <w:r>
        <w:rPr>
          <w:rFonts w:cs="TimesNewRomanPSMT" w:ascii="Arial" w:hAnsi="Arial"/>
          <w:sz w:val="24"/>
          <w:szCs w:val="24"/>
        </w:rPr>
      </w:r>
    </w:p>
    <w:p>
      <w:pPr>
        <w:pStyle w:val="Normal"/>
        <w:spacing w:lineRule="auto" w:line="240" w:before="0" w:after="0"/>
        <w:rPr>
          <w:rFonts w:ascii="Arial" w:hAnsi="Arial"/>
        </w:rPr>
      </w:pPr>
      <w:r>
        <w:rPr>
          <w:rFonts w:cs="TimesNewRomanPS-BoldMT" w:ascii="Arial" w:hAnsi="Arial"/>
          <w:b/>
          <w:bCs/>
          <w:sz w:val="24"/>
          <w:szCs w:val="24"/>
        </w:rPr>
        <w:t>Pomiary i badania linii oświetleniowej</w:t>
      </w:r>
    </w:p>
    <w:p>
      <w:pPr>
        <w:pStyle w:val="Normal"/>
        <w:spacing w:lineRule="auto" w:line="240" w:before="0" w:after="0"/>
        <w:jc w:val="both"/>
        <w:rPr>
          <w:rFonts w:ascii="Arial" w:hAnsi="Arial"/>
        </w:rPr>
      </w:pPr>
      <w:r>
        <w:rPr>
          <w:rFonts w:cs="TimesNewRomanPSMT" w:ascii="Arial" w:hAnsi="Arial"/>
          <w:sz w:val="24"/>
          <w:szCs w:val="24"/>
        </w:rPr>
        <w:t>W ramach tych czynności należy przeprowadzić badania i kontrolne pomiary:</w:t>
      </w:r>
    </w:p>
    <w:p>
      <w:pPr>
        <w:pStyle w:val="Normal"/>
        <w:spacing w:lineRule="auto" w:line="240" w:before="0" w:after="0"/>
        <w:jc w:val="both"/>
        <w:rPr>
          <w:rFonts w:ascii="Arial" w:hAnsi="Arial"/>
        </w:rPr>
      </w:pPr>
      <w:r>
        <w:rPr>
          <w:rFonts w:cs="TimesNewRomanPSMT" w:ascii="Arial" w:hAnsi="Arial"/>
          <w:sz w:val="24"/>
          <w:szCs w:val="24"/>
        </w:rPr>
        <w:t>- ciągłości żył roboczych i powrotnych,</w:t>
      </w:r>
    </w:p>
    <w:p>
      <w:pPr>
        <w:pStyle w:val="Normal"/>
        <w:spacing w:lineRule="auto" w:line="240" w:before="0" w:after="0"/>
        <w:jc w:val="both"/>
        <w:rPr>
          <w:color w:val="000000"/>
        </w:rPr>
      </w:pPr>
      <w:r>
        <w:rPr>
          <w:rFonts w:cs="TimesNewRomanPSMT" w:ascii="Arial" w:hAnsi="Arial"/>
          <w:color w:val="000000"/>
          <w:sz w:val="24"/>
          <w:szCs w:val="24"/>
        </w:rPr>
        <w:t>- rezystancji izolacji, dokonując odczytu po czasie ustalenia się mierzonej wartości,</w:t>
      </w:r>
    </w:p>
    <w:p>
      <w:pPr>
        <w:pStyle w:val="Normal"/>
        <w:spacing w:lineRule="auto" w:line="240" w:before="0" w:after="0"/>
        <w:jc w:val="both"/>
        <w:rPr>
          <w:rFonts w:ascii="Arial" w:hAnsi="Arial"/>
        </w:rPr>
      </w:pPr>
      <w:r>
        <w:rPr>
          <w:rFonts w:cs="TimesNewRomanPSMT" w:ascii="Arial" w:hAnsi="Arial"/>
          <w:sz w:val="24"/>
          <w:szCs w:val="24"/>
        </w:rPr>
        <w:t>- skuteczności ochrony przeciwporażeniowej i przepięciowej;</w:t>
      </w:r>
    </w:p>
    <w:p>
      <w:pPr>
        <w:pStyle w:val="Normal"/>
        <w:spacing w:lineRule="auto" w:line="240" w:before="0" w:after="0"/>
        <w:jc w:val="both"/>
        <w:rPr>
          <w:rFonts w:ascii="Arial" w:hAnsi="Arial"/>
        </w:rPr>
      </w:pPr>
      <w:r>
        <w:rPr>
          <w:rFonts w:cs="TimesNewRomanPSMT" w:ascii="Arial" w:hAnsi="Arial"/>
          <w:sz w:val="24"/>
          <w:szCs w:val="24"/>
        </w:rPr>
        <w:t>- zgodności z wymaganiami norm, dokumentów, według których zostały wykonane. Wyniki przeprowadzonych badań i pomiarów muszą być udokumentowane pisemnymi protokółami. Do przeprowadzenia powyższych badań i pomiarów należy zaangażować osobę mającą odpowiednie aktualne uprawnienia.</w:t>
      </w:r>
    </w:p>
    <w:p>
      <w:pPr>
        <w:pStyle w:val="Normal"/>
        <w:spacing w:lineRule="auto" w:line="240" w:before="0" w:after="0"/>
        <w:jc w:val="both"/>
        <w:rPr>
          <w:rFonts w:ascii="Arial" w:hAnsi="Arial" w:cs="TimesNewRomanPSMT"/>
          <w:sz w:val="24"/>
          <w:szCs w:val="24"/>
        </w:rPr>
      </w:pPr>
      <w:r>
        <w:rPr>
          <w:rFonts w:cs="TimesNewRomanPSMT" w:ascii="Arial" w:hAnsi="Arial"/>
          <w:sz w:val="24"/>
          <w:szCs w:val="24"/>
        </w:rPr>
      </w:r>
    </w:p>
    <w:p>
      <w:pPr>
        <w:pStyle w:val="Normal"/>
        <w:spacing w:lineRule="auto" w:line="240" w:before="0" w:after="0"/>
        <w:jc w:val="both"/>
        <w:rPr>
          <w:rFonts w:ascii="Arial" w:hAnsi="Arial" w:cs="TimesNewRomanPSMT"/>
          <w:sz w:val="24"/>
          <w:szCs w:val="24"/>
        </w:rPr>
      </w:pPr>
      <w:r>
        <w:rPr>
          <w:rFonts w:cs="TimesNewRomanPSMT" w:ascii="Arial" w:hAnsi="Arial"/>
          <w:sz w:val="24"/>
          <w:szCs w:val="24"/>
        </w:rPr>
      </w:r>
    </w:p>
    <w:p>
      <w:pPr>
        <w:pStyle w:val="Normal"/>
        <w:spacing w:lineRule="auto" w:line="240" w:before="0" w:after="0"/>
        <w:jc w:val="both"/>
        <w:rPr>
          <w:rFonts w:ascii="Arial" w:hAnsi="Arial"/>
        </w:rPr>
      </w:pPr>
      <w:r>
        <w:rPr>
          <w:rFonts w:cs="TimesNewRomanPS-BoldMT" w:ascii="Arial" w:hAnsi="Arial"/>
          <w:b/>
          <w:bCs/>
          <w:sz w:val="24"/>
          <w:szCs w:val="24"/>
        </w:rPr>
        <w:t>Ochrona przeciwporażeniowa oprawy</w:t>
      </w:r>
    </w:p>
    <w:p>
      <w:pPr>
        <w:pStyle w:val="Normal"/>
        <w:spacing w:lineRule="auto" w:line="240" w:before="0" w:after="0"/>
        <w:jc w:val="both"/>
        <w:rPr>
          <w:rFonts w:ascii="Arial" w:hAnsi="Arial"/>
        </w:rPr>
      </w:pPr>
      <w:r>
        <w:rPr>
          <w:rFonts w:cs="TimesNewRomanPSMT" w:ascii="Arial" w:hAnsi="Arial"/>
          <w:sz w:val="24"/>
          <w:szCs w:val="24"/>
        </w:rPr>
        <w:t>Ochronę przeciwporażeniową dla projektowanych opraw oświetleniowych zainstalowanych na słupach zapewniono poprzez zastosowanie opraw oświetleniowych i bezpieczników w II klasie izolacji oraz zasilanie ich w sposób równoważny II klasie izolacji.</w:t>
      </w:r>
    </w:p>
    <w:p>
      <w:pPr>
        <w:pStyle w:val="Normal"/>
        <w:spacing w:lineRule="auto" w:line="240" w:before="0" w:after="0"/>
        <w:jc w:val="both"/>
        <w:rPr>
          <w:rFonts w:ascii="Arial" w:hAnsi="Arial"/>
        </w:rPr>
      </w:pPr>
      <w:r>
        <w:rPr>
          <w:rFonts w:ascii="Arial" w:hAnsi="Arial"/>
        </w:rPr>
      </w:r>
    </w:p>
    <w:p>
      <w:pPr>
        <w:pStyle w:val="Tekstpodstawowy21"/>
        <w:jc w:val="both"/>
        <w:rPr>
          <w:rFonts w:ascii="Arial" w:hAnsi="Arial"/>
        </w:rPr>
      </w:pPr>
      <w:r>
        <w:rPr>
          <w:rFonts w:ascii="Arial" w:hAnsi="Arial"/>
          <w:b/>
          <w:sz w:val="24"/>
        </w:rPr>
        <w:t>6. KONTROLA JAKOŚCI ROBÓT</w:t>
      </w:r>
    </w:p>
    <w:p>
      <w:pPr>
        <w:pStyle w:val="Tekstpodstawowy21"/>
        <w:jc w:val="both"/>
        <w:rPr>
          <w:rFonts w:ascii="Arial" w:hAnsi="Arial"/>
        </w:rPr>
      </w:pPr>
      <w:r>
        <w:rPr>
          <w:rFonts w:ascii="Arial" w:hAnsi="Arial"/>
          <w:sz w:val="24"/>
        </w:rPr>
        <w:tab/>
        <w:tab/>
      </w:r>
    </w:p>
    <w:p>
      <w:pPr>
        <w:pStyle w:val="Tekstpodstawowy21"/>
        <w:jc w:val="both"/>
        <w:rPr>
          <w:rFonts w:ascii="Arial" w:hAnsi="Arial"/>
        </w:rPr>
      </w:pPr>
      <w:r>
        <w:rPr>
          <w:rFonts w:ascii="Arial" w:hAnsi="Arial"/>
          <w:b/>
          <w:sz w:val="24"/>
        </w:rPr>
        <w:t>Ogólne zasady kontroli jakości robót</w:t>
      </w:r>
    </w:p>
    <w:p>
      <w:pPr>
        <w:pStyle w:val="Normal"/>
        <w:jc w:val="both"/>
        <w:rPr>
          <w:rFonts w:ascii="Arial" w:hAnsi="Arial"/>
        </w:rPr>
      </w:pPr>
      <w:r>
        <w:rPr>
          <w:rFonts w:cs="Times New Roman" w:ascii="Arial" w:hAnsi="Arial"/>
          <w:sz w:val="24"/>
        </w:rPr>
        <w:t>Celem kontroli robót będzie takie sterowanie ich przygotowaniem i wykonaniem, aby osiągnąć założoną jakość robót. Zamawiający może dopuścić do użycia tylko te materiały, które posiadają certyfikat na znak bezpieczeństwa wykazujący, że zapewniono zgodność z kryteriami technicznymi określonymi na podstawie Polskich Norm, aprobat technicznych oraz właściwych przepisów i dokumentów technicznych.</w:t>
      </w:r>
    </w:p>
    <w:p>
      <w:pPr>
        <w:pStyle w:val="Tekstpodstawowy21"/>
        <w:jc w:val="both"/>
        <w:rPr>
          <w:rFonts w:ascii="Arial" w:hAnsi="Arial"/>
        </w:rPr>
      </w:pPr>
      <w:r>
        <w:rPr>
          <w:rFonts w:ascii="Arial" w:hAnsi="Arial"/>
          <w:sz w:val="24"/>
        </w:rPr>
        <w:t>W przypadku materiałów, dla których ww. dokumenty są wymagane, każda partia dostarczona do robót będzie posiadać te dokumenty, określające w sposób jednoznaczny jej cechy. Jakiekolwiek materiały, które nie spełniają tych wymagań będą odrzucone.</w:t>
      </w:r>
    </w:p>
    <w:p>
      <w:pPr>
        <w:pStyle w:val="Tekstpodstawowy21"/>
        <w:jc w:val="both"/>
        <w:rPr>
          <w:rFonts w:ascii="Arial" w:hAnsi="Arial"/>
        </w:rPr>
      </w:pPr>
      <w:r>
        <w:rPr>
          <w:rFonts w:ascii="Arial" w:hAnsi="Arial"/>
          <w:sz w:val="24"/>
        </w:rPr>
        <w:tab/>
        <w:tab/>
      </w:r>
    </w:p>
    <w:p>
      <w:pPr>
        <w:pStyle w:val="Normal"/>
        <w:spacing w:lineRule="auto" w:line="240" w:before="0" w:after="0"/>
        <w:rPr>
          <w:rFonts w:ascii="Arial" w:hAnsi="Arial"/>
        </w:rPr>
      </w:pPr>
      <w:r>
        <w:rPr>
          <w:rFonts w:cs="TimesNewRomanPS-BoldMT" w:ascii="Arial" w:hAnsi="Arial"/>
          <w:b/>
          <w:bCs/>
          <w:sz w:val="24"/>
          <w:szCs w:val="24"/>
        </w:rPr>
        <w:t>Wymagania ogólne wykonania robót elektrycznych instalacyjno – montażowych</w:t>
      </w:r>
    </w:p>
    <w:p>
      <w:pPr>
        <w:pStyle w:val="Normal"/>
        <w:spacing w:lineRule="auto" w:line="240" w:before="0" w:after="0"/>
        <w:rPr>
          <w:color w:val="000000"/>
        </w:rPr>
      </w:pPr>
      <w:r>
        <w:rPr>
          <w:rFonts w:cs="TimesNewRomanPSMT" w:ascii="Arial" w:hAnsi="Arial"/>
          <w:color w:val="000000"/>
          <w:sz w:val="24"/>
          <w:szCs w:val="24"/>
        </w:rPr>
        <w:t>- ustanowienie Kierownika robót ze strony wykonawcy,</w:t>
      </w:r>
    </w:p>
    <w:p>
      <w:pPr>
        <w:pStyle w:val="Normal"/>
        <w:spacing w:lineRule="auto" w:line="240" w:before="0" w:after="0"/>
        <w:rPr>
          <w:color w:val="000000"/>
        </w:rPr>
      </w:pPr>
      <w:r>
        <w:rPr>
          <w:rFonts w:cs="TimesNewRomanPSMT" w:ascii="Arial" w:hAnsi="Arial"/>
          <w:color w:val="000000"/>
          <w:sz w:val="24"/>
          <w:szCs w:val="24"/>
        </w:rPr>
        <w:t>- ustanowienie Inspektora Nadzoru ze strony inwestora,</w:t>
      </w:r>
    </w:p>
    <w:p>
      <w:pPr>
        <w:pStyle w:val="Normal"/>
        <w:spacing w:lineRule="auto" w:line="240" w:before="0" w:after="0"/>
        <w:rPr>
          <w:color w:val="000000"/>
        </w:rPr>
      </w:pPr>
      <w:r>
        <w:rPr>
          <w:rFonts w:cs="TimesNewRomanPSMT" w:ascii="Arial" w:hAnsi="Arial"/>
          <w:color w:val="000000"/>
          <w:sz w:val="24"/>
          <w:szCs w:val="24"/>
        </w:rPr>
        <w:t>- wykonywanie prac elektrycznych przez osoby posiadające aktualne zaświadczenie kwalifikacyjne BHP,</w:t>
      </w:r>
    </w:p>
    <w:p>
      <w:pPr>
        <w:pStyle w:val="Normal"/>
        <w:spacing w:lineRule="auto" w:line="240" w:before="0" w:after="0"/>
        <w:rPr>
          <w:color w:val="000000"/>
        </w:rPr>
      </w:pPr>
      <w:r>
        <w:rPr>
          <w:rFonts w:cs="TimesNewRomanPSMT" w:ascii="Arial" w:hAnsi="Arial"/>
          <w:color w:val="000000"/>
          <w:sz w:val="24"/>
          <w:szCs w:val="24"/>
        </w:rPr>
        <w:t>- kierowanie robotami przez osoby z uprawnieniami budowlanymi,</w:t>
      </w:r>
    </w:p>
    <w:p>
      <w:pPr>
        <w:pStyle w:val="Tekstpodstawowy21"/>
        <w:jc w:val="both"/>
        <w:rPr>
          <w:color w:val="000000"/>
        </w:rPr>
      </w:pPr>
      <w:r>
        <w:rPr>
          <w:rFonts w:cs="TimesNewRomanPSMT" w:ascii="Arial" w:hAnsi="Arial"/>
          <w:color w:val="000000"/>
          <w:sz w:val="24"/>
        </w:rPr>
        <w:t>- sporządzenie dokumentacji powykonawczej,</w:t>
      </w:r>
    </w:p>
    <w:p>
      <w:pPr>
        <w:pStyle w:val="Tekstpodstawowy21"/>
        <w:jc w:val="both"/>
        <w:rPr>
          <w:rFonts w:ascii="Arial" w:hAnsi="Arial" w:cs="TimesNewRomanPSMT"/>
          <w:sz w:val="24"/>
        </w:rPr>
      </w:pPr>
      <w:r>
        <w:rPr>
          <w:rFonts w:cs="TimesNewRomanPSMT" w:ascii="Arial" w:hAnsi="Arial"/>
          <w:sz w:val="24"/>
        </w:rPr>
      </w:r>
    </w:p>
    <w:p>
      <w:pPr>
        <w:pStyle w:val="Normal"/>
        <w:spacing w:lineRule="auto" w:line="240" w:before="0" w:after="0"/>
        <w:rPr>
          <w:rFonts w:ascii="Arial" w:hAnsi="Arial"/>
        </w:rPr>
      </w:pPr>
      <w:r>
        <w:rPr>
          <w:rFonts w:cs="TimesNewRomanPS-BoldMT" w:ascii="Arial" w:hAnsi="Arial"/>
          <w:b/>
          <w:bCs/>
          <w:sz w:val="24"/>
          <w:szCs w:val="24"/>
        </w:rPr>
        <w:t>Wymagania dotyczące organizacji i urządzeń elektrycznych na terenie prac</w:t>
      </w:r>
    </w:p>
    <w:p>
      <w:pPr>
        <w:pStyle w:val="Normal"/>
        <w:spacing w:lineRule="auto" w:line="240" w:before="0" w:after="0"/>
        <w:jc w:val="both"/>
        <w:rPr>
          <w:rFonts w:ascii="Arial" w:hAnsi="Arial"/>
        </w:rPr>
      </w:pPr>
      <w:r>
        <w:rPr>
          <w:rFonts w:cs="TimesNewRomanPSMT" w:ascii="Arial" w:hAnsi="Arial"/>
          <w:sz w:val="24"/>
          <w:szCs w:val="24"/>
        </w:rPr>
        <w:t xml:space="preserve">W czasie prowadzenia robót elektrycznych budowany odcinek oświetlanej drogi pozostaje otwarty. Prace prowadzić przy świetle dziennym a po skończonej dniówce przywrócić stan pierwotny w zakresie zasilania w energię elektryczną i bezpieczeństwa ruchu drogowego. Wykonawca przedstawi Inspektorowi harmonogram i terminarz z zakresem robót, planowanych wyłączeń prądu oraz opis utrudnień i przedsięwziętych zabezpieczeń w zakresie bezpieczeństwa ruchu drogowego. </w:t>
        <w:br/>
        <w:t>O planowanych wyłączeniach sieci energetycznej należy uprzedzić z odpowiednim wyprzedzeniem zainteresowanych mieszkańców. Wykonawca Robót jest odpowiedzialny za jakość ich wykonania oraz za ich zgodność z Dokumentacją, ST i poleceniami Inspektora Nadzoru. W warunkach budowy należy zwracać szczególną uwagę na bezpieczeństwo pracowników, bezpieczeństwo osób postronnych, oraz bezpieczeństwo ruch drogowego przy zajmowaniu części pasa drogowego.</w:t>
      </w:r>
    </w:p>
    <w:p>
      <w:pPr>
        <w:pStyle w:val="Normal"/>
        <w:spacing w:lineRule="auto" w:line="240" w:before="0" w:after="0"/>
        <w:jc w:val="both"/>
        <w:rPr>
          <w:rFonts w:ascii="Arial" w:hAnsi="Arial" w:cs="TimesNewRomanPSMT"/>
          <w:sz w:val="24"/>
          <w:szCs w:val="24"/>
        </w:rPr>
      </w:pPr>
      <w:r>
        <w:rPr>
          <w:rFonts w:cs="TimesNewRomanPSMT" w:ascii="Arial" w:hAnsi="Arial"/>
          <w:sz w:val="24"/>
          <w:szCs w:val="24"/>
        </w:rPr>
      </w:r>
    </w:p>
    <w:p>
      <w:pPr>
        <w:pStyle w:val="Normal"/>
        <w:spacing w:lineRule="auto" w:line="240" w:before="0" w:after="0"/>
        <w:rPr>
          <w:rFonts w:ascii="Arial" w:hAnsi="Arial"/>
        </w:rPr>
      </w:pPr>
      <w:r>
        <w:rPr>
          <w:rFonts w:cs="TimesNewRomanPS-BoldMT" w:ascii="Arial" w:hAnsi="Arial"/>
          <w:b/>
          <w:bCs/>
          <w:sz w:val="24"/>
          <w:szCs w:val="24"/>
        </w:rPr>
        <w:t>Zabezpieczenie terenu prac</w:t>
      </w:r>
    </w:p>
    <w:p>
      <w:pPr>
        <w:pStyle w:val="Normal"/>
        <w:spacing w:lineRule="auto" w:line="240" w:before="0" w:after="0"/>
        <w:rPr>
          <w:rFonts w:ascii="Arial" w:hAnsi="Arial"/>
        </w:rPr>
      </w:pPr>
      <w:r>
        <w:rPr>
          <w:rFonts w:ascii="Arial" w:hAnsi="Arial"/>
        </w:rPr>
      </w:r>
    </w:p>
    <w:p>
      <w:pPr>
        <w:pStyle w:val="Normal"/>
        <w:spacing w:lineRule="auto" w:line="240" w:before="0" w:after="0"/>
        <w:jc w:val="both"/>
        <w:rPr>
          <w:rFonts w:ascii="Arial" w:hAnsi="Arial"/>
        </w:rPr>
      </w:pPr>
      <w:r>
        <w:rPr>
          <w:rFonts w:cs="TimesNewRomanPSMT" w:ascii="Arial" w:hAnsi="Arial"/>
          <w:sz w:val="24"/>
          <w:szCs w:val="24"/>
        </w:rPr>
        <w:t xml:space="preserve">Wykonawca jest zobowiązany do zabezpieczenia Terenu prac w okresie trwania realizacji prac, aż do zakończenia i odbioru ostatecznego Robót. Wykonawca dostarczy, zainstaluje i będzie utrzymywać tymczasowe urządzenia zabezpieczające, w tym poręcze, sygnały i znaki ostrzegawcze, wszelkie inne środki niezbędne do ochrony robót. Koszt zabezpieczenia Terenu prac nie podlega odrębnej zapłacie i przyjmuje się, że jest włączony w cenę umowną. </w:t>
      </w:r>
    </w:p>
    <w:p>
      <w:pPr>
        <w:pStyle w:val="Normal"/>
        <w:spacing w:lineRule="auto" w:line="240" w:before="0" w:after="0"/>
        <w:jc w:val="both"/>
        <w:rPr>
          <w:rFonts w:ascii="Arial" w:hAnsi="Arial" w:cs="TimesNewRomanPSMT"/>
          <w:sz w:val="24"/>
          <w:szCs w:val="24"/>
        </w:rPr>
      </w:pPr>
      <w:r>
        <w:rPr>
          <w:rFonts w:cs="TimesNewRomanPSMT" w:ascii="Arial" w:hAnsi="Arial"/>
          <w:sz w:val="24"/>
          <w:szCs w:val="24"/>
        </w:rPr>
      </w:r>
    </w:p>
    <w:p>
      <w:pPr>
        <w:pStyle w:val="Normal"/>
        <w:rPr>
          <w:rFonts w:ascii="Arial" w:hAnsi="Arial"/>
        </w:rPr>
      </w:pPr>
      <w:r>
        <w:rPr>
          <w:rFonts w:cs="Times New Roman" w:ascii="Arial" w:hAnsi="Arial"/>
          <w:b/>
          <w:bCs/>
          <w:sz w:val="24"/>
          <w:szCs w:val="24"/>
        </w:rPr>
        <w:t>Pomiar natężenia oświetlenia</w:t>
      </w:r>
    </w:p>
    <w:p>
      <w:pPr>
        <w:pStyle w:val="Normal"/>
        <w:rPr>
          <w:rFonts w:ascii="Arial" w:hAnsi="Arial"/>
        </w:rPr>
      </w:pPr>
      <w:r>
        <w:rPr>
          <w:rFonts w:ascii="Arial" w:hAnsi="Arial"/>
          <w:sz w:val="24"/>
        </w:rPr>
        <w:t>Pomiary należy wykonywać po upływie co najmniej 0,5 godz. od włączenia lamp. Lampy przed pomiarem powinny być wyświecone minimum przez 100 godzin. Pomiary należy wykonywać przy suchej i czystej nawierzchni, wolnej od pojazdów, pieszych i jakichkolwiek obiektów obcych, mogących zniekształcić przebieg pomiaru. Pomiarów nie należy przeprowadzać podczas nocy księżycowych oraz w złych warunkach atmosferycznych (mgła, śnieżyca, unoszący się kurz itp.). Do pomiarów należy używać odpowiednich przyrządów pomiarowych.</w:t>
      </w:r>
    </w:p>
    <w:p>
      <w:pPr>
        <w:pStyle w:val="Tekstpodstawowy21"/>
        <w:jc w:val="both"/>
        <w:rPr>
          <w:rFonts w:ascii="Arial" w:hAnsi="Arial"/>
        </w:rPr>
      </w:pPr>
      <w:r>
        <w:rPr>
          <w:rFonts w:ascii="Arial" w:hAnsi="Arial"/>
          <w:sz w:val="24"/>
        </w:rPr>
        <w:tab/>
        <w:tab/>
      </w:r>
    </w:p>
    <w:p>
      <w:pPr>
        <w:pStyle w:val="Tekstpodstawowy21"/>
        <w:jc w:val="both"/>
        <w:rPr>
          <w:rFonts w:ascii="Arial" w:hAnsi="Arial"/>
        </w:rPr>
      </w:pPr>
      <w:r>
        <w:rPr>
          <w:rFonts w:ascii="Arial" w:hAnsi="Arial"/>
          <w:b/>
          <w:sz w:val="24"/>
        </w:rPr>
        <w:t>Zasady postępowania z wadliwie wykonanymi elementami robót</w:t>
      </w:r>
    </w:p>
    <w:p>
      <w:pPr>
        <w:pStyle w:val="Tekstpodstawowy21"/>
        <w:jc w:val="both"/>
        <w:rPr>
          <w:rFonts w:ascii="Arial" w:hAnsi="Arial"/>
        </w:rPr>
      </w:pPr>
      <w:r>
        <w:rPr>
          <w:rFonts w:ascii="Arial" w:hAnsi="Arial"/>
        </w:rPr>
      </w:r>
    </w:p>
    <w:p>
      <w:pPr>
        <w:pStyle w:val="Tekstpodstawowy21"/>
        <w:jc w:val="both"/>
        <w:rPr>
          <w:rFonts w:ascii="Arial" w:hAnsi="Arial"/>
        </w:rPr>
      </w:pPr>
      <w:r>
        <w:rPr>
          <w:rFonts w:ascii="Arial" w:hAnsi="Arial"/>
          <w:sz w:val="24"/>
        </w:rPr>
        <w:t>Wszystkie materiały nie spełniające wymagań ustalonych w odpowiednich punktach dokumentacji przetargowej zostaną przez Zamawiającego odrzucone.</w:t>
      </w:r>
    </w:p>
    <w:p>
      <w:pPr>
        <w:pStyle w:val="Tekstpodstawowy21"/>
        <w:jc w:val="both"/>
        <w:rPr>
          <w:rFonts w:ascii="Arial" w:hAnsi="Arial"/>
        </w:rPr>
      </w:pPr>
      <w:r>
        <w:rPr>
          <w:rFonts w:ascii="Arial" w:hAnsi="Arial"/>
          <w:sz w:val="24"/>
        </w:rPr>
        <w:t>Wszystkie elementy robót, które wykazują odstępstwa od postanowień dokumentacji zostaną rozebrane i ponownie wykonane na koszt Wykonawcy.</w:t>
      </w:r>
    </w:p>
    <w:p>
      <w:pPr>
        <w:pStyle w:val="Tekstpodstawowy21"/>
        <w:jc w:val="both"/>
        <w:rPr>
          <w:rFonts w:ascii="Arial" w:hAnsi="Arial"/>
          <w:sz w:val="24"/>
        </w:rPr>
      </w:pPr>
      <w:r>
        <w:rPr>
          <w:rFonts w:ascii="Arial" w:hAnsi="Arial"/>
          <w:sz w:val="24"/>
        </w:rPr>
      </w:r>
    </w:p>
    <w:p>
      <w:pPr>
        <w:pStyle w:val="Tekstpodstawowy21"/>
        <w:jc w:val="both"/>
        <w:rPr>
          <w:rFonts w:ascii="Arial" w:hAnsi="Arial"/>
        </w:rPr>
      </w:pPr>
      <w:r>
        <w:rPr>
          <w:rFonts w:ascii="Arial" w:hAnsi="Arial"/>
          <w:b/>
          <w:sz w:val="24"/>
        </w:rPr>
        <w:t>7. OBMIAR ROBÓT</w:t>
      </w:r>
    </w:p>
    <w:p>
      <w:pPr>
        <w:pStyle w:val="Tekstpodstawowy21"/>
        <w:jc w:val="both"/>
        <w:rPr>
          <w:rFonts w:ascii="Arial" w:hAnsi="Arial"/>
        </w:rPr>
      </w:pPr>
      <w:r>
        <w:rPr>
          <w:rFonts w:ascii="Arial" w:hAnsi="Arial"/>
          <w:sz w:val="24"/>
        </w:rPr>
        <w:tab/>
        <w:tab/>
      </w:r>
    </w:p>
    <w:p>
      <w:pPr>
        <w:pStyle w:val="Tekstpodstawowy21"/>
        <w:jc w:val="both"/>
        <w:rPr>
          <w:color w:val="000000"/>
        </w:rPr>
      </w:pPr>
      <w:r>
        <w:rPr>
          <w:rFonts w:ascii="Arial" w:hAnsi="Arial"/>
          <w:b/>
          <w:color w:val="000000"/>
          <w:sz w:val="24"/>
        </w:rPr>
        <w:t>Ogólne zasady obmiaru robót</w:t>
      </w:r>
    </w:p>
    <w:p>
      <w:pPr>
        <w:pStyle w:val="Tekstpodstawowy21"/>
        <w:jc w:val="both"/>
        <w:rPr>
          <w:color w:val="000000"/>
        </w:rPr>
      </w:pPr>
      <w:r>
        <w:rPr>
          <w:rFonts w:ascii="Arial" w:hAnsi="Arial"/>
          <w:color w:val="000000"/>
          <w:sz w:val="24"/>
        </w:rPr>
        <w:t>Obmiar robót będzie określać faktyczny zakres wykonywanych robót zgodnie z dokumentacją w jednostkach ustalonych w wykazie materiałów i usług. Obmiaru   robót  dokonuje   Wykonawca   po   pisemnym   powiadomieniu   Zamawiającego o zakresie obmierzanych robót i terminie obmiaru, co najmniej na 3 dni przed tym terminem. Wyniki obmiaru będą wpisane do rejestru obmiarów.</w:t>
      </w:r>
    </w:p>
    <w:p>
      <w:pPr>
        <w:pStyle w:val="Tekstpodstawowy21"/>
        <w:jc w:val="both"/>
        <w:rPr>
          <w:color w:val="000000"/>
        </w:rPr>
      </w:pPr>
      <w:r>
        <w:rPr>
          <w:rFonts w:ascii="Arial" w:hAnsi="Arial"/>
          <w:color w:val="000000"/>
          <w:sz w:val="24"/>
        </w:rPr>
        <w:t>Jakikolwiek błąd lub przeoczenie (opuszczenie) w ilościach podanych w przedmiarze lub gdzie indziej w dokumentacji nie zwalnia Wykonawcy od obowiązku ukończenia wszystkich robót. Błędne dane zostaną poprawione wg instrukcji Inżyniera na piśmie.</w:t>
      </w:r>
    </w:p>
    <w:p>
      <w:pPr>
        <w:pStyle w:val="Tekstpodstawowy21"/>
        <w:jc w:val="both"/>
        <w:rPr>
          <w:rFonts w:ascii="Arial" w:hAnsi="Arial"/>
          <w:sz w:val="24"/>
        </w:rPr>
      </w:pPr>
      <w:r>
        <w:rPr>
          <w:rFonts w:ascii="Arial" w:hAnsi="Arial"/>
          <w:sz w:val="24"/>
        </w:rPr>
      </w:r>
    </w:p>
    <w:p>
      <w:pPr>
        <w:pStyle w:val="Tekstpodstawowy21"/>
        <w:jc w:val="both"/>
        <w:rPr>
          <w:rFonts w:ascii="Arial" w:hAnsi="Arial"/>
        </w:rPr>
      </w:pPr>
      <w:r>
        <w:rPr>
          <w:rFonts w:ascii="Arial" w:hAnsi="Arial"/>
          <w:b/>
          <w:sz w:val="24"/>
        </w:rPr>
        <w:t>Jednostka obmiarowa</w:t>
      </w:r>
    </w:p>
    <w:p>
      <w:pPr>
        <w:pStyle w:val="Tekstpodstawowy21"/>
        <w:jc w:val="both"/>
        <w:rPr>
          <w:rFonts w:ascii="Arial" w:hAnsi="Arial"/>
        </w:rPr>
      </w:pPr>
      <w:r>
        <w:rPr>
          <w:rFonts w:ascii="Arial" w:hAnsi="Arial"/>
          <w:sz w:val="24"/>
        </w:rPr>
        <w:t>Jednostką obmiarowa dla latarni jest sztuka a dla linii jest metr.</w:t>
      </w:r>
    </w:p>
    <w:p>
      <w:pPr>
        <w:pStyle w:val="Tekstpodstawowy21"/>
        <w:jc w:val="both"/>
        <w:rPr>
          <w:rFonts w:ascii="Arial" w:hAnsi="Arial"/>
          <w:sz w:val="24"/>
        </w:rPr>
      </w:pPr>
      <w:r>
        <w:rPr>
          <w:rFonts w:ascii="Arial" w:hAnsi="Arial"/>
          <w:sz w:val="24"/>
        </w:rPr>
      </w:r>
    </w:p>
    <w:p>
      <w:pPr>
        <w:pStyle w:val="Tekstpodstawowy21"/>
        <w:jc w:val="both"/>
        <w:rPr>
          <w:rFonts w:ascii="Arial" w:hAnsi="Arial"/>
        </w:rPr>
      </w:pPr>
      <w:r>
        <w:rPr>
          <w:rFonts w:ascii="Arial" w:hAnsi="Arial"/>
          <w:b/>
          <w:sz w:val="24"/>
        </w:rPr>
        <w:t>8. ODBIÓR ROBÓT</w:t>
      </w:r>
    </w:p>
    <w:p>
      <w:pPr>
        <w:pStyle w:val="Tekstpodstawowy21"/>
        <w:jc w:val="both"/>
        <w:rPr>
          <w:rFonts w:ascii="Arial" w:hAnsi="Arial"/>
        </w:rPr>
      </w:pPr>
      <w:r>
        <w:rPr>
          <w:rFonts w:ascii="Arial" w:hAnsi="Arial"/>
          <w:sz w:val="24"/>
        </w:rPr>
        <w:tab/>
        <w:tab/>
      </w:r>
    </w:p>
    <w:p>
      <w:pPr>
        <w:pStyle w:val="Tekstpodstawowy21"/>
        <w:jc w:val="both"/>
        <w:rPr>
          <w:rFonts w:ascii="Arial" w:hAnsi="Arial"/>
        </w:rPr>
      </w:pPr>
      <w:r>
        <w:rPr>
          <w:rFonts w:ascii="Arial" w:hAnsi="Arial"/>
          <w:b/>
          <w:sz w:val="24"/>
        </w:rPr>
        <w:t>Ogólne zasady odbioru robót</w:t>
      </w:r>
    </w:p>
    <w:p>
      <w:pPr>
        <w:pStyle w:val="Tekstpodstawowy21"/>
        <w:jc w:val="both"/>
        <w:rPr>
          <w:rFonts w:ascii="Arial" w:hAnsi="Arial"/>
        </w:rPr>
      </w:pPr>
      <w:r>
        <w:rPr>
          <w:rFonts w:ascii="Arial" w:hAnsi="Arial"/>
          <w:sz w:val="24"/>
        </w:rPr>
        <w:t>Gotowość do odbioru robót zgłasza Wykonawca na piśmie Zamawiającemu. Odbiór będzie przeprowadzony w terminie określonym w umowie, nie później jednak niż w ciągu 3 dni od daty zgłoszenia i powiadomienia o tym fakcie zamawiającego.</w:t>
      </w:r>
    </w:p>
    <w:p>
      <w:pPr>
        <w:pStyle w:val="Tekstpodstawowy21"/>
        <w:jc w:val="both"/>
        <w:rPr>
          <w:rFonts w:ascii="Arial" w:hAnsi="Arial"/>
        </w:rPr>
      </w:pPr>
      <w:r>
        <w:rPr>
          <w:rFonts w:ascii="Arial" w:hAnsi="Arial"/>
          <w:sz w:val="24"/>
        </w:rPr>
        <w:t>Roboty uznaje się za wykonane zgodnie z dokumentacją projektową i wymaganiami Zamawiającego, jeżeli wszystkie pomiary i badania dały wyniki pozytywne.</w:t>
      </w:r>
    </w:p>
    <w:p>
      <w:pPr>
        <w:pStyle w:val="Tekstpodstawowy21"/>
        <w:jc w:val="both"/>
        <w:rPr>
          <w:rFonts w:ascii="Arial" w:hAnsi="Arial"/>
        </w:rPr>
      </w:pPr>
      <w:r>
        <w:rPr>
          <w:rFonts w:ascii="Arial" w:hAnsi="Arial"/>
          <w:sz w:val="24"/>
        </w:rPr>
        <w:tab/>
        <w:tab/>
      </w:r>
    </w:p>
    <w:p>
      <w:pPr>
        <w:pStyle w:val="Tekstpodstawowy21"/>
        <w:jc w:val="both"/>
        <w:rPr>
          <w:rFonts w:ascii="Arial" w:hAnsi="Arial"/>
        </w:rPr>
      </w:pPr>
      <w:r>
        <w:rPr>
          <w:rFonts w:ascii="Arial" w:hAnsi="Arial"/>
          <w:b/>
          <w:sz w:val="24"/>
        </w:rPr>
        <w:t>Dokumenty do odbioru końcowego robót</w:t>
      </w:r>
    </w:p>
    <w:p>
      <w:pPr>
        <w:pStyle w:val="Normal"/>
        <w:jc w:val="both"/>
        <w:rPr>
          <w:rFonts w:ascii="Arial" w:hAnsi="Arial"/>
        </w:rPr>
      </w:pPr>
      <w:r>
        <w:rPr>
          <w:rFonts w:cs="Times New Roman" w:ascii="Arial" w:hAnsi="Arial"/>
          <w:sz w:val="24"/>
        </w:rPr>
        <w:t>Do odbioru końcowego Wykonawca jest zobowiązany przygotować protokoły odbiorów robót, dokumentację powykonawczą oraz protokoły z dokonanych pomiarów skuteczności zastosowanej ochrony przeciwporażeniowej.</w:t>
      </w:r>
    </w:p>
    <w:p>
      <w:pPr>
        <w:pStyle w:val="Tekstpodstawowy21"/>
        <w:jc w:val="both"/>
        <w:rPr>
          <w:rFonts w:ascii="Arial" w:hAnsi="Arial"/>
        </w:rPr>
      </w:pPr>
      <w:r>
        <w:rPr>
          <w:rFonts w:ascii="Arial" w:hAnsi="Arial"/>
          <w:sz w:val="24"/>
        </w:rPr>
        <w:t xml:space="preserve"> </w:t>
      </w:r>
    </w:p>
    <w:p>
      <w:pPr>
        <w:pStyle w:val="Tekstpodstawowy21"/>
        <w:jc w:val="both"/>
        <w:rPr>
          <w:rFonts w:ascii="Arial" w:hAnsi="Arial"/>
        </w:rPr>
      </w:pPr>
      <w:r>
        <w:rPr>
          <w:rFonts w:ascii="Arial" w:hAnsi="Arial"/>
          <w:b/>
          <w:sz w:val="24"/>
        </w:rPr>
        <w:t>9. PRZEPISY ZWIĄZANE</w:t>
      </w:r>
    </w:p>
    <w:p>
      <w:pPr>
        <w:pStyle w:val="Tekstpodstawowy21"/>
        <w:jc w:val="both"/>
        <w:rPr>
          <w:rFonts w:ascii="Arial" w:hAnsi="Arial"/>
          <w:sz w:val="24"/>
        </w:rPr>
      </w:pPr>
      <w:r>
        <w:rPr>
          <w:rFonts w:ascii="Arial" w:hAnsi="Arial"/>
          <w:sz w:val="24"/>
        </w:rPr>
      </w:r>
    </w:p>
    <w:p>
      <w:pPr>
        <w:pStyle w:val="Tekstpodstawowy21"/>
        <w:numPr>
          <w:ilvl w:val="0"/>
          <w:numId w:val="2"/>
        </w:numPr>
        <w:jc w:val="both"/>
        <w:rPr>
          <w:rFonts w:ascii="Arial" w:hAnsi="Arial"/>
        </w:rPr>
      </w:pPr>
      <w:r>
        <w:rPr>
          <w:rFonts w:ascii="Arial" w:hAnsi="Arial"/>
          <w:sz w:val="24"/>
        </w:rPr>
        <w:t xml:space="preserve">Szczegółowe przepisy z zakresu warunków BHP przy robotach rozbiórkowych – Rozp. Min. Bud. i Przemysłu Mat. Bud. z dnia 28.03. 72.- Dz. U. Nr. 13 poz. 93 z późniejszymi zmianami.    </w:t>
      </w:r>
    </w:p>
    <w:p>
      <w:pPr>
        <w:pStyle w:val="Tekstpodstawowy21"/>
        <w:numPr>
          <w:ilvl w:val="0"/>
          <w:numId w:val="2"/>
        </w:numPr>
        <w:jc w:val="both"/>
        <w:rPr>
          <w:rFonts w:ascii="Arial" w:hAnsi="Arial"/>
        </w:rPr>
      </w:pPr>
      <w:r>
        <w:rPr>
          <w:rFonts w:ascii="Arial" w:hAnsi="Arial"/>
          <w:sz w:val="24"/>
        </w:rPr>
        <w:t>PN-68/B-06250- Roboty ziemne budowlane, wymagania w zakresie wykonania i badania przy odbiorze.</w:t>
      </w:r>
    </w:p>
    <w:p>
      <w:pPr>
        <w:pStyle w:val="Tekstpodstawowy21"/>
        <w:ind w:left="720" w:hanging="0"/>
        <w:jc w:val="both"/>
        <w:rPr>
          <w:rFonts w:ascii="Arial" w:hAnsi="Arial"/>
          <w:sz w:val="24"/>
        </w:rPr>
      </w:pPr>
      <w:r>
        <w:rPr>
          <w:rFonts w:ascii="Arial" w:hAnsi="Arial"/>
          <w:sz w:val="24"/>
        </w:rPr>
      </w:r>
    </w:p>
    <w:p>
      <w:pPr>
        <w:pStyle w:val="Tekstpodstawowy21"/>
        <w:ind w:left="720" w:hanging="0"/>
        <w:jc w:val="both"/>
        <w:rPr>
          <w:rFonts w:ascii="Arial" w:hAnsi="Arial"/>
        </w:rPr>
      </w:pPr>
      <w:r>
        <w:rPr>
          <w:rFonts w:ascii="Arial" w:hAnsi="Arial"/>
          <w:b/>
          <w:sz w:val="24"/>
        </w:rPr>
        <w:t>Roboty montażowe są realizowane zgodnie z:</w:t>
      </w:r>
    </w:p>
    <w:p>
      <w:pPr>
        <w:pStyle w:val="Tekstpodstawowy21"/>
        <w:numPr>
          <w:ilvl w:val="0"/>
          <w:numId w:val="2"/>
        </w:numPr>
        <w:jc w:val="both"/>
        <w:rPr>
          <w:rFonts w:ascii="Arial" w:hAnsi="Arial"/>
        </w:rPr>
      </w:pPr>
      <w:r>
        <w:rPr>
          <w:rFonts w:ascii="Arial" w:hAnsi="Arial"/>
          <w:sz w:val="24"/>
        </w:rPr>
        <w:t>opracowaniem  pt. „WARUNKI TECHNICZNE WYKONANIA I ODBIORU ROBÓT BUDOWLANYCH część D: Roboty instalacyjne. zeszyt 2 – Instalacje elektryczne i piorunochronne w budynkach użyteczności publicznej”.</w:t>
      </w:r>
    </w:p>
    <w:p>
      <w:pPr>
        <w:pStyle w:val="Tekstpodstawowy21"/>
        <w:numPr>
          <w:ilvl w:val="0"/>
          <w:numId w:val="2"/>
        </w:numPr>
        <w:jc w:val="both"/>
        <w:rPr>
          <w:rFonts w:ascii="Arial" w:hAnsi="Arial"/>
        </w:rPr>
      </w:pPr>
      <w:r>
        <w:rPr>
          <w:rFonts w:ascii="Arial" w:hAnsi="Arial"/>
          <w:sz w:val="24"/>
        </w:rPr>
        <w:t xml:space="preserve">rozporządzeniem Rady Ministrów z dnia 25.05.1981r. w sprawie dozoru technicznego </w:t>
      </w:r>
    </w:p>
    <w:p>
      <w:pPr>
        <w:pStyle w:val="Tekstpodstawowy21"/>
        <w:numPr>
          <w:ilvl w:val="0"/>
          <w:numId w:val="2"/>
        </w:numPr>
        <w:jc w:val="both"/>
        <w:rPr>
          <w:rFonts w:ascii="Arial" w:hAnsi="Arial"/>
        </w:rPr>
      </w:pPr>
      <w:r>
        <w:rPr>
          <w:rFonts w:ascii="Arial" w:hAnsi="Arial"/>
          <w:sz w:val="24"/>
        </w:rPr>
        <w:t>(Dz.U. Nr 8 z dnia 25.05.1981r.),</w:t>
      </w:r>
    </w:p>
    <w:p>
      <w:pPr>
        <w:pStyle w:val="Tekstpodstawowy21"/>
        <w:numPr>
          <w:ilvl w:val="0"/>
          <w:numId w:val="2"/>
        </w:numPr>
        <w:jc w:val="both"/>
        <w:rPr>
          <w:rFonts w:ascii="Arial" w:hAnsi="Arial"/>
        </w:rPr>
      </w:pPr>
      <w:r>
        <w:rPr>
          <w:rFonts w:ascii="Arial" w:hAnsi="Arial"/>
          <w:sz w:val="24"/>
        </w:rPr>
        <w:t>polskimi normami, normami branżowymi oraz innymi przepisami, dotyczącymi przedmiotowych instalacji,</w:t>
      </w:r>
    </w:p>
    <w:p>
      <w:pPr>
        <w:pStyle w:val="Tekstpodstawowy21"/>
        <w:numPr>
          <w:ilvl w:val="0"/>
          <w:numId w:val="2"/>
        </w:numPr>
        <w:jc w:val="both"/>
        <w:rPr>
          <w:rFonts w:ascii="Arial" w:hAnsi="Arial"/>
        </w:rPr>
      </w:pPr>
      <w:r>
        <w:rPr>
          <w:rFonts w:ascii="Arial" w:hAnsi="Arial"/>
          <w:sz w:val="24"/>
        </w:rPr>
        <w:t>warunkami techniczno-organizacyjnymi podanymi w Katalogach Norm Pracy dla tego rodzaju robót.</w:t>
      </w:r>
    </w:p>
    <w:p>
      <w:pPr>
        <w:pStyle w:val="Tekstpodstawowy21"/>
        <w:jc w:val="both"/>
        <w:rPr>
          <w:rFonts w:ascii="Arial" w:hAnsi="Arial"/>
          <w:b/>
          <w:b/>
          <w:sz w:val="24"/>
        </w:rPr>
      </w:pPr>
      <w:r>
        <w:rPr>
          <w:rFonts w:ascii="Arial" w:hAnsi="Arial"/>
          <w:b/>
          <w:sz w:val="24"/>
        </w:rPr>
      </w:r>
    </w:p>
    <w:p>
      <w:pPr>
        <w:pStyle w:val="Tekstpodstawowy21"/>
        <w:jc w:val="both"/>
        <w:rPr>
          <w:rFonts w:ascii="Arial" w:hAnsi="Arial"/>
          <w:b/>
          <w:b/>
          <w:sz w:val="24"/>
        </w:rPr>
      </w:pPr>
      <w:r>
        <w:rPr>
          <w:rFonts w:ascii="Arial" w:hAnsi="Arial"/>
          <w:b/>
          <w:sz w:val="24"/>
        </w:rPr>
      </w:r>
    </w:p>
    <w:p>
      <w:pPr>
        <w:pStyle w:val="Tekstpodstawowy21"/>
        <w:jc w:val="both"/>
        <w:rPr>
          <w:rFonts w:ascii="Arial" w:hAnsi="Arial"/>
        </w:rPr>
      </w:pPr>
      <w:r>
        <w:rPr/>
      </w:r>
    </w:p>
    <w:sectPr>
      <w:footerReference w:type="default" r:id="rId3"/>
      <w:type w:val="nextPage"/>
      <w:pgSz w:w="11906" w:h="16838"/>
      <w:pgMar w:left="1134" w:right="851" w:gutter="0" w:header="0" w:top="1134" w:footer="1134" w:bottom="1850"/>
      <w:pgNumType w:fmt="decimal"/>
      <w:formProt w:val="false"/>
      <w:textDirection w:val="lrTb"/>
      <w:docGrid w:type="default" w:linePitch="360" w:charSpace="8192"/>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Calibri">
    <w:charset w:val="ee"/>
    <w:family w:val="roman"/>
    <w:pitch w:val="variable"/>
  </w:font>
  <w:font w:name="Times New Roman">
    <w:charset w:val="ee"/>
    <w:family w:val="roman"/>
    <w:pitch w:val="variable"/>
  </w:font>
  <w:font w:name="OpenSymbol">
    <w:altName w:val="Arial Unicode MS"/>
    <w:charset w:val="ee"/>
    <w:family w:val="roman"/>
    <w:pitch w:val="variable"/>
  </w:font>
  <w:font w:name="Liberation Sans">
    <w:altName w:val="Arial"/>
    <w:charset w:val="ee"/>
    <w:family w:val="roman"/>
    <w:pitch w:val="variable"/>
  </w:font>
  <w:font w:name="Arial">
    <w:charset w:val="ee"/>
    <w:family w:val="roman"/>
    <w:pitch w:val="variable"/>
  </w:font>
  <w:font w:name="Courier New">
    <w:charset w:val="01"/>
    <w:family w:val="modern"/>
    <w:pitch w:val="fixed"/>
  </w:font>
  <w:font w:name="Wingdings">
    <w:charset w:val="02"/>
    <w:family w:val="auto"/>
    <w:pitch w:val="variable"/>
  </w:font>
  <w:font w:name="OpenSymbol">
    <w:altName w:val="Arial Unicode MS"/>
    <w:charset w:val="01"/>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Stopka"/>
      <w:spacing w:before="0" w:after="160"/>
      <w:jc w:val="center"/>
      <w:rPr>
        <w:rFonts w:ascii="Arial" w:hAnsi="Arial"/>
      </w:rPr>
    </w:pPr>
    <w:r>
      <w:rPr>
        <w:rFonts w:ascii="Arial" w:hAnsi="Arial"/>
      </w:rPr>
      <w:drawing>
        <wp:anchor behindDoc="1" distT="0" distB="0" distL="0" distR="0" simplePos="0" locked="0" layoutInCell="0" allowOverlap="1" relativeHeight="15">
          <wp:simplePos x="0" y="0"/>
          <wp:positionH relativeFrom="page">
            <wp:posOffset>5706110</wp:posOffset>
          </wp:positionH>
          <wp:positionV relativeFrom="page">
            <wp:posOffset>9800590</wp:posOffset>
          </wp:positionV>
          <wp:extent cx="1346835" cy="537210"/>
          <wp:effectExtent l="0" t="0" r="0" b="0"/>
          <wp:wrapNone/>
          <wp:docPr id="2" name="Obraz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2" descr=""/>
                  <pic:cNvPicPr>
                    <a:picLocks noChangeAspect="1" noChangeArrowheads="1"/>
                  </pic:cNvPicPr>
                </pic:nvPicPr>
                <pic:blipFill>
                  <a:blip r:embed="rId1"/>
                  <a:stretch>
                    <a:fillRect/>
                  </a:stretch>
                </pic:blipFill>
                <pic:spPr bwMode="auto">
                  <a:xfrm>
                    <a:off x="0" y="0"/>
                    <a:ext cx="1346835" cy="537210"/>
                  </a:xfrm>
                  <a:prstGeom prst="rect">
                    <a:avLst/>
                  </a:prstGeom>
                </pic:spPr>
              </pic:pic>
            </a:graphicData>
          </a:graphic>
        </wp:anchor>
      </w:drawing>
      <w:fldChar w:fldCharType="begin"/>
    </w:r>
    <w:r>
      <w:rPr>
        <w:rFonts w:ascii="Arial" w:hAnsi="Arial"/>
      </w:rPr>
      <w:instrText xml:space="preserve"> PAGE </w:instrText>
    </w:r>
    <w:r>
      <w:rPr>
        <w:rFonts w:ascii="Arial" w:hAnsi="Arial"/>
      </w:rPr>
      <w:fldChar w:fldCharType="separate"/>
    </w:r>
    <w:r>
      <w:rPr>
        <w:rFonts w:ascii="Arial" w:hAnsi="Arial"/>
      </w:rPr>
      <w:t>14</w:t>
    </w:r>
    <w:r>
      <w:rPr>
        <w:rFonts w:ascii="Arial" w:hAnsi="Arial"/>
      </w:rPr>
      <w:fldChar w:fldCharType="end"/>
    </w:r>
  </w:p>
</w:ft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decimal"/>
      <w:lvlText w:val="%1."/>
      <w:lvlJc w:val="left"/>
      <w:pPr>
        <w:tabs>
          <w:tab w:val="num" w:pos="0"/>
        </w:tabs>
        <w:ind w:left="720" w:hanging="360"/>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2">
    <w:lvl w:ilvl="0">
      <w:start w:val="1"/>
      <w:numFmt w:val="bullet"/>
      <w:lvlText w:val=""/>
      <w:lvlJc w:val="left"/>
      <w:pPr>
        <w:tabs>
          <w:tab w:val="num" w:pos="0"/>
        </w:tabs>
        <w:ind w:left="720" w:hanging="360"/>
      </w:pPr>
      <w:rPr>
        <w:rFonts w:ascii="Symbol" w:hAnsi="Symbol" w:cs="Symbol"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3">
    <w:lvl w:ilvl="0">
      <w:start w:val="1"/>
      <w:numFmt w:val="upperRoman"/>
      <w:lvlText w:val="%1."/>
      <w:lvlJc w:val="left"/>
      <w:pPr>
        <w:tabs>
          <w:tab w:val="num" w:pos="0"/>
        </w:tabs>
        <w:ind w:left="1080" w:hanging="72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4">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5">
    <w:lvl w:ilvl="0">
      <w:start w:val="1"/>
      <w:numFmt w:val="bullet"/>
      <w:lvlText w:val=""/>
      <w:lvlJc w:val="left"/>
      <w:pPr>
        <w:tabs>
          <w:tab w:val="num" w:pos="1211"/>
        </w:tabs>
        <w:ind w:left="1211" w:hanging="360"/>
      </w:pPr>
      <w:rPr>
        <w:rFonts w:ascii="Symbol" w:hAnsi="Symbol" w:cs="Symbol" w:hint="default"/>
      </w:rPr>
    </w:lvl>
    <w:lvl w:ilvl="1">
      <w:start w:val="1"/>
      <w:numFmt w:val="bullet"/>
      <w:lvlText w:val="◦"/>
      <w:lvlJc w:val="left"/>
      <w:pPr>
        <w:tabs>
          <w:tab w:val="num" w:pos="1571"/>
        </w:tabs>
        <w:ind w:left="1571" w:hanging="360"/>
      </w:pPr>
      <w:rPr>
        <w:rFonts w:ascii="OpenSymbol" w:hAnsi="OpenSymbol" w:cs="OpenSymbol" w:hint="default"/>
      </w:rPr>
    </w:lvl>
    <w:lvl w:ilvl="2">
      <w:start w:val="1"/>
      <w:numFmt w:val="bullet"/>
      <w:lvlText w:val="▪"/>
      <w:lvlJc w:val="left"/>
      <w:pPr>
        <w:tabs>
          <w:tab w:val="num" w:pos="1931"/>
        </w:tabs>
        <w:ind w:left="1931" w:hanging="360"/>
      </w:pPr>
      <w:rPr>
        <w:rFonts w:ascii="OpenSymbol" w:hAnsi="OpenSymbol" w:cs="OpenSymbol" w:hint="default"/>
      </w:rPr>
    </w:lvl>
    <w:lvl w:ilvl="3">
      <w:start w:val="1"/>
      <w:numFmt w:val="bullet"/>
      <w:lvlText w:val=""/>
      <w:lvlJc w:val="left"/>
      <w:pPr>
        <w:tabs>
          <w:tab w:val="num" w:pos="2291"/>
        </w:tabs>
        <w:ind w:left="2291" w:hanging="360"/>
      </w:pPr>
      <w:rPr>
        <w:rFonts w:ascii="Symbol" w:hAnsi="Symbol" w:cs="Symbol" w:hint="default"/>
      </w:rPr>
    </w:lvl>
    <w:lvl w:ilvl="4">
      <w:start w:val="1"/>
      <w:numFmt w:val="bullet"/>
      <w:lvlText w:val="◦"/>
      <w:lvlJc w:val="left"/>
      <w:pPr>
        <w:tabs>
          <w:tab w:val="num" w:pos="2651"/>
        </w:tabs>
        <w:ind w:left="2651" w:hanging="360"/>
      </w:pPr>
      <w:rPr>
        <w:rFonts w:ascii="OpenSymbol" w:hAnsi="OpenSymbol" w:cs="OpenSymbol" w:hint="default"/>
      </w:rPr>
    </w:lvl>
    <w:lvl w:ilvl="5">
      <w:start w:val="1"/>
      <w:numFmt w:val="bullet"/>
      <w:lvlText w:val="▪"/>
      <w:lvlJc w:val="left"/>
      <w:pPr>
        <w:tabs>
          <w:tab w:val="num" w:pos="3011"/>
        </w:tabs>
        <w:ind w:left="3011" w:hanging="360"/>
      </w:pPr>
      <w:rPr>
        <w:rFonts w:ascii="OpenSymbol" w:hAnsi="OpenSymbol" w:cs="OpenSymbol" w:hint="default"/>
      </w:rPr>
    </w:lvl>
    <w:lvl w:ilvl="6">
      <w:start w:val="1"/>
      <w:numFmt w:val="bullet"/>
      <w:lvlText w:val=""/>
      <w:lvlJc w:val="left"/>
      <w:pPr>
        <w:tabs>
          <w:tab w:val="num" w:pos="3371"/>
        </w:tabs>
        <w:ind w:left="3371" w:hanging="360"/>
      </w:pPr>
      <w:rPr>
        <w:rFonts w:ascii="Symbol" w:hAnsi="Symbol" w:cs="Symbol" w:hint="default"/>
      </w:rPr>
    </w:lvl>
    <w:lvl w:ilvl="7">
      <w:start w:val="1"/>
      <w:numFmt w:val="bullet"/>
      <w:lvlText w:val="◦"/>
      <w:lvlJc w:val="left"/>
      <w:pPr>
        <w:tabs>
          <w:tab w:val="num" w:pos="3731"/>
        </w:tabs>
        <w:ind w:left="3731" w:hanging="360"/>
      </w:pPr>
      <w:rPr>
        <w:rFonts w:ascii="OpenSymbol" w:hAnsi="OpenSymbol" w:cs="OpenSymbol" w:hint="default"/>
      </w:rPr>
    </w:lvl>
    <w:lvl w:ilvl="8">
      <w:start w:val="1"/>
      <w:numFmt w:val="bullet"/>
      <w:lvlText w:val="▪"/>
      <w:lvlJc w:val="left"/>
      <w:pPr>
        <w:tabs>
          <w:tab w:val="num" w:pos="4091"/>
        </w:tabs>
        <w:ind w:left="4091" w:hanging="360"/>
      </w:pPr>
      <w:rPr>
        <w:rFonts w:ascii="OpenSymbol" w:hAnsi="OpenSymbol" w:cs="OpenSymbol" w:hint="default"/>
      </w:rPr>
    </w:lvl>
  </w:abstractNum>
  <w:abstractNum w:abstractNumId="6">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w="http://schemas.openxmlformats.org/wordprocessingml/2006/main">
  <w:zoom w:percent="100"/>
  <w:defaultTabStop w:val="708"/>
  <w:autoHyphenation w:val="true"/>
  <w:hyphenationZone w:val="425"/>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themeFontLang w:val="pl-P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pl-PL" w:eastAsia="en-US"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uiPriority="0"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widowControl/>
      <w:suppressAutoHyphens w:val="true"/>
      <w:bidi w:val="0"/>
      <w:spacing w:lineRule="auto" w:line="259" w:before="0" w:after="160"/>
      <w:jc w:val="left"/>
    </w:pPr>
    <w:rPr>
      <w:rFonts w:ascii="Calibri" w:hAnsi="Calibri" w:eastAsia="Calibri" w:cs="" w:asciiTheme="minorHAnsi" w:cstheme="minorBidi" w:eastAsiaTheme="minorHAnsi" w:hAnsiTheme="minorHAnsi"/>
      <w:color w:val="auto"/>
      <w:kern w:val="0"/>
      <w:sz w:val="22"/>
      <w:szCs w:val="22"/>
      <w:lang w:val="pl-PL" w:eastAsia="en-US" w:bidi="ar-SA"/>
    </w:rPr>
  </w:style>
  <w:style w:type="paragraph" w:styleId="Nagwek2">
    <w:name w:val="Heading 2"/>
    <w:basedOn w:val="Normal"/>
    <w:link w:val="Nagwek2Znak"/>
    <w:uiPriority w:val="9"/>
    <w:qFormat/>
    <w:rsid w:val="006c1649"/>
    <w:pPr>
      <w:spacing w:lineRule="auto" w:line="240" w:beforeAutospacing="1" w:afterAutospacing="1"/>
      <w:outlineLvl w:val="1"/>
    </w:pPr>
    <w:rPr>
      <w:rFonts w:ascii="Times New Roman" w:hAnsi="Times New Roman" w:eastAsia="Times New Roman" w:cs="Times New Roman"/>
      <w:b/>
      <w:bCs/>
      <w:sz w:val="36"/>
      <w:szCs w:val="36"/>
      <w:lang w:eastAsia="pl-PL"/>
    </w:rPr>
  </w:style>
  <w:style w:type="character" w:styleId="DefaultParagraphFont" w:default="1">
    <w:name w:val="Default Paragraph Font"/>
    <w:uiPriority w:val="1"/>
    <w:semiHidden/>
    <w:unhideWhenUsed/>
    <w:qFormat/>
    <w:rPr/>
  </w:style>
  <w:style w:type="character" w:styleId="TekstpodstawowyZnak" w:customStyle="1">
    <w:name w:val="Tekst podstawowy Znak"/>
    <w:basedOn w:val="DefaultParagraphFont"/>
    <w:qFormat/>
    <w:rsid w:val="00d74fcc"/>
    <w:rPr>
      <w:rFonts w:ascii="Times New Roman" w:hAnsi="Times New Roman" w:eastAsia="Times New Roman" w:cs="Times New Roman"/>
      <w:b/>
      <w:bCs/>
      <w:sz w:val="36"/>
      <w:szCs w:val="24"/>
      <w:lang w:eastAsia="ar-SA"/>
    </w:rPr>
  </w:style>
  <w:style w:type="character" w:styleId="AkapitzlistZnak" w:customStyle="1">
    <w:name w:val="Akapit z listą Znak"/>
    <w:link w:val="ListParagraph"/>
    <w:uiPriority w:val="34"/>
    <w:qFormat/>
    <w:rsid w:val="00642c5b"/>
    <w:rPr/>
  </w:style>
  <w:style w:type="character" w:styleId="Nagwek2Znak" w:customStyle="1">
    <w:name w:val="Nagłówek 2 Znak"/>
    <w:basedOn w:val="DefaultParagraphFont"/>
    <w:uiPriority w:val="9"/>
    <w:qFormat/>
    <w:rsid w:val="006c1649"/>
    <w:rPr>
      <w:rFonts w:ascii="Times New Roman" w:hAnsi="Times New Roman" w:eastAsia="Times New Roman" w:cs="Times New Roman"/>
      <w:b/>
      <w:bCs/>
      <w:sz w:val="36"/>
      <w:szCs w:val="36"/>
      <w:lang w:eastAsia="pl-PL"/>
    </w:rPr>
  </w:style>
  <w:style w:type="character" w:styleId="Czeinternetowe">
    <w:name w:val="Hyperlink"/>
    <w:basedOn w:val="DefaultParagraphFont"/>
    <w:uiPriority w:val="99"/>
    <w:semiHidden/>
    <w:unhideWhenUsed/>
    <w:rsid w:val="006c1649"/>
    <w:rPr>
      <w:color w:val="0000FF"/>
      <w:u w:val="single"/>
    </w:rPr>
  </w:style>
  <w:style w:type="character" w:styleId="AkapitzlistZnak1" w:customStyle="1">
    <w:name w:val="Akapit z listą Znak1"/>
    <w:uiPriority w:val="34"/>
    <w:qFormat/>
    <w:rsid w:val="00280d03"/>
    <w:rPr>
      <w:rFonts w:eastAsia="Batang"/>
    </w:rPr>
  </w:style>
  <w:style w:type="character" w:styleId="BezodstpwZnak" w:customStyle="1">
    <w:name w:val="Bez odstępów Znak"/>
    <w:link w:val="NoSpacing"/>
    <w:uiPriority w:val="1"/>
    <w:qFormat/>
    <w:rsid w:val="00280d03"/>
    <w:rPr/>
  </w:style>
  <w:style w:type="character" w:styleId="Znakiwypunktowania">
    <w:name w:val="Znaki wypunktowania"/>
    <w:qFormat/>
    <w:rPr>
      <w:rFonts w:ascii="OpenSymbol" w:hAnsi="OpenSymbol" w:eastAsia="OpenSymbol" w:cs="OpenSymbol"/>
    </w:rPr>
  </w:style>
  <w:style w:type="paragraph" w:styleId="Nagwek">
    <w:name w:val="Nagłówek"/>
    <w:basedOn w:val="Normal"/>
    <w:next w:val="Tretekstu"/>
    <w:qFormat/>
    <w:pPr>
      <w:keepNext w:val="true"/>
      <w:spacing w:before="240" w:after="120"/>
    </w:pPr>
    <w:rPr>
      <w:rFonts w:ascii="Liberation Sans" w:hAnsi="Liberation Sans" w:eastAsia="Microsoft YaHei" w:cs="Arial"/>
      <w:sz w:val="28"/>
      <w:szCs w:val="28"/>
    </w:rPr>
  </w:style>
  <w:style w:type="paragraph" w:styleId="Tretekstu">
    <w:name w:val="Body Text"/>
    <w:basedOn w:val="Normal"/>
    <w:link w:val="TekstpodstawowyZnak"/>
    <w:rsid w:val="00d74fcc"/>
    <w:pPr>
      <w:spacing w:lineRule="auto" w:line="240" w:before="0" w:after="0"/>
      <w:jc w:val="center"/>
    </w:pPr>
    <w:rPr>
      <w:rFonts w:ascii="Times New Roman" w:hAnsi="Times New Roman" w:eastAsia="Times New Roman" w:cs="Times New Roman"/>
      <w:b/>
      <w:bCs/>
      <w:sz w:val="36"/>
      <w:szCs w:val="24"/>
      <w:lang w:eastAsia="ar-SA"/>
    </w:rPr>
  </w:style>
  <w:style w:type="paragraph" w:styleId="Lista">
    <w:name w:val="List"/>
    <w:basedOn w:val="Tretekstu"/>
    <w:pPr/>
    <w:rPr>
      <w:rFonts w:cs="Arial"/>
    </w:rPr>
  </w:style>
  <w:style w:type="paragraph" w:styleId="Podpis">
    <w:name w:val="Caption"/>
    <w:basedOn w:val="Normal"/>
    <w:qFormat/>
    <w:pPr>
      <w:suppressLineNumbers/>
      <w:spacing w:before="120" w:after="120"/>
    </w:pPr>
    <w:rPr>
      <w:rFonts w:cs="Arial"/>
      <w:i/>
      <w:iCs/>
      <w:sz w:val="24"/>
      <w:szCs w:val="24"/>
    </w:rPr>
  </w:style>
  <w:style w:type="paragraph" w:styleId="Indeks" w:customStyle="1">
    <w:name w:val="Indeks"/>
    <w:basedOn w:val="Normal"/>
    <w:qFormat/>
    <w:pPr>
      <w:suppressLineNumbers/>
    </w:pPr>
    <w:rPr>
      <w:rFonts w:cs="Arial"/>
    </w:rPr>
  </w:style>
  <w:style w:type="paragraph" w:styleId="Gwkaistopka" w:customStyle="1">
    <w:name w:val="Główka i stopka"/>
    <w:basedOn w:val="Normal"/>
    <w:qFormat/>
    <w:pPr>
      <w:suppressLineNumbers/>
      <w:tabs>
        <w:tab w:val="clear" w:pos="708"/>
        <w:tab w:val="center" w:pos="4960" w:leader="none"/>
        <w:tab w:val="right" w:pos="9921" w:leader="none"/>
      </w:tabs>
    </w:pPr>
    <w:rPr/>
  </w:style>
  <w:style w:type="paragraph" w:styleId="Gwka">
    <w:name w:val="Header"/>
    <w:basedOn w:val="Normal"/>
    <w:next w:val="Tretekstu"/>
    <w:qFormat/>
    <w:pPr>
      <w:keepNext w:val="true"/>
      <w:spacing w:before="240" w:after="120"/>
    </w:pPr>
    <w:rPr>
      <w:rFonts w:ascii="Liberation Sans" w:hAnsi="Liberation Sans" w:eastAsia="Microsoft YaHei" w:cs="Arial"/>
      <w:sz w:val="28"/>
      <w:szCs w:val="28"/>
    </w:rPr>
  </w:style>
  <w:style w:type="paragraph" w:styleId="Caption">
    <w:name w:val="caption"/>
    <w:basedOn w:val="Normal"/>
    <w:qFormat/>
    <w:pPr>
      <w:suppressLineNumbers/>
      <w:spacing w:before="120" w:after="120"/>
    </w:pPr>
    <w:rPr>
      <w:rFonts w:cs="Arial"/>
      <w:i/>
      <w:iCs/>
      <w:sz w:val="24"/>
      <w:szCs w:val="24"/>
    </w:rPr>
  </w:style>
  <w:style w:type="paragraph" w:styleId="Tekstpodstawowy21" w:customStyle="1">
    <w:name w:val="Tekst podstawowy 21"/>
    <w:basedOn w:val="Normal"/>
    <w:qFormat/>
    <w:rsid w:val="00d74fcc"/>
    <w:pPr>
      <w:spacing w:lineRule="auto" w:line="240" w:before="0" w:after="0"/>
    </w:pPr>
    <w:rPr>
      <w:rFonts w:ascii="Times New Roman" w:hAnsi="Times New Roman" w:eastAsia="Times New Roman" w:cs="Times New Roman"/>
      <w:sz w:val="28"/>
      <w:szCs w:val="24"/>
      <w:lang w:eastAsia="ar-SA"/>
    </w:rPr>
  </w:style>
  <w:style w:type="paragraph" w:styleId="NoSpacing">
    <w:name w:val="No Spacing"/>
    <w:link w:val="BezodstpwZnak"/>
    <w:uiPriority w:val="1"/>
    <w:qFormat/>
    <w:rsid w:val="00972032"/>
    <w:pPr>
      <w:widowControl/>
      <w:suppressAutoHyphens w:val="true"/>
      <w:bidi w:val="0"/>
      <w:spacing w:before="0" w:after="0"/>
      <w:jc w:val="left"/>
    </w:pPr>
    <w:rPr>
      <w:rFonts w:ascii="Calibri" w:hAnsi="Calibri" w:eastAsia="Calibri" w:cs="" w:asciiTheme="minorHAnsi" w:cstheme="minorBidi" w:eastAsiaTheme="minorHAnsi" w:hAnsiTheme="minorHAnsi"/>
      <w:color w:val="auto"/>
      <w:kern w:val="0"/>
      <w:sz w:val="22"/>
      <w:szCs w:val="22"/>
      <w:lang w:val="pl-PL" w:eastAsia="en-US" w:bidi="ar-SA"/>
    </w:rPr>
  </w:style>
  <w:style w:type="paragraph" w:styleId="ListParagraph">
    <w:name w:val="List Paragraph"/>
    <w:basedOn w:val="Normal"/>
    <w:link w:val="AkapitzlistZnak"/>
    <w:uiPriority w:val="34"/>
    <w:qFormat/>
    <w:rsid w:val="006142d4"/>
    <w:pPr>
      <w:spacing w:before="0" w:after="160"/>
      <w:ind w:left="720" w:hanging="0"/>
      <w:contextualSpacing/>
    </w:pPr>
    <w:rPr/>
  </w:style>
  <w:style w:type="paragraph" w:styleId="Default" w:customStyle="1">
    <w:name w:val="Default"/>
    <w:qFormat/>
    <w:rsid w:val="00642c5b"/>
    <w:pPr>
      <w:widowControl/>
      <w:suppressAutoHyphens w:val="true"/>
      <w:bidi w:val="0"/>
      <w:spacing w:before="0" w:after="0"/>
      <w:jc w:val="left"/>
    </w:pPr>
    <w:rPr>
      <w:rFonts w:ascii="Times New Roman" w:hAnsi="Times New Roman" w:eastAsia="Batang" w:cs="Times New Roman"/>
      <w:color w:val="000000"/>
      <w:kern w:val="0"/>
      <w:sz w:val="24"/>
      <w:szCs w:val="24"/>
      <w:lang w:val="pl-PL" w:eastAsia="en-US" w:bidi="ar-SA"/>
    </w:rPr>
  </w:style>
  <w:style w:type="paragraph" w:styleId="Zawartotabeli" w:customStyle="1">
    <w:name w:val="Zawartość tabeli"/>
    <w:basedOn w:val="Normal"/>
    <w:qFormat/>
    <w:rsid w:val="00843845"/>
    <w:pPr>
      <w:widowControl w:val="false"/>
      <w:suppressLineNumbers/>
      <w:spacing w:lineRule="auto" w:line="240" w:before="0" w:after="0"/>
    </w:pPr>
    <w:rPr>
      <w:rFonts w:ascii="Times New Roman" w:hAnsi="Times New Roman" w:eastAsia="Lucida Sans Unicode" w:cs="Mangal"/>
      <w:color w:val="00000A"/>
      <w:sz w:val="24"/>
      <w:szCs w:val="24"/>
      <w:lang w:eastAsia="hi-IN" w:bidi="hi-IN"/>
    </w:rPr>
  </w:style>
  <w:style w:type="paragraph" w:styleId="FNtekstgwny" w:customStyle="1">
    <w:name w:val="FN - tekst główny"/>
    <w:basedOn w:val="Normal"/>
    <w:qFormat/>
    <w:pPr>
      <w:spacing w:lineRule="auto" w:line="276"/>
      <w:jc w:val="both"/>
    </w:pPr>
    <w:rPr>
      <w:rFonts w:ascii="Arial" w:hAnsi="Arial" w:cs="Arial"/>
      <w:sz w:val="18"/>
      <w:szCs w:val="18"/>
    </w:rPr>
  </w:style>
  <w:style w:type="paragraph" w:styleId="Stopka">
    <w:name w:val="Footer"/>
    <w:basedOn w:val="Gwkaistopka"/>
    <w:pPr/>
    <w:rPr/>
  </w:style>
  <w:style w:type="paragraph" w:styleId="Bezodstpw">
    <w:name w:val="Bez odstępów"/>
    <w:qFormat/>
    <w:pPr>
      <w:widowControl/>
      <w:suppressAutoHyphens w:val="true"/>
      <w:bidi w:val="0"/>
      <w:spacing w:before="0" w:after="0"/>
      <w:jc w:val="left"/>
    </w:pPr>
    <w:rPr>
      <w:rFonts w:ascii="Times New Roman" w:hAnsi="Times New Roman" w:eastAsia="Times New Roman" w:cs="Times New Roman"/>
      <w:color w:val="auto"/>
      <w:kern w:val="2"/>
      <w:sz w:val="24"/>
      <w:szCs w:val="24"/>
      <w:lang w:val="pl-PL" w:eastAsia="zh-CN" w:bidi="ar-SA"/>
    </w:rPr>
  </w:style>
  <w:style w:type="numbering" w:styleId="NoList" w:default="1">
    <w:name w:val="No List"/>
    <w:uiPriority w:val="99"/>
    <w:semiHidden/>
    <w:unhideWhenUsed/>
    <w:qFormat/>
  </w:style>
  <w:style w:type="numbering" w:styleId="WW8Num4">
    <w:name w:val="WW8Num4"/>
    <w:qFormat/>
  </w:style>
  <w:style w:type="table" w:default="1" w:styleId="Standardowy">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wmf"/><Relationship Id="rId3" Type="http://schemas.openxmlformats.org/officeDocument/2006/relationships/footer" Target="footer1.xml"/><Relationship Id="rId4" Type="http://schemas.openxmlformats.org/officeDocument/2006/relationships/numbering" Target="numbering.xm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
</Relationships>
</file>

<file path=word/_rels/footer1.xml.rels><?xml version="1.0" encoding="UTF-8"?>
<Relationships xmlns="http://schemas.openxmlformats.org/package/2006/relationships"><Relationship Id="rId1" Type="http://schemas.openxmlformats.org/officeDocument/2006/relationships/image" Target="media/image1.wmf"/>
</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613</TotalTime>
  <Application>LibreOffice/7.4.3.2$Windows_X86_64 LibreOffice_project/1048a8393ae2eeec98dff31b5c133c5f1d08b890</Application>
  <AppVersion>15.0000</AppVersion>
  <Pages>14</Pages>
  <Words>3914</Words>
  <Characters>26018</Characters>
  <CharactersWithSpaces>29820</CharactersWithSpaces>
  <Paragraphs>303</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2018-02-11T16:17:00Z</dcterms:created>
  <dc:creator/>
  <dc:description/>
  <dc:language>pl-PL</dc:language>
  <cp:lastModifiedBy/>
  <dcterms:modified xsi:type="dcterms:W3CDTF">2023-07-25T11:36:00Z</dcterms:modified>
  <cp:revision>46</cp:revision>
  <dc:subject/>
  <dc:title/>
</cp:coreProperties>
</file>

<file path=docProps/custom.xml><?xml version="1.0" encoding="utf-8"?>
<Properties xmlns="http://schemas.openxmlformats.org/officeDocument/2006/custom-properties" xmlns:vt="http://schemas.openxmlformats.org/officeDocument/2006/docPropsVTypes"/>
</file>