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6BF4" w14:textId="2EFB981B" w:rsidR="00236D56" w:rsidRPr="00236D56" w:rsidRDefault="00236D56" w:rsidP="00236D56">
      <w:pPr>
        <w:pStyle w:val="Akapitzlist"/>
        <w:spacing w:after="120" w:line="276" w:lineRule="auto"/>
        <w:ind w:left="567"/>
        <w:contextualSpacing w:val="0"/>
        <w:jc w:val="right"/>
        <w:rPr>
          <w:rFonts w:ascii="Verdana" w:eastAsia="Verdana" w:hAnsi="Verdana" w:cs="Times New Roman"/>
          <w:bCs/>
          <w:color w:val="000000"/>
          <w:sz w:val="16"/>
          <w:szCs w:val="16"/>
        </w:rPr>
      </w:pPr>
      <w:r w:rsidRPr="00236D56">
        <w:rPr>
          <w:rFonts w:ascii="Verdana" w:eastAsia="Verdana" w:hAnsi="Verdana" w:cs="Times New Roman"/>
          <w:bCs/>
          <w:color w:val="000000"/>
          <w:sz w:val="16"/>
          <w:szCs w:val="16"/>
        </w:rPr>
        <w:t>Załącznik nr 6 do SWZ</w:t>
      </w:r>
    </w:p>
    <w:p w14:paraId="7AF155A6" w14:textId="2AEA440D" w:rsidR="00F45E61" w:rsidRPr="003F123E" w:rsidRDefault="00F45E61" w:rsidP="00F45E61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KLAUZULA INFORMACYJNA </w:t>
      </w:r>
      <w:r w:rsidR="00406B14" w:rsidRPr="003F123E">
        <w:rPr>
          <w:rFonts w:ascii="Verdana" w:eastAsia="Verdana" w:hAnsi="Verdana" w:cs="Times New Roman"/>
          <w:b/>
          <w:color w:val="000000"/>
          <w:szCs w:val="20"/>
        </w:rPr>
        <w:br/>
      </w: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DOT. PRZETWARZANIA DANYCH OSOBOWYCH </w:t>
      </w:r>
      <w:r w:rsidR="00406B14" w:rsidRPr="003F123E">
        <w:rPr>
          <w:rFonts w:ascii="Verdana" w:eastAsia="Verdana" w:hAnsi="Verdana" w:cs="Times New Roman"/>
          <w:b/>
          <w:color w:val="000000"/>
          <w:szCs w:val="20"/>
        </w:rPr>
        <w:t>PRZEZ ŁUKASIEWICZ – PORT</w:t>
      </w:r>
    </w:p>
    <w:p w14:paraId="5DF5904E" w14:textId="37535AF0" w:rsidR="00406B14" w:rsidRPr="003F123E" w:rsidRDefault="00081C2E" w:rsidP="00F45E61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>JAKO ZAMAWIAJĄCEGO NA POTRZEBY POSTĘPOWAŃ PROWADZONYCH W OPARCIU O PRZEPISY USTAWY PRAWO ZAMÓWIEŃ PUBLICZNYCH</w:t>
      </w:r>
    </w:p>
    <w:p w14:paraId="1F4A0E5E" w14:textId="77777777" w:rsidR="00087AD9" w:rsidRPr="003F123E" w:rsidRDefault="00087AD9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</w:p>
    <w:p w14:paraId="1B76F5DE" w14:textId="77777777" w:rsidR="001A7F2E" w:rsidRPr="00BF35EF" w:rsidRDefault="00087AD9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BF35EF">
        <w:rPr>
          <w:rFonts w:ascii="Verdana" w:eastAsia="Verdana" w:hAnsi="Verdana" w:cs="Times New Roman"/>
          <w:b/>
          <w:color w:val="000000"/>
          <w:szCs w:val="20"/>
        </w:rPr>
        <w:t xml:space="preserve">Dot. ZAMÓWIENIA PN. </w:t>
      </w:r>
    </w:p>
    <w:p w14:paraId="4671FD07" w14:textId="141652F2" w:rsidR="00087AD9" w:rsidRPr="00E365A7" w:rsidRDefault="00E365A7" w:rsidP="00E365A7">
      <w:pPr>
        <w:spacing w:before="120" w:after="120" w:line="276" w:lineRule="auto"/>
        <w:ind w:left="1701" w:hanging="1134"/>
        <w:jc w:val="center"/>
        <w:rPr>
          <w:rFonts w:ascii="Verdana" w:hAnsi="Verdana"/>
          <w:color w:val="FFFFFF" w:themeColor="background1"/>
          <w:sz w:val="20"/>
          <w:szCs w:val="20"/>
          <w:highlight w:val="yellow"/>
        </w:rPr>
      </w:pPr>
      <w:r w:rsidRPr="00E95605">
        <w:rPr>
          <w:rFonts w:ascii="Verdana" w:hAnsi="Verdana"/>
          <w:b/>
          <w:sz w:val="20"/>
          <w:szCs w:val="20"/>
        </w:rPr>
        <w:t xml:space="preserve">Rozszerzenie możliwości infrastruktury pomieszczeń typu </w:t>
      </w:r>
      <w:proofErr w:type="spellStart"/>
      <w:r w:rsidRPr="00E95605">
        <w:rPr>
          <w:rFonts w:ascii="Verdana" w:hAnsi="Verdana"/>
          <w:b/>
          <w:sz w:val="20"/>
          <w:szCs w:val="20"/>
        </w:rPr>
        <w:t>Clean</w:t>
      </w:r>
      <w:proofErr w:type="spellEnd"/>
      <w:r w:rsidRPr="00E95605">
        <w:rPr>
          <w:rFonts w:ascii="Verdana" w:hAnsi="Verdana"/>
          <w:b/>
          <w:sz w:val="20"/>
          <w:szCs w:val="20"/>
        </w:rPr>
        <w:t> </w:t>
      </w:r>
      <w:proofErr w:type="spellStart"/>
      <w:r w:rsidRPr="00E95605">
        <w:rPr>
          <w:rFonts w:ascii="Verdana" w:hAnsi="Verdana"/>
          <w:b/>
          <w:sz w:val="20"/>
          <w:szCs w:val="20"/>
        </w:rPr>
        <w:t>Room</w:t>
      </w:r>
      <w:proofErr w:type="spellEnd"/>
      <w:r w:rsidRPr="00E95605">
        <w:rPr>
          <w:rFonts w:ascii="Verdana" w:hAnsi="Verdana"/>
          <w:b/>
          <w:sz w:val="20"/>
          <w:szCs w:val="20"/>
        </w:rPr>
        <w:t xml:space="preserve"> w budynku nr 3 </w:t>
      </w:r>
      <w:r w:rsidRPr="00E95605">
        <w:rPr>
          <w:rFonts w:ascii="Verdana" w:hAnsi="Verdana"/>
          <w:b/>
          <w:sz w:val="20"/>
          <w:szCs w:val="20"/>
        </w:rPr>
        <w:br/>
      </w:r>
      <w:r w:rsidR="00176CFB" w:rsidRPr="00176CFB">
        <w:rPr>
          <w:rFonts w:ascii="Verdana" w:hAnsi="Verdana"/>
          <w:b/>
          <w:sz w:val="20"/>
          <w:szCs w:val="20"/>
        </w:rPr>
        <w:t xml:space="preserve">Etap 2: Dostawa specjalistycznej aparatury naukowo-badawczej do pomieszczenia typu </w:t>
      </w:r>
      <w:proofErr w:type="spellStart"/>
      <w:r w:rsidR="00176CFB" w:rsidRPr="00176CFB">
        <w:rPr>
          <w:rFonts w:ascii="Verdana" w:hAnsi="Verdana"/>
          <w:b/>
          <w:sz w:val="20"/>
          <w:szCs w:val="20"/>
        </w:rPr>
        <w:t>Clean</w:t>
      </w:r>
      <w:proofErr w:type="spellEnd"/>
      <w:r w:rsidR="00176CFB" w:rsidRPr="00176CFB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176CFB" w:rsidRPr="00176CFB">
        <w:rPr>
          <w:rFonts w:ascii="Verdana" w:hAnsi="Verdana"/>
          <w:b/>
          <w:sz w:val="20"/>
          <w:szCs w:val="20"/>
        </w:rPr>
        <w:t>Room</w:t>
      </w:r>
      <w:proofErr w:type="spellEnd"/>
      <w:r w:rsidRPr="00176CFB">
        <w:rPr>
          <w:rFonts w:ascii="Verdana" w:hAnsi="Verdana"/>
          <w:b/>
          <w:sz w:val="20"/>
          <w:szCs w:val="20"/>
        </w:rPr>
        <w:t>;</w:t>
      </w:r>
      <w:r w:rsidRPr="00E365A7">
        <w:rPr>
          <w:rFonts w:ascii="Verdana" w:hAnsi="Verdana"/>
          <w:sz w:val="20"/>
          <w:szCs w:val="20"/>
          <w:highlight w:val="yellow"/>
        </w:rPr>
        <w:br/>
      </w:r>
    </w:p>
    <w:p w14:paraId="0DE96E82" w14:textId="77777777" w:rsidR="00081C2E" w:rsidRPr="004B1A23" w:rsidRDefault="00081C2E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</w:p>
    <w:p w14:paraId="34E98F5A" w14:textId="6CDB0593" w:rsidR="00F45E61" w:rsidRPr="003F123E" w:rsidRDefault="00F45E61" w:rsidP="00F45E61">
      <w:pPr>
        <w:spacing w:after="120" w:line="276" w:lineRule="auto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  <w:r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Zgodnie z art. 13 ust. 1 i 2 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>r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tzw. 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ogólne rozporządzenie o ochronie danych)</w:t>
      </w:r>
      <w:r w:rsidR="00081C2E"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 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(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>"</w:t>
      </w:r>
      <w:r w:rsidRPr="003F123E">
        <w:rPr>
          <w:rFonts w:ascii="Verdana" w:eastAsia="Verdana" w:hAnsi="Verdana" w:cs="Times New Roman"/>
          <w:b/>
          <w:bCs/>
          <w:color w:val="000000"/>
          <w:sz w:val="20"/>
          <w:szCs w:val="20"/>
        </w:rPr>
        <w:t>RODO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>”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), </w:t>
      </w:r>
      <w:r w:rsidR="00081C2E" w:rsidRPr="003F123E">
        <w:rPr>
          <w:rFonts w:ascii="Verdana" w:eastAsia="Verdana" w:hAnsi="Verdana" w:cs="Times New Roman"/>
          <w:color w:val="000000"/>
          <w:sz w:val="20"/>
          <w:szCs w:val="20"/>
        </w:rPr>
        <w:t>oraz art. 19 ustawy Prawo zamówień publicznych Zamawiający (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Administrator</w:t>
      </w:r>
      <w:r w:rsidR="00081C2E" w:rsidRPr="003F123E">
        <w:rPr>
          <w:rFonts w:ascii="Verdana" w:eastAsia="Verdana" w:hAnsi="Verdana" w:cs="Times New Roman"/>
          <w:color w:val="000000"/>
          <w:sz w:val="20"/>
          <w:szCs w:val="20"/>
        </w:rPr>
        <w:t>)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 informuje, że:</w:t>
      </w:r>
    </w:p>
    <w:p w14:paraId="7F2D402A" w14:textId="1284A3E7" w:rsidR="00F45E61" w:rsidRPr="003F123E" w:rsidRDefault="00F45E61" w:rsidP="00F45E61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Administratorem danych osobowych przekazywanych Zamawiającemu w ramach niniejszego postępowania jest (dane kontaktowe): </w:t>
      </w:r>
      <w:bookmarkStart w:id="0" w:name="_Hlk54079290"/>
      <w:r w:rsidRPr="003F123E">
        <w:rPr>
          <w:rFonts w:ascii="Verdana" w:eastAsia="Verdana" w:hAnsi="Verdana" w:cs="Times New Roman"/>
          <w:color w:val="000000"/>
          <w:szCs w:val="20"/>
        </w:rPr>
        <w:t xml:space="preserve">Sieć Badawcza Łukasiewicz - PORT Polski Ośrodek Rozwoju Technologii z siedzibą we Wrocławiu, ul. </w:t>
      </w:r>
      <w:proofErr w:type="spellStart"/>
      <w:r w:rsidRPr="003F123E">
        <w:rPr>
          <w:rFonts w:ascii="Verdana" w:eastAsia="Verdana" w:hAnsi="Verdana" w:cs="Times New Roman"/>
          <w:color w:val="000000"/>
          <w:szCs w:val="20"/>
        </w:rPr>
        <w:t>Stabłowicka</w:t>
      </w:r>
      <w:proofErr w:type="spellEnd"/>
      <w:r w:rsidRPr="003F123E">
        <w:rPr>
          <w:rFonts w:ascii="Verdana" w:eastAsia="Verdana" w:hAnsi="Verdana" w:cs="Times New Roman"/>
          <w:color w:val="000000"/>
          <w:szCs w:val="20"/>
        </w:rPr>
        <w:t xml:space="preserve"> 147, 54-066 Wrocław, KRS:</w:t>
      </w:r>
      <w:r w:rsidRPr="003F123E">
        <w:rPr>
          <w:rFonts w:ascii="Verdana" w:hAnsi="Verdana"/>
          <w:szCs w:val="20"/>
        </w:rPr>
        <w:t xml:space="preserve"> 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0000850580; NIP:893140523; biuro@port.lukasiewicz.gov.pl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(„</w:t>
      </w:r>
      <w:r w:rsidR="00406B14" w:rsidRPr="003F123E">
        <w:rPr>
          <w:rFonts w:ascii="Verdana" w:eastAsia="Verdana" w:hAnsi="Verdana" w:cs="Times New Roman"/>
          <w:b/>
          <w:bCs/>
          <w:color w:val="000000"/>
          <w:szCs w:val="20"/>
        </w:rPr>
        <w:t>Administrator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 xml:space="preserve">”). </w:t>
      </w:r>
    </w:p>
    <w:p w14:paraId="06038E9C" w14:textId="1DB85494" w:rsidR="00F45E61" w:rsidRPr="003F123E" w:rsidRDefault="00F45E61" w:rsidP="00F45E61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bookmarkStart w:id="1" w:name="_Hlk54079300"/>
      <w:bookmarkEnd w:id="0"/>
      <w:r w:rsidRPr="003F123E">
        <w:rPr>
          <w:rFonts w:ascii="Verdana" w:eastAsia="Verdana" w:hAnsi="Verdana" w:cs="Times New Roman"/>
          <w:color w:val="000000"/>
          <w:szCs w:val="20"/>
        </w:rPr>
        <w:t>Administrator powołał Inspektora Ochrony Danych (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„</w:t>
      </w:r>
      <w:r w:rsidRPr="003F123E">
        <w:rPr>
          <w:rFonts w:ascii="Verdana" w:eastAsia="Verdana" w:hAnsi="Verdana" w:cs="Times New Roman"/>
          <w:b/>
          <w:bCs/>
          <w:color w:val="000000"/>
          <w:szCs w:val="20"/>
        </w:rPr>
        <w:t>IOD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”</w:t>
      </w:r>
      <w:r w:rsidRPr="003F123E">
        <w:rPr>
          <w:rFonts w:ascii="Verdana" w:eastAsia="Verdana" w:hAnsi="Verdana" w:cs="Times New Roman"/>
          <w:color w:val="000000"/>
          <w:szCs w:val="20"/>
        </w:rPr>
        <w:t>). Kontakt z IOD: iod@port.lukasiewicz.gov.pl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 xml:space="preserve"> </w:t>
      </w:r>
      <w:r w:rsidR="00282654" w:rsidRPr="003F123E">
        <w:rPr>
          <w:rFonts w:ascii="Verdana" w:eastAsia="Verdana" w:hAnsi="Verdana" w:cs="Times New Roman"/>
          <w:color w:val="000000"/>
          <w:szCs w:val="20"/>
        </w:rPr>
        <w:t>Zapraszamy do kontaktu we wszystkich sprawach dotyczących przetwarzania Państwa danych.</w:t>
      </w:r>
    </w:p>
    <w:bookmarkEnd w:id="1"/>
    <w:p w14:paraId="35F4E43C" w14:textId="3763458B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Informacje specyficzne dot. przetwarzania danych w Państwa przypadku:</w:t>
      </w:r>
    </w:p>
    <w:p w14:paraId="766FC866" w14:textId="77777777" w:rsidR="005D621B" w:rsidRPr="004B1A23" w:rsidRDefault="005D621B" w:rsidP="005D621B">
      <w:pPr>
        <w:pStyle w:val="Akapitzlist"/>
        <w:spacing w:after="120" w:line="276" w:lineRule="auto"/>
        <w:ind w:left="567"/>
        <w:contextualSpacing w:val="0"/>
        <w:rPr>
          <w:rFonts w:ascii="Verdana" w:eastAsia="Verdana" w:hAnsi="Verdana" w:cs="Times New Roman"/>
          <w:color w:val="000000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25"/>
        <w:gridCol w:w="1500"/>
        <w:gridCol w:w="1498"/>
        <w:gridCol w:w="1424"/>
        <w:gridCol w:w="1543"/>
        <w:gridCol w:w="1472"/>
      </w:tblGrid>
      <w:tr w:rsidR="004B1A23" w:rsidRPr="004B1A23" w14:paraId="0F3564E5" w14:textId="77777777" w:rsidTr="00E47362">
        <w:tc>
          <w:tcPr>
            <w:tcW w:w="0" w:type="auto"/>
          </w:tcPr>
          <w:p w14:paraId="3BC6C853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Kogo dotyczy przetwarzanie</w:t>
            </w:r>
          </w:p>
        </w:tc>
        <w:tc>
          <w:tcPr>
            <w:tcW w:w="0" w:type="auto"/>
          </w:tcPr>
          <w:p w14:paraId="53FFF969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Sposób pozyskania danych osobowych</w:t>
            </w:r>
          </w:p>
        </w:tc>
        <w:tc>
          <w:tcPr>
            <w:tcW w:w="0" w:type="auto"/>
          </w:tcPr>
          <w:p w14:paraId="1E100225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Podstawa prawna przetwarzania danych osobowych</w:t>
            </w:r>
          </w:p>
        </w:tc>
        <w:tc>
          <w:tcPr>
            <w:tcW w:w="0" w:type="auto"/>
          </w:tcPr>
          <w:p w14:paraId="672F067A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Przetwarzane dane osobowe</w:t>
            </w:r>
          </w:p>
        </w:tc>
        <w:tc>
          <w:tcPr>
            <w:tcW w:w="0" w:type="auto"/>
          </w:tcPr>
          <w:p w14:paraId="121869A3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Cel przetwarzania danych osobowych</w:t>
            </w:r>
          </w:p>
        </w:tc>
        <w:tc>
          <w:tcPr>
            <w:tcW w:w="0" w:type="auto"/>
          </w:tcPr>
          <w:p w14:paraId="4D995A98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Okres przetwarzania danych osobowych</w:t>
            </w:r>
          </w:p>
        </w:tc>
      </w:tr>
      <w:tr w:rsidR="004B1A23" w:rsidRPr="004B1A23" w14:paraId="4BA2C27B" w14:textId="77777777" w:rsidTr="00E47362">
        <w:tc>
          <w:tcPr>
            <w:tcW w:w="0" w:type="auto"/>
          </w:tcPr>
          <w:p w14:paraId="0E6C5958" w14:textId="717B4D6D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Wykonawcy (uczestnika postępowania), osób go reprezentujących, jego pełnomocników i reprezentant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ów poprzez których działa w postępowaniu, da, organów nadzoru etc. i innych osób wskazanych przez Wykonawcę (uczestnika postępowania) w ofercie i innej dokumentacji składanej Zamawiającemu</w:t>
            </w:r>
          </w:p>
        </w:tc>
        <w:tc>
          <w:tcPr>
            <w:tcW w:w="0" w:type="auto"/>
          </w:tcPr>
          <w:p w14:paraId="6DAC48A0" w14:textId="5B33BD50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od Państwa (to Państwo przekazujecie Zamawiającemu swoje dane osobowe; może się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zdarzyć, że otrzymujemy Państwa dane od Państwa pracodawcy lub kontrahenta w ramach jego oferty lub wniosku w postępowaniu)</w:t>
            </w:r>
          </w:p>
        </w:tc>
        <w:tc>
          <w:tcPr>
            <w:tcW w:w="0" w:type="auto"/>
          </w:tcPr>
          <w:p w14:paraId="4EB09158" w14:textId="105B03A3" w:rsidR="00406B14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art. 6 ust. 1 lit. c RODO w zw. z przepisami ustawy Prawo zamówień publicznych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 (w 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przypadku danych o wyrokach skazujących – w zw. z art. 10 RODO)</w:t>
            </w:r>
          </w:p>
          <w:p w14:paraId="056B2328" w14:textId="200DC847" w:rsidR="00081C2E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posiłkowo: art. 6 ust. 1 lit. b RODO – dane są wymagane do wykonania Państwa żądania rozpatrzenia oferty / wniosku przez Zamawiającego, a Państwo dążycie do uzyskania pozytywnego dla Państwa rozstrzygnięcia postępowania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. Niepodanie danych uniemożliwia realizację żądania.</w:t>
            </w:r>
          </w:p>
        </w:tc>
        <w:tc>
          <w:tcPr>
            <w:tcW w:w="0" w:type="auto"/>
          </w:tcPr>
          <w:p w14:paraId="7A3060E9" w14:textId="1164512F" w:rsidR="00406B14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wszelkie dane osobowe jakie Państwo podacie w trakcie niniejszego postępowan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ia o udzielenie zamówienia publicznego lub innego tego postępowania na podstawie ustawy Prawo zamówień publicznych</w:t>
            </w:r>
            <w:r w:rsidR="00087AD9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0" w:type="auto"/>
          </w:tcPr>
          <w:p w14:paraId="2D02D15E" w14:textId="0851880C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</w:t>
            </w:r>
            <w:r w:rsidR="00081C2E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rzeprowadzenie postępowania o udzielenie zamówienia publicznego (lub innego odpowiednie</w:t>
            </w:r>
            <w:r w:rsidR="00081C2E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go postępowania) w oparciu o przepisy ustawy Prawo zamówień publicznych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, </w:t>
            </w:r>
            <w:r w:rsidR="00087AD9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konkretnie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wskazanego w dokumentacji, do której załączona jest niniejsza klauzula informacyjna</w:t>
            </w:r>
          </w:p>
        </w:tc>
        <w:tc>
          <w:tcPr>
            <w:tcW w:w="0" w:type="auto"/>
          </w:tcPr>
          <w:p w14:paraId="6026CD67" w14:textId="567EA193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co do zasady - 4 </w:t>
            </w:r>
            <w:r w:rsid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(cztery)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lata od dnia zakończenia postępowania o udzielenie zamówienia,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nie krócej jednak niż przez okres obowiązywano umowy zawartej w wyniku tego postępowania (art. 78 ust. ustawy Prawo zamówień publicznych)</w:t>
            </w:r>
          </w:p>
        </w:tc>
      </w:tr>
    </w:tbl>
    <w:p w14:paraId="35E20AD8" w14:textId="77777777" w:rsidR="00406B14" w:rsidRPr="004B1A23" w:rsidRDefault="00406B14" w:rsidP="00406B14">
      <w:pPr>
        <w:pStyle w:val="Akapitzlist"/>
        <w:spacing w:after="120" w:line="276" w:lineRule="auto"/>
        <w:ind w:left="567"/>
        <w:contextualSpacing w:val="0"/>
        <w:rPr>
          <w:rFonts w:ascii="Verdana" w:eastAsia="Verdana" w:hAnsi="Verdana" w:cs="Times New Roman"/>
          <w:color w:val="000000"/>
          <w:sz w:val="22"/>
        </w:rPr>
      </w:pPr>
    </w:p>
    <w:p w14:paraId="54B18108" w14:textId="49EDD56A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10 lat. </w:t>
      </w:r>
      <w:r w:rsidR="003B290D" w:rsidRPr="003F123E">
        <w:rPr>
          <w:rFonts w:ascii="Verdana" w:eastAsia="Verdana" w:hAnsi="Verdana" w:cs="Times New Roman"/>
          <w:color w:val="000000"/>
          <w:szCs w:val="20"/>
        </w:rPr>
        <w:t>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78DDD3AF" w14:textId="7F9F9DD3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lastRenderedPageBreak/>
        <w:t>Jeśli przepisy prawa w jakimkolwiek zakresie przewidują dłuższy okres przetwarzania danych, stosuje się ten dłuższy okres.</w:t>
      </w:r>
    </w:p>
    <w:p w14:paraId="46B53F2F" w14:textId="78DBFE2D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Administrator może zgodnie z przepisami prawa przekazywać Państwa dane dalej, do innych odbiorców. Jest to możliwość. Odbiorcami Państwa danych osobowych mogą być: </w:t>
      </w:r>
    </w:p>
    <w:p w14:paraId="3245DA32" w14:textId="00F508CE" w:rsidR="00406B14" w:rsidRPr="003F123E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należycie upoważnieni współpracownicy Administratora lub jego usługodawcy, w zakresie w jakim to ni</w:t>
      </w:r>
      <w:r w:rsidR="00282654" w:rsidRPr="003F123E">
        <w:rPr>
          <w:rFonts w:ascii="Verdana" w:eastAsia="Verdana" w:hAnsi="Verdana" w:cs="Times New Roman"/>
          <w:color w:val="000000"/>
          <w:szCs w:val="20"/>
        </w:rPr>
        <w:t>ezbędne i uzasadnione, w tym np. dostawcy usług informatycznych, software’owych</w:t>
      </w:r>
      <w:r w:rsidR="00AE5722" w:rsidRPr="003F123E">
        <w:rPr>
          <w:rFonts w:ascii="Verdana" w:eastAsia="Verdana" w:hAnsi="Verdana" w:cs="Times New Roman"/>
          <w:color w:val="000000"/>
          <w:szCs w:val="20"/>
        </w:rPr>
        <w:t>;</w:t>
      </w:r>
    </w:p>
    <w:p w14:paraId="3CD08E20" w14:textId="77777777" w:rsidR="00406B14" w:rsidRPr="003F123E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podmioty uprawnione do ustawowej lub umownej kontroli lub nadzoru nad Administratorem, w szczególności Centrum Łukasiewicz i Prezes Centrum Łukasiewicz;</w:t>
      </w:r>
    </w:p>
    <w:p w14:paraId="27E932ED" w14:textId="59D67FF4" w:rsidR="00406B14" w:rsidRPr="003F123E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inne podmioty uprawnione ustawowo do nadzoru i kontroli oraz inne podmioty uprawnione przepisami prawa;</w:t>
      </w:r>
    </w:p>
    <w:p w14:paraId="14F7952A" w14:textId="2BA63C84" w:rsidR="00AE5722" w:rsidRPr="003F123E" w:rsidRDefault="00AE5722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w przypadku powiązania Państwa relacji z Administratorem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 xml:space="preserve"> (w tym fundowania zamówienia publicznego ze środków zewnętrznych)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 dla celów dotowanych projektów naukowych lub komercjalizacji – instytucji dotującej, pośredniczącej, fundujące etc., w szczególności </w:t>
      </w:r>
      <w:proofErr w:type="spellStart"/>
      <w:r w:rsidRPr="003F123E">
        <w:rPr>
          <w:rFonts w:ascii="Verdana" w:eastAsia="Verdana" w:hAnsi="Verdana" w:cs="Times New Roman"/>
          <w:color w:val="000000"/>
          <w:szCs w:val="20"/>
        </w:rPr>
        <w:t>NCBiR</w:t>
      </w:r>
      <w:proofErr w:type="spellEnd"/>
      <w:r w:rsidRPr="003F123E">
        <w:rPr>
          <w:rFonts w:ascii="Verdana" w:eastAsia="Verdana" w:hAnsi="Verdana" w:cs="Times New Roman"/>
          <w:color w:val="000000"/>
          <w:szCs w:val="20"/>
        </w:rPr>
        <w:t xml:space="preserve"> lub NCN;</w:t>
      </w:r>
    </w:p>
    <w:p w14:paraId="2A76FB73" w14:textId="2697A213" w:rsidR="00AE5722" w:rsidRPr="003F123E" w:rsidRDefault="00406B14" w:rsidP="00AE5722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Państwa dane osobowe nie będą przekazywane do krajów trzecich lub organizacji międzynarodowych. Jeśli tak miałoby się stać – poinformujemy Państwa o tym oddzielnie. Nie dotyczy to </w:t>
      </w:r>
      <w:r w:rsidR="00AE5722" w:rsidRPr="003F123E">
        <w:rPr>
          <w:rFonts w:ascii="Verdana" w:eastAsia="Verdana" w:hAnsi="Verdana" w:cs="Times New Roman"/>
          <w:color w:val="000000"/>
          <w:szCs w:val="20"/>
        </w:rPr>
        <w:t xml:space="preserve">jednak 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przekazywania dla celów </w:t>
      </w:r>
      <w:r w:rsidR="00AE5722" w:rsidRPr="003F123E">
        <w:rPr>
          <w:rFonts w:ascii="Verdana" w:eastAsia="Verdana" w:hAnsi="Verdana" w:cs="Times New Roman"/>
          <w:color w:val="000000"/>
          <w:szCs w:val="20"/>
        </w:rPr>
        <w:t>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580FA8FC" w14:textId="77777777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W odniesieniu do Państwa danych osobowych decyzje nie będą podejmowane w sposób zautomatyzowany. Nie będzie też mieć miejsce profilowanie na ich podstawie.</w:t>
      </w:r>
    </w:p>
    <w:p w14:paraId="6BD2B02C" w14:textId="7E88DCF2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Dla realizacja Państwa praw prosimy o kontakt mailowy z Administratorem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 xml:space="preserve"> na ww. dane kontaktowe Inspektora Ochrony Danych</w:t>
      </w:r>
      <w:r w:rsidRPr="003F123E">
        <w:rPr>
          <w:rFonts w:ascii="Verdana" w:eastAsia="Verdana" w:hAnsi="Verdana" w:cs="Times New Roman"/>
          <w:color w:val="000000"/>
          <w:szCs w:val="20"/>
        </w:rPr>
        <w:t>. Posiadają Państwo prawo do:</w:t>
      </w:r>
    </w:p>
    <w:p w14:paraId="0CBD8604" w14:textId="77777777" w:rsidR="00406B14" w:rsidRPr="003F123E" w:rsidRDefault="00406B14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dostępu do przekazanych danych osobowych;</w:t>
      </w:r>
    </w:p>
    <w:p w14:paraId="5DCB0F02" w14:textId="38330D19" w:rsidR="00406B14" w:rsidRPr="003F123E" w:rsidRDefault="00087AD9" w:rsidP="005E3381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 xml:space="preserve">sprostowania 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 xml:space="preserve">lub uzupełnienia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przekazanych danych osobowych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>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ustawy);</w:t>
      </w:r>
    </w:p>
    <w:p w14:paraId="520BAB79" w14:textId="202DC629" w:rsidR="00406B14" w:rsidRPr="003F123E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żądania ograniczenia przetwarzania danych osobowych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>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24BE2271" w14:textId="77777777" w:rsidR="00406B14" w:rsidRPr="003F123E" w:rsidRDefault="00406B14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wniesienia skargi do Prezesa Urzędu Ochrony Danych Osobowych na przetwarzanie danych przez Administratora;</w:t>
      </w:r>
    </w:p>
    <w:p w14:paraId="2D3C0897" w14:textId="2E07B49F" w:rsidR="00406B14" w:rsidRPr="003F123E" w:rsidRDefault="00087AD9" w:rsidP="005D621B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lastRenderedPageBreak/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usunięcia danych (prawo do bycia zapomnianym)</w:t>
      </w:r>
      <w:r w:rsidRPr="003F123E">
        <w:rPr>
          <w:rFonts w:ascii="Verdana" w:eastAsia="Verdana" w:hAnsi="Verdana" w:cs="Times New Roman"/>
          <w:color w:val="000000"/>
          <w:szCs w:val="20"/>
        </w:rPr>
        <w:t>.</w:t>
      </w:r>
      <w:r w:rsidR="005D621B" w:rsidRPr="003F123E">
        <w:rPr>
          <w:rFonts w:ascii="Verdana" w:eastAsia="Verdana" w:hAnsi="Verdana" w:cs="Times New Roman"/>
          <w:color w:val="000000"/>
          <w:szCs w:val="20"/>
        </w:rPr>
        <w:t xml:space="preserve"> Informujemy 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 xml:space="preserve">jednak, że prawo do usunięcia danych (prawo do bycia zapomnianym), w zakresie wyznaczonym przez art. 17 ust. 3 lit. b, d lub e RODO nie przysługuje Państwu 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tak długo, jak podstawą przetwarzania Państwa danych jest art. 6 ust. 1 lit. c ROD 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>(jest ograniczone z tego względu, że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 jest to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 xml:space="preserve"> przetwarzanie dla celó</w:t>
      </w:r>
      <w:r w:rsidRPr="003F123E">
        <w:rPr>
          <w:rFonts w:ascii="Verdana" w:eastAsia="Verdana" w:hAnsi="Verdana" w:cs="Times New Roman"/>
          <w:color w:val="000000"/>
          <w:szCs w:val="20"/>
        </w:rPr>
        <w:t>w wynikających z przepisów prawa – Zamawiający musi przetwarzać te dane zgodnie z prawem);</w:t>
      </w:r>
    </w:p>
    <w:p w14:paraId="732263E4" w14:textId="4A3DB550" w:rsidR="00406B14" w:rsidRPr="003F123E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przenoszenia danych osobowych</w:t>
      </w:r>
      <w:r w:rsidRPr="003F123E">
        <w:rPr>
          <w:rFonts w:ascii="Verdana" w:eastAsia="Verdana" w:hAnsi="Verdana" w:cs="Times New Roman"/>
          <w:color w:val="000000"/>
          <w:szCs w:val="20"/>
        </w:rPr>
        <w:t>. Informujemy jednak, że: prawo to nie ma zastosowania do przetwarzania, które jest niezbędne do wykonania zadania realizowanego w interesie publicznym i doznaje ograniczenia w tym postępowaniu (art. 20 ust. 3 RODO);</w:t>
      </w:r>
    </w:p>
    <w:p w14:paraId="095F1645" w14:textId="2D3B123D" w:rsidR="00406B14" w:rsidRPr="003F123E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sprzeciwu, wobec przetwarzania danych osobowych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>. Informujemy dodatkowo, że: tak długo, jak podstawą przetwarzania Państwa danych jest art. 6 ust. 1 lit. c (lub posiłkowo: lit. b) RODO, tak długo niestety nie macie Państwa prawa do tego sprzeciwu (art. 21 ust. 1 RODO)</w:t>
      </w:r>
      <w:r w:rsidRPr="003F123E">
        <w:rPr>
          <w:rFonts w:ascii="Verdana" w:eastAsia="Verdana" w:hAnsi="Verdana" w:cs="Times New Roman"/>
          <w:color w:val="000000"/>
          <w:szCs w:val="20"/>
        </w:rPr>
        <w:t>;</w:t>
      </w:r>
    </w:p>
    <w:p w14:paraId="4633E5DA" w14:textId="7798589A" w:rsidR="005E3381" w:rsidRPr="003F123E" w:rsidRDefault="00406B14" w:rsidP="005E3381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cofnięcia swojej dobrowolnie wyrażonej zgody na przetwarzanie w każdym czasie – jeśli przetwarzanie odbywa się na podstawie zgody. Cofnięcie tej zgody nie wpływa na dotychczasowe przetwarzanie na tej podstawie, przed jej cofnięciem</w:t>
      </w:r>
      <w:r w:rsidR="005D621B" w:rsidRPr="003F123E">
        <w:rPr>
          <w:rFonts w:ascii="Verdana" w:eastAsia="Verdana" w:hAnsi="Verdana" w:cs="Times New Roman"/>
          <w:color w:val="000000"/>
          <w:szCs w:val="20"/>
        </w:rPr>
        <w:t>.</w:t>
      </w:r>
      <w:r w:rsidR="00087AD9" w:rsidRPr="003F123E">
        <w:rPr>
          <w:rFonts w:ascii="Verdana" w:eastAsia="Verdana" w:hAnsi="Verdana" w:cs="Times New Roman"/>
          <w:color w:val="000000"/>
          <w:szCs w:val="20"/>
        </w:rPr>
        <w:t xml:space="preserve"> Co do zasady w niniejszym postępowaniu Państwa dane nie będą przetwarzane na podstawie zgody, więc prawo to co do zasady nie ma zastosowania.</w:t>
      </w:r>
    </w:p>
    <w:p w14:paraId="45F51CC4" w14:textId="30D3B030" w:rsidR="005D621B" w:rsidRPr="003F123E" w:rsidRDefault="005D621B" w:rsidP="005D621B">
      <w:pPr>
        <w:spacing w:after="120" w:line="276" w:lineRule="auto"/>
        <w:ind w:left="567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sectPr w:rsidR="005D621B" w:rsidRPr="003F1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F2E72" w14:textId="77777777" w:rsidR="00C363E9" w:rsidRDefault="00C363E9" w:rsidP="00406B14">
      <w:pPr>
        <w:spacing w:after="0" w:line="240" w:lineRule="auto"/>
      </w:pPr>
      <w:r>
        <w:separator/>
      </w:r>
    </w:p>
  </w:endnote>
  <w:endnote w:type="continuationSeparator" w:id="0">
    <w:p w14:paraId="59CAB2FB" w14:textId="77777777" w:rsidR="00C363E9" w:rsidRDefault="00C363E9" w:rsidP="0040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46B3C" w14:textId="77777777" w:rsidR="00C363E9" w:rsidRDefault="00C363E9" w:rsidP="00406B14">
      <w:pPr>
        <w:spacing w:after="0" w:line="240" w:lineRule="auto"/>
      </w:pPr>
      <w:r>
        <w:separator/>
      </w:r>
    </w:p>
  </w:footnote>
  <w:footnote w:type="continuationSeparator" w:id="0">
    <w:p w14:paraId="0432FF8D" w14:textId="77777777" w:rsidR="00C363E9" w:rsidRDefault="00C363E9" w:rsidP="00406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62D7"/>
    <w:multiLevelType w:val="hybridMultilevel"/>
    <w:tmpl w:val="2312AFE8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3018A9"/>
    <w:multiLevelType w:val="hybridMultilevel"/>
    <w:tmpl w:val="84B82C8A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F95023A"/>
    <w:multiLevelType w:val="hybridMultilevel"/>
    <w:tmpl w:val="13C4CED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C56BC2"/>
    <w:multiLevelType w:val="hybridMultilevel"/>
    <w:tmpl w:val="70AAB766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90354174">
    <w:abstractNumId w:val="4"/>
  </w:num>
  <w:num w:numId="2" w16cid:durableId="1231422680">
    <w:abstractNumId w:val="0"/>
  </w:num>
  <w:num w:numId="3" w16cid:durableId="2027248656">
    <w:abstractNumId w:val="5"/>
  </w:num>
  <w:num w:numId="4" w16cid:durableId="1142308297">
    <w:abstractNumId w:val="2"/>
  </w:num>
  <w:num w:numId="5" w16cid:durableId="1516994300">
    <w:abstractNumId w:val="3"/>
  </w:num>
  <w:num w:numId="6" w16cid:durableId="1575822204">
    <w:abstractNumId w:val="6"/>
  </w:num>
  <w:num w:numId="7" w16cid:durableId="126825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34"/>
    <w:rsid w:val="00081C2E"/>
    <w:rsid w:val="00087AD9"/>
    <w:rsid w:val="00104E16"/>
    <w:rsid w:val="00176CFB"/>
    <w:rsid w:val="001A7F2E"/>
    <w:rsid w:val="00236D56"/>
    <w:rsid w:val="00261962"/>
    <w:rsid w:val="00282654"/>
    <w:rsid w:val="00304DD2"/>
    <w:rsid w:val="003B290D"/>
    <w:rsid w:val="003F123E"/>
    <w:rsid w:val="00406B14"/>
    <w:rsid w:val="004B1A23"/>
    <w:rsid w:val="005A2E81"/>
    <w:rsid w:val="005D621B"/>
    <w:rsid w:val="005E3381"/>
    <w:rsid w:val="00643501"/>
    <w:rsid w:val="00AE5722"/>
    <w:rsid w:val="00BF35EF"/>
    <w:rsid w:val="00C363E9"/>
    <w:rsid w:val="00CC4863"/>
    <w:rsid w:val="00CD7D96"/>
    <w:rsid w:val="00CF7662"/>
    <w:rsid w:val="00E365A7"/>
    <w:rsid w:val="00E913D9"/>
    <w:rsid w:val="00E95605"/>
    <w:rsid w:val="00E96935"/>
    <w:rsid w:val="00EF7C9F"/>
    <w:rsid w:val="00F45E61"/>
    <w:rsid w:val="00FC38F8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9EE3"/>
  <w15:docId w15:val="{3E0CB391-D257-452C-A322-A1C9EFB8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rsid w:val="00F45E61"/>
    <w:pPr>
      <w:spacing w:after="280" w:line="280" w:lineRule="exact"/>
      <w:ind w:left="720"/>
      <w:contextualSpacing/>
      <w:jc w:val="both"/>
    </w:pPr>
    <w:rPr>
      <w:color w:val="FFFFFF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E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E6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E6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B1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6B1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B1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7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7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7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0D43C-455F-46FD-8771-1FCA25E1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1210</Words>
  <Characters>7265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Jankowski</dc:creator>
  <cp:keywords/>
  <dc:description/>
  <cp:lastModifiedBy>Joanna Oczkowicz | Łukasiewicz - PORT</cp:lastModifiedBy>
  <cp:revision>6</cp:revision>
  <dcterms:created xsi:type="dcterms:W3CDTF">2022-03-15T09:03:00Z</dcterms:created>
  <dcterms:modified xsi:type="dcterms:W3CDTF">2022-10-03T07:27:00Z</dcterms:modified>
</cp:coreProperties>
</file>