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7267" w14:textId="5413B4C2" w:rsidR="00686241" w:rsidRPr="00686241" w:rsidRDefault="00E3183A" w:rsidP="0007005E">
      <w:pPr>
        <w:spacing w:after="0" w:line="240" w:lineRule="auto"/>
        <w:jc w:val="right"/>
        <w:rPr>
          <w:rFonts w:ascii="Verdana" w:eastAsiaTheme="minorEastAsia" w:hAnsi="Verdana" w:cs="Verdana"/>
          <w:bCs/>
          <w:color w:val="auto"/>
          <w:spacing w:val="0"/>
          <w:szCs w:val="20"/>
        </w:rPr>
      </w:pPr>
      <w:r>
        <w:rPr>
          <w:rFonts w:ascii="Verdana" w:eastAsiaTheme="minorEastAsia" w:hAnsi="Verdana" w:cs="Verdana"/>
          <w:bCs/>
          <w:color w:val="auto"/>
          <w:spacing w:val="0"/>
          <w:szCs w:val="20"/>
        </w:rPr>
        <w:t>Nr sprawy: SPZP.271.39.2024</w:t>
      </w:r>
      <w:r>
        <w:rPr>
          <w:rFonts w:ascii="Verdana" w:eastAsiaTheme="minorEastAsia" w:hAnsi="Verdana" w:cs="Verdana"/>
          <w:bCs/>
          <w:color w:val="auto"/>
          <w:spacing w:val="0"/>
          <w:szCs w:val="20"/>
        </w:rPr>
        <w:br/>
      </w:r>
      <w:r w:rsidR="00686241" w:rsidRPr="00686241">
        <w:rPr>
          <w:rFonts w:ascii="Verdana" w:eastAsiaTheme="minorEastAsia" w:hAnsi="Verdana" w:cs="Verdana"/>
          <w:bCs/>
          <w:color w:val="auto"/>
          <w:spacing w:val="0"/>
          <w:szCs w:val="20"/>
        </w:rPr>
        <w:t>Załącznik nr 2 do SWZ – Opis Przedmiotu Zamówienia</w:t>
      </w:r>
    </w:p>
    <w:p w14:paraId="7514355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 w:val="24"/>
          <w:szCs w:val="24"/>
        </w:rPr>
      </w:pPr>
    </w:p>
    <w:p w14:paraId="23505674" w14:textId="77777777" w:rsidR="00686241" w:rsidRPr="00686241" w:rsidRDefault="00686241" w:rsidP="0007005E">
      <w:pPr>
        <w:spacing w:after="0" w:line="276" w:lineRule="auto"/>
        <w:jc w:val="center"/>
        <w:rPr>
          <w:rFonts w:ascii="Verdana" w:eastAsiaTheme="minorEastAsia" w:hAnsi="Verdana" w:cs="Verdana"/>
          <w:b/>
          <w:bCs/>
          <w:color w:val="auto"/>
          <w:spacing w:val="0"/>
          <w:sz w:val="28"/>
          <w:szCs w:val="28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 w:val="28"/>
          <w:szCs w:val="28"/>
        </w:rPr>
        <w:t>Opis przedmiotu Zamówienia</w:t>
      </w:r>
    </w:p>
    <w:p w14:paraId="23427DB9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8DDE7D1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04130CF4" w14:textId="77777777" w:rsidR="00686241" w:rsidRPr="00686241" w:rsidRDefault="00686241" w:rsidP="0007005E">
      <w:pPr>
        <w:numPr>
          <w:ilvl w:val="0"/>
          <w:numId w:val="11"/>
        </w:numPr>
        <w:spacing w:before="100" w:after="0" w:line="276" w:lineRule="auto"/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  <w:t>Przedmiot Zamówienia:</w:t>
      </w:r>
    </w:p>
    <w:p w14:paraId="69E49FD0" w14:textId="77777777" w:rsidR="00686241" w:rsidRPr="00686241" w:rsidRDefault="00686241" w:rsidP="0007005E">
      <w:pPr>
        <w:spacing w:after="0" w:line="276" w:lineRule="auto"/>
        <w:ind w:left="720"/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</w:pPr>
    </w:p>
    <w:p w14:paraId="02D3F117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Przedmiotem zamówienia jest świadczenie Usług Cateringowych („Usługi”) w ramach umowy ramowej na potrzeby Ogrodów Doświadczeń, w tym z obsługą, przy zapewnieniu asortymentu cateringowego, szczegółowo opisanego w tabeli  stanowiącej załącznik nr 2.1  do SWZ tj. Formularzu wyceny (składającym się z 3 arkuszy).</w:t>
      </w:r>
    </w:p>
    <w:p w14:paraId="17D4C2D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58448B60" w14:textId="4073CE46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Usługi  świadczone będą w siedzibie Zamawiającego we Wrocławiu przy </w:t>
      </w:r>
      <w:r w:rsidR="0007005E">
        <w:rPr>
          <w:rFonts w:ascii="Verdana" w:eastAsiaTheme="minorEastAsia" w:hAnsi="Verdana" w:cs="Verdana"/>
          <w:color w:val="auto"/>
          <w:spacing w:val="0"/>
          <w:szCs w:val="20"/>
        </w:rPr>
        <w:br/>
      </w: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ul.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Stabłowickiej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147. Dokładna lokalizacja (budynek, pokój, sala, biuro) oraz data wskazywana będzie każdorazowo przez Zamawiającego w Zleceniu wykonawczym do zawartej z Zamawiającym umowy ramowej. Data Usługi każdorazowo zostanie podana 14 dni przed świadczeniem Usługi w ww. Zleceniu wykonawczym. </w:t>
      </w:r>
    </w:p>
    <w:p w14:paraId="58A3D2B7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1FD7A574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Termin realizacji umowy ramowej:  od dnia zawarcia umowy do dnia 31.12.2024 lub do wyczerpania maksymalnego wynagrodzenia brutto z uwzględnieniem postanowień wzoru umowy stanowiącego Załącznik nr 3 do SWZ.</w:t>
      </w:r>
    </w:p>
    <w:p w14:paraId="2EF306F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3C600C6D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 czasie realizacji Umowy ramowej Zamawiający przewiduje ok.:</w:t>
      </w:r>
    </w:p>
    <w:p w14:paraId="4BC97662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spotkanie w 2024 r. dla 50-70 osób obejmujące przerwę kawową,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oraz desery;</w:t>
      </w:r>
    </w:p>
    <w:p w14:paraId="0ACF5DB4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spotkanie w 2024 r.  dla50-70 osób obejmujące przerwę kawową,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oraz desery;</w:t>
      </w:r>
    </w:p>
    <w:p w14:paraId="504A7C89" w14:textId="3080124F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1 szkolenie w 2024 r.  dla</w:t>
      </w:r>
      <w:r w:rsidR="00026D5E">
        <w:rPr>
          <w:rFonts w:ascii="Verdana" w:eastAsiaTheme="minorEastAsia" w:hAnsi="Verdana" w:cs="Verdana"/>
          <w:color w:val="auto"/>
          <w:spacing w:val="0"/>
          <w:szCs w:val="20"/>
        </w:rPr>
        <w:t xml:space="preserve"> </w:t>
      </w: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15 osób obejmujące przerwę kawową + ciasto +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(dostępne przez cały czas trwania szkolenia) + lunch (w przerwie szkolenia);</w:t>
      </w:r>
    </w:p>
    <w:p w14:paraId="54986BCF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szkolenie w 2024 r.  dla 15 osób obejmujące przerwę kawową + ciasto +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(dostępne przez cały czas trwania szkolenia) + lunch (w przerwie szkolenia).</w:t>
      </w:r>
    </w:p>
    <w:p w14:paraId="766CCE72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738DAFB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Powyższe punkty zostały szczegółowo opisane w załączniku nr 3 do SWZ tj. Formularzu wyceny</w:t>
      </w:r>
    </w:p>
    <w:p w14:paraId="6B35BADA" w14:textId="77777777" w:rsidR="00686241" w:rsidRPr="00686241" w:rsidRDefault="00686241" w:rsidP="0007005E">
      <w:pPr>
        <w:contextualSpacing/>
        <w:rPr>
          <w:rFonts w:cs="Tahoma"/>
          <w:color w:val="auto"/>
          <w:szCs w:val="20"/>
        </w:rPr>
      </w:pPr>
      <w:r w:rsidRPr="00686241">
        <w:rPr>
          <w:rFonts w:eastAsiaTheme="minorEastAsia"/>
          <w:color w:val="auto"/>
          <w:spacing w:val="0"/>
          <w:szCs w:val="20"/>
        </w:rPr>
        <w:t xml:space="preserve">Jest to szacunkowa liczba organizowanych spotkań, która może różnić się od tej rzeczywistej zrealizowanej przez Zamawiającego. </w:t>
      </w:r>
    </w:p>
    <w:p w14:paraId="074E3E13" w14:textId="77777777" w:rsidR="00686241" w:rsidRPr="00686241" w:rsidRDefault="00686241" w:rsidP="0007005E">
      <w:pPr>
        <w:contextualSpacing/>
        <w:rPr>
          <w:rFonts w:cs="Tahoma"/>
          <w:color w:val="auto"/>
          <w:szCs w:val="20"/>
        </w:rPr>
      </w:pPr>
      <w:r w:rsidRPr="00686241">
        <w:rPr>
          <w:rFonts w:cs="Tahoma"/>
          <w:color w:val="auto"/>
          <w:szCs w:val="20"/>
        </w:rPr>
        <w:t xml:space="preserve">Zamawiający będzie udzielał Zleceń w miarę swoich potrzeb. Zamawiający jest zobowiązany do udzielenia co najmniej jednego Zlecenia w ramach niniejszej Umowy. </w:t>
      </w:r>
    </w:p>
    <w:p w14:paraId="5FB02290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przyjmuje do wiadomości, że przedstawiona wyżej liczba ma jedynie charakter orientacyjny i przysługuje mu roszczenie o zapłatę wynagrodzenia tylko w zakresie udzielonych Zleceń.</w:t>
      </w:r>
    </w:p>
    <w:p w14:paraId="3D500B4C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2CE2598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798520E4" w14:textId="77777777" w:rsidR="00686241" w:rsidRPr="00686241" w:rsidRDefault="00686241" w:rsidP="0007005E">
      <w:pPr>
        <w:numPr>
          <w:ilvl w:val="0"/>
          <w:numId w:val="11"/>
        </w:numPr>
        <w:spacing w:before="100" w:after="0" w:line="276" w:lineRule="auto"/>
        <w:ind w:left="426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  <w:t>Obowiązki Wykonawcy:</w:t>
      </w:r>
    </w:p>
    <w:p w14:paraId="034BC185" w14:textId="77777777" w:rsidR="00686241" w:rsidRPr="00686241" w:rsidRDefault="00686241" w:rsidP="0007005E">
      <w:pPr>
        <w:spacing w:after="0" w:line="276" w:lineRule="auto"/>
        <w:ind w:left="4026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0C4BB402" w14:textId="77777777" w:rsidR="00686241" w:rsidRPr="00686241" w:rsidRDefault="00686241" w:rsidP="0007005E">
      <w:pPr>
        <w:numPr>
          <w:ilvl w:val="0"/>
          <w:numId w:val="12"/>
        </w:numPr>
        <w:spacing w:before="100" w:after="0" w:line="276" w:lineRule="auto"/>
        <w:ind w:left="567" w:hanging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Szczegółowy zakres usługi obejmuje:</w:t>
      </w:r>
    </w:p>
    <w:p w14:paraId="4F45560B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Przygotowanie, dostarczenie i wydanie potraw i napojów we wskazanym przez Zamawiającego miejscu.</w:t>
      </w:r>
    </w:p>
    <w:p w14:paraId="3202C000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 odpowiedniej temperatury ciepłych potraw i napojów: 85°C (termosy, podgrzewacze, bemary) oraz napojów zimnych.</w:t>
      </w:r>
    </w:p>
    <w:p w14:paraId="2E8C8CA7" w14:textId="76182333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Zapewnienie, rozstawienie i sprzątnięcie stołów bufetowych oraz stołów koktajlowych w liczbie wystarczającej do wygodnego spożycia posiłków przez wskazaną przez Zamawiającego liczbę osób.</w:t>
      </w:r>
      <w:r w:rsidR="004017CD">
        <w:rPr>
          <w:rFonts w:ascii="Verdana" w:eastAsiaTheme="minorEastAsia" w:hAnsi="Verdana" w:cs="Verdana"/>
          <w:color w:val="auto"/>
          <w:spacing w:val="0"/>
          <w:szCs w:val="20"/>
        </w:rPr>
        <w:t xml:space="preserve"> Pokrowce na stoły w kolorze białym/czarnym lub szarym zakrywające nogi.</w:t>
      </w:r>
    </w:p>
    <w:p w14:paraId="60FCB589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Dbałość o estetykę oraz obsługa bufetu, stołów bankietowych, stolików koktajlowych.</w:t>
      </w:r>
    </w:p>
    <w:p w14:paraId="59CD44E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Aranżacja bufetów, stołów: jednokolorowe pokrowce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streczowe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, niewielkie dekoracje sezonowe, dwujęzyczne opisy menu oraz napoi (PL-ENG) z oznaczeniem dań wegetariańskich i/lub innych wg specjalnej diety.</w:t>
      </w:r>
    </w:p>
    <w:p w14:paraId="32DA111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 zastawy stołowej (szklanej, porcelanowej) w ilości odpowiedniej do ilości osób uczestniczących w wydarzeniu (szklanki, filiżanki, zastawa, sztućce ze stali nierdzewnej, serwetki materiałowe i papierowe).</w:t>
      </w:r>
    </w:p>
    <w:p w14:paraId="72CF5747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 obsługi kelnerskiej cateringu w ilości niezbędnej do płynnego, ciągłego uzupełniania/sprzątania stołów, odpowiedniego ubioru Pracowników Wykonawcy (estetyczne, jednolite stroje) oraz ich odpowiedniego zachowania. Zamawiający wymaga, aby w żadnym momencie świadczenia usługi nie tworzyły się kolejki, a estetyka stołów i bufetów była zawsze na odpowiednim poziomie.</w:t>
      </w:r>
    </w:p>
    <w:p w14:paraId="17544584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Obsługę zaplecza.</w:t>
      </w:r>
    </w:p>
    <w:p w14:paraId="16FBA336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Usuwanie i utylizację odpadów i śmieci.</w:t>
      </w:r>
    </w:p>
    <w:p w14:paraId="4EB10251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Reagowanie na wszystkie wytyczne i potrzeby Zamawiającego.</w:t>
      </w:r>
    </w:p>
    <w:p w14:paraId="77B2C400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Zebranie Asortymentu Cateringowego oraz wyposażenia, a tym samym pozostawienie miejsca świadczenia usługi w siedzibie Zamawiającego w niezmienionym stanie, w jakim zostało ono zastane.</w:t>
      </w:r>
    </w:p>
    <w:p w14:paraId="20162764" w14:textId="77777777" w:rsidR="00686241" w:rsidRDefault="00686241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35DD6BDC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5BC1C7A5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6DE6F88B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51B3D3B6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2273B0A5" w14:textId="77777777" w:rsidR="0007005E" w:rsidRPr="00686241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0CF1F6AE" w14:textId="77777777" w:rsidR="00686241" w:rsidRPr="00686241" w:rsidRDefault="00686241" w:rsidP="0007005E">
      <w:pPr>
        <w:numPr>
          <w:ilvl w:val="0"/>
          <w:numId w:val="12"/>
        </w:numPr>
        <w:spacing w:before="100" w:after="0" w:line="276" w:lineRule="auto"/>
        <w:ind w:left="567" w:hanging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Dodatkowe informacje:</w:t>
      </w:r>
    </w:p>
    <w:p w14:paraId="39913266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lastRenderedPageBreak/>
        <w:t>Zamawiający wymaga, aby część dań była przyrządzana m.in. wg diety wegetariańskiej oraz wegańskiej.</w:t>
      </w:r>
    </w:p>
    <w:p w14:paraId="12474DF2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Zamawiający zastrzega sobie zawsze prawo do ostatecznego wyboru menu spośród propozycji przedstawionych przez Wykonawcę.</w:t>
      </w:r>
    </w:p>
    <w:p w14:paraId="5485FD0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zobowiązuje się do ścisłej współpracy z Zamawiającym. Tym samym Wykonawca zobowiązany jest uwzględniać wszelkie uwagi Zamawiającego.</w:t>
      </w:r>
    </w:p>
    <w:p w14:paraId="3349C825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ponosi całkowitą odpowiedzialność za utrzymanie należytych standardów w zachowaniu swego personelu oraz za ewentualne zniszczenia pomieszczeń, sprzętu, mebli lub innych przedmiotów stanowiących własność Zamawiającego.</w:t>
      </w:r>
    </w:p>
    <w:p w14:paraId="309006EA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świadczenia Usług  wyłącznie przy użyciu produktów spełniających normy wysokiej jakości i estetyki produktów, przez co Zamawiający rozumie:</w:t>
      </w:r>
    </w:p>
    <w:p w14:paraId="2065FFD3" w14:textId="77777777" w:rsidR="00686241" w:rsidRPr="00686241" w:rsidRDefault="00686241" w:rsidP="0007005E">
      <w:pPr>
        <w:spacing w:after="0" w:line="276" w:lineRule="auto"/>
        <w:ind w:left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- produkty świeże, przyrządzone w dniu realizacji Zlecenia wykonawczego;</w:t>
      </w:r>
    </w:p>
    <w:p w14:paraId="0413F9B4" w14:textId="77777777" w:rsidR="00686241" w:rsidRPr="00686241" w:rsidRDefault="00686241" w:rsidP="0007005E">
      <w:pPr>
        <w:spacing w:after="0" w:line="276" w:lineRule="auto"/>
        <w:ind w:left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- wysoką jakość wędlin;</w:t>
      </w:r>
    </w:p>
    <w:p w14:paraId="0D5F1CC6" w14:textId="77777777" w:rsidR="00686241" w:rsidRPr="00686241" w:rsidRDefault="00686241" w:rsidP="0007005E">
      <w:pPr>
        <w:spacing w:after="0" w:line="276" w:lineRule="auto"/>
        <w:ind w:left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- brak produktów typu instant.</w:t>
      </w:r>
    </w:p>
    <w:p w14:paraId="14DF9C1E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pozostawienia Zamawiającemu nieotwartych napojów butelkowanych oraz produktów niezużytych o długim terminie przydatności do spożycia (np. soki, paczki ciastek, mleko).</w:t>
      </w:r>
    </w:p>
    <w:p w14:paraId="6174E99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pozostawienia posiłków, które zostały po wykonaniu Usługi.</w:t>
      </w:r>
    </w:p>
    <w:p w14:paraId="5D330726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dostarczenia posiłków na miejsce świadczenia Usługi najpóźniej na 30 minut przed ustalonym terminem rozpoczęcia realizacji Usługi oraz zebrania naczyń i resztek pokonsumpcyjnych najpóźniej na 1 godzinę po zakończeniu realizacji Usługi, przy czym Zamawiający zastrzega sobie możliwość przesunięcia tego terminu, w zależności od okoliczności.</w:t>
      </w:r>
    </w:p>
    <w:p w14:paraId="09A611DA" w14:textId="77777777" w:rsidR="00686241" w:rsidRPr="00686241" w:rsidRDefault="00686241" w:rsidP="0007005E">
      <w:pPr>
        <w:spacing w:after="0" w:line="276" w:lineRule="auto"/>
        <w:ind w:left="4026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30791E4" w14:textId="77777777" w:rsidR="00686241" w:rsidRPr="00686241" w:rsidRDefault="00686241" w:rsidP="0007005E">
      <w:pPr>
        <w:numPr>
          <w:ilvl w:val="0"/>
          <w:numId w:val="11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  <w:t>Wymagania dotyczące wyposażenia:</w:t>
      </w:r>
    </w:p>
    <w:p w14:paraId="1474AC6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Stoliki koktajlowe – wszystkie powinny mieć taką samą wysokość os 110-120 cm.</w:t>
      </w:r>
    </w:p>
    <w:p w14:paraId="5B0787D8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Pokrowce na stoliki koktajlowe – zakrywające cały stolik wraz z nogami w następującej kolorystyce: biały, szary lub czarny. Pokrowce powinny być wykonane z materiału typu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strecz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.</w:t>
      </w:r>
    </w:p>
    <w:p w14:paraId="4AF356CA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Pokrowce na stoły cateringowe – zakrywające cały stół wraz z nogami w następującej kolorystyce: biały, szary lub czarny. Pokrowce powinny być wykonane z materiału typu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strecz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.</w:t>
      </w:r>
    </w:p>
    <w:p w14:paraId="74555DBE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Kolor i rodzaj zastawy stołowej – biel, porcelana lub szkło bezbarwne.</w:t>
      </w:r>
    </w:p>
    <w:p w14:paraId="09FA447A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Ozdoby stołów cateringowych – naturalne, niewielkie, bez świeczek.</w:t>
      </w:r>
    </w:p>
    <w:p w14:paraId="3A1C4FF6" w14:textId="428BDFFE" w:rsidR="00E94123" w:rsidRPr="0007005E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Sztućce - wykonane ze stali nierdzewnej, w tym samym rodzaju dla każdej osoby.</w:t>
      </w:r>
    </w:p>
    <w:sectPr w:rsidR="00E94123" w:rsidRPr="0007005E" w:rsidSect="001643E4">
      <w:headerReference w:type="default" r:id="rId8"/>
      <w:footerReference w:type="default" r:id="rId9"/>
      <w:footerReference w:type="first" r:id="rId10"/>
      <w:pgSz w:w="11906" w:h="16838" w:code="9"/>
      <w:pgMar w:top="2268" w:right="1558" w:bottom="1985" w:left="1418" w:header="709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E75A258" w14:textId="04FC0CE5" w:rsidR="007478DB" w:rsidRDefault="007478DB" w:rsidP="007478DB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7FD3D90F" wp14:editId="1FD66F0D">
                  <wp:simplePos x="0" y="0"/>
                  <wp:positionH relativeFrom="margin">
                    <wp:posOffset>347980</wp:posOffset>
                  </wp:positionH>
                  <wp:positionV relativeFrom="paragraph">
                    <wp:posOffset>1270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FDDE3B5" w:rsidR="00D40690" w:rsidRPr="007478DB" w:rsidRDefault="007478DB" w:rsidP="007478DB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5BC29CCD" wp14:editId="5EF290D2">
              <wp:simplePos x="0" y="0"/>
              <wp:positionH relativeFrom="margin">
                <wp:posOffset>2338070</wp:posOffset>
              </wp:positionH>
              <wp:positionV relativeFrom="margin">
                <wp:posOffset>7803515</wp:posOffset>
              </wp:positionV>
              <wp:extent cx="3381375" cy="576580"/>
              <wp:effectExtent l="0" t="0" r="9525" b="1397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576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0EC71" w14:textId="77777777" w:rsidR="007478DB" w:rsidRPr="00ED7972" w:rsidRDefault="007478DB" w:rsidP="007478DB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29C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4.1pt;margin-top:614.45pt;width:266.25pt;height:45.4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+c/QEAANwDAAAOAAAAZHJzL2Uyb0RvYy54bWysU8tu2zAQvBfoPxC81/IDTlzBcpAmTVEg&#10;fQBpPoCiKIsoyWWXtCX367uk/AjaW1AdiBWXO9yZHa5vBmvYXmHQ4Co+m0w5U05Co9224s8/Ht6t&#10;OAtRuEYYcKriBxX4zebtm3XvSzWHDkyjkBGIC2XvK97F6MuiCLJTVoQJeOUo2QJaEekXt0WDoid0&#10;a4r5dHpV9ICNR5AqBNq9H5N8k/HbVsn4rW2DisxUnHqLecW81mktNmtRblH4TstjG+IVXVihHV16&#10;hroXUbAd6n+grJYIAdo4kWALaFstVeZAbGbTv9g8dcKrzIXECf4sU/h/sPLr/sl/RxaHDzDQADOJ&#10;4B9B/gzMwV0n3FbdBk9CpuxlCxH6TomGepklFYveh/KIltQPZUi4df8FGpq72EXI2EOLNglF1Bld&#10;SDM5nOeghsgkbS4Wq9niesmZpNzy+mq5yoMqRHmq9hjiJwWWpaDiSO1ldLF/DDF1I8rTkXSZgwdt&#10;TJ61cayv+PvlfJkLXmSsjmRFo23FV9P0jeZIJD+6JhdHoc0Y0wXGHVknoiPlONQDHUzsa2gOxB9h&#10;tBw9EQo6wN+c9WS3iodfO4GKM/PZkYbJm6cAT0F9CoSTVFrxmrMxvIujh3ce9bbLoxl53pLOrc4S&#10;XLo49kkWysoc7Z48+vI/n7o8ys0fAAAA//8DAFBLAwQUAAYACAAAACEAQdcZqeEAAAANAQAADwAA&#10;AGRycy9kb3ducmV2LnhtbEyPy07DMBBF90j8gzVI7KhTR2oexKkiJBaoQEXgA9x4mkSN7Sh20vD3&#10;DCtYztyjO2eK/WoGtuDke2clbDcRMLSN071tJXx9Pj+kwHxQVqvBWZTwjR725e1NoXLtrvYDlzq0&#10;jEqsz5WELoQx59w3HRrlN25ES9nZTUYFGqeW60ldqdwMXETRjhvVW7rQqRGfOmwu9WwkLG9GVC/N&#10;e8brVxEnSXw4VvNByvu7tXoEFnANfzD86pM6lOR0crPVng0S4l0qCKVAiDQDRkgWRQmwE63ibZYA&#10;Lwv+/4vyBwAA//8DAFBLAQItABQABgAIAAAAIQC2gziS/gAAAOEBAAATAAAAAAAAAAAAAAAAAAAA&#10;AABbQ29udGVudF9UeXBlc10ueG1sUEsBAi0AFAAGAAgAAAAhADj9If/WAAAAlAEAAAsAAAAAAAAA&#10;AAAAAAAALwEAAF9yZWxzLy5yZWxzUEsBAi0AFAAGAAgAAAAhAJxED5z9AQAA3AMAAA4AAAAAAAAA&#10;AAAAAAAALgIAAGRycy9lMm9Eb2MueG1sUEsBAi0AFAAGAAgAAAAhAEHXGanhAAAADQEAAA8AAAAA&#10;AAAAAAAAAAAAVwQAAGRycy9kb3ducmV2LnhtbFBLBQYAAAAABAAEAPMAAABlBQAAAAA=&#10;" filled="f" stroked="f">
              <o:lock v:ext="edit" aspectratio="t"/>
              <v:textbox inset="0,0,0,0">
                <w:txbxContent>
                  <w:p w14:paraId="1750EC71" w14:textId="77777777" w:rsidR="007478DB" w:rsidRPr="00ED7972" w:rsidRDefault="007478DB" w:rsidP="007478DB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0E4C57D7" wp14:editId="21D29C5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27C36E4C" wp14:editId="0F6B2D2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B7B27" w14:textId="77777777" w:rsidR="007478DB" w:rsidRDefault="007478DB" w:rsidP="007478D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004151" w14:textId="77777777" w:rsidR="007478DB" w:rsidRDefault="007478DB" w:rsidP="007478DB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4D6721B" w14:textId="77777777" w:rsidR="007478DB" w:rsidRPr="00BF4CEE" w:rsidRDefault="007478DB" w:rsidP="007478DB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51E439B2" w14:textId="77777777" w:rsidR="007478DB" w:rsidRDefault="007478DB" w:rsidP="007478D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B8638A8" w14:textId="77777777" w:rsidR="007478DB" w:rsidRPr="00ED7972" w:rsidRDefault="007478DB" w:rsidP="007478DB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36E4C"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68B7B27" w14:textId="77777777" w:rsidR="007478DB" w:rsidRDefault="007478DB" w:rsidP="007478D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004151" w14:textId="77777777" w:rsidR="007478DB" w:rsidRDefault="007478DB" w:rsidP="007478DB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4D6721B" w14:textId="77777777" w:rsidR="007478DB" w:rsidRPr="00BF4CEE" w:rsidRDefault="007478DB" w:rsidP="007478DB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51E439B2" w14:textId="77777777" w:rsidR="007478DB" w:rsidRDefault="007478DB" w:rsidP="007478D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B8638A8" w14:textId="77777777" w:rsidR="007478DB" w:rsidRPr="00ED7972" w:rsidRDefault="007478DB" w:rsidP="007478DB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BCE3" w14:textId="1FACE1AE" w:rsidR="002C5CFA" w:rsidRDefault="007478D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465AA58E" wp14:editId="123A196D">
          <wp:simplePos x="0" y="0"/>
          <wp:positionH relativeFrom="column">
            <wp:posOffset>-591820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5A82"/>
    <w:multiLevelType w:val="hybridMultilevel"/>
    <w:tmpl w:val="EBC4401E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22C357BF"/>
    <w:multiLevelType w:val="hybridMultilevel"/>
    <w:tmpl w:val="B70AB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1507C"/>
    <w:multiLevelType w:val="hybridMultilevel"/>
    <w:tmpl w:val="B1A0D34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52E5543B"/>
    <w:multiLevelType w:val="hybridMultilevel"/>
    <w:tmpl w:val="58E248AC"/>
    <w:lvl w:ilvl="0" w:tplc="48C8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935">
    <w:abstractNumId w:val="9"/>
  </w:num>
  <w:num w:numId="2" w16cid:durableId="1048993247">
    <w:abstractNumId w:val="8"/>
  </w:num>
  <w:num w:numId="3" w16cid:durableId="1566644261">
    <w:abstractNumId w:val="3"/>
  </w:num>
  <w:num w:numId="4" w16cid:durableId="621302262">
    <w:abstractNumId w:val="2"/>
  </w:num>
  <w:num w:numId="5" w16cid:durableId="1217087357">
    <w:abstractNumId w:val="1"/>
  </w:num>
  <w:num w:numId="6" w16cid:durableId="620460835">
    <w:abstractNumId w:val="0"/>
  </w:num>
  <w:num w:numId="7" w16cid:durableId="1719478232">
    <w:abstractNumId w:val="7"/>
  </w:num>
  <w:num w:numId="8" w16cid:durableId="1909922808">
    <w:abstractNumId w:val="6"/>
  </w:num>
  <w:num w:numId="9" w16cid:durableId="1251700533">
    <w:abstractNumId w:val="5"/>
  </w:num>
  <w:num w:numId="10" w16cid:durableId="1927767705">
    <w:abstractNumId w:val="4"/>
  </w:num>
  <w:num w:numId="11" w16cid:durableId="1677881689">
    <w:abstractNumId w:val="13"/>
  </w:num>
  <w:num w:numId="12" w16cid:durableId="1221791632">
    <w:abstractNumId w:val="12"/>
  </w:num>
  <w:num w:numId="13" w16cid:durableId="67659669">
    <w:abstractNumId w:val="10"/>
  </w:num>
  <w:num w:numId="14" w16cid:durableId="690230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6D5E"/>
    <w:rsid w:val="00027CDD"/>
    <w:rsid w:val="0007005E"/>
    <w:rsid w:val="00070438"/>
    <w:rsid w:val="000759AF"/>
    <w:rsid w:val="00077647"/>
    <w:rsid w:val="000D2723"/>
    <w:rsid w:val="000D2F0F"/>
    <w:rsid w:val="000F7367"/>
    <w:rsid w:val="00134929"/>
    <w:rsid w:val="001643E4"/>
    <w:rsid w:val="001A0BD2"/>
    <w:rsid w:val="001C01A2"/>
    <w:rsid w:val="002263F6"/>
    <w:rsid w:val="00231524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017CD"/>
    <w:rsid w:val="0044697B"/>
    <w:rsid w:val="004F5805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86241"/>
    <w:rsid w:val="006919BD"/>
    <w:rsid w:val="006D6DE5"/>
    <w:rsid w:val="006D7EAD"/>
    <w:rsid w:val="006E5990"/>
    <w:rsid w:val="006F5883"/>
    <w:rsid w:val="006F645A"/>
    <w:rsid w:val="00715854"/>
    <w:rsid w:val="0074035F"/>
    <w:rsid w:val="00745705"/>
    <w:rsid w:val="007478DB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826C7"/>
    <w:rsid w:val="0099379C"/>
    <w:rsid w:val="009B4ACC"/>
    <w:rsid w:val="009D4C4D"/>
    <w:rsid w:val="00A36F46"/>
    <w:rsid w:val="00A4666C"/>
    <w:rsid w:val="00A52C29"/>
    <w:rsid w:val="00A67EDF"/>
    <w:rsid w:val="00AC7F7D"/>
    <w:rsid w:val="00B23BEC"/>
    <w:rsid w:val="00B25D1D"/>
    <w:rsid w:val="00B61F8A"/>
    <w:rsid w:val="00B7721F"/>
    <w:rsid w:val="00B80A3A"/>
    <w:rsid w:val="00C33050"/>
    <w:rsid w:val="00C736D5"/>
    <w:rsid w:val="00D005B3"/>
    <w:rsid w:val="00D06D36"/>
    <w:rsid w:val="00D40690"/>
    <w:rsid w:val="00D97CEB"/>
    <w:rsid w:val="00DA52A1"/>
    <w:rsid w:val="00DE7ED9"/>
    <w:rsid w:val="00E3183A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33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12</cp:revision>
  <cp:lastPrinted>2022-04-25T09:11:00Z</cp:lastPrinted>
  <dcterms:created xsi:type="dcterms:W3CDTF">2022-04-25T09:18:00Z</dcterms:created>
  <dcterms:modified xsi:type="dcterms:W3CDTF">2024-04-10T11:19:00Z</dcterms:modified>
</cp:coreProperties>
</file>