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3507" w14:textId="77777777" w:rsidR="008449E5" w:rsidRDefault="0007388B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Sposób obliczania najkorzystniejszej oferty w postępowaniu pn.</w:t>
      </w:r>
    </w:p>
    <w:p w14:paraId="6C5A32EB" w14:textId="77777777" w:rsidR="008449E5" w:rsidRDefault="008449E5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pl-PL"/>
        </w:rPr>
      </w:pPr>
    </w:p>
    <w:p w14:paraId="5B60585B" w14:textId="62538397" w:rsidR="008449E5" w:rsidRPr="004C1D5D" w:rsidRDefault="004C1D5D" w:rsidP="004C1D5D">
      <w:pPr>
        <w:spacing w:after="0" w:line="276" w:lineRule="auto"/>
        <w:rPr>
          <w:rFonts w:ascii="Trebuchet MS" w:eastAsia="Times New Roman" w:hAnsi="Trebuchet MS"/>
          <w:b/>
          <w:sz w:val="24"/>
          <w:szCs w:val="24"/>
          <w:lang w:eastAsia="pl-PL"/>
        </w:rPr>
      </w:pPr>
      <w:r w:rsidRPr="004C1D5D">
        <w:rPr>
          <w:rFonts w:ascii="Trebuchet MS" w:hAnsi="Trebuchet MS"/>
          <w:sz w:val="24"/>
          <w:szCs w:val="24"/>
        </w:rPr>
        <w:t xml:space="preserve">            </w:t>
      </w:r>
      <w:r w:rsidR="00BC0E01" w:rsidRPr="004C1D5D">
        <w:rPr>
          <w:rFonts w:ascii="Trebuchet MS" w:hAnsi="Trebuchet MS"/>
          <w:sz w:val="24"/>
          <w:szCs w:val="24"/>
        </w:rPr>
        <w:t xml:space="preserve"> </w:t>
      </w:r>
      <w:r w:rsidRPr="004C1D5D">
        <w:rPr>
          <w:rFonts w:ascii="Trebuchet MS" w:hAnsi="Trebuchet MS"/>
          <w:b/>
          <w:bCs/>
          <w:sz w:val="24"/>
          <w:szCs w:val="24"/>
        </w:rPr>
        <w:t>Naukowy plac zabaw „Młodzi odkrywcy”</w:t>
      </w:r>
    </w:p>
    <w:p w14:paraId="1A2A85FC" w14:textId="77777777" w:rsidR="008449E5" w:rsidRPr="004C1D5D" w:rsidRDefault="008449E5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pl-PL"/>
        </w:rPr>
      </w:pPr>
    </w:p>
    <w:p w14:paraId="6C62CFBD" w14:textId="77777777" w:rsidR="008449E5" w:rsidRDefault="0007388B">
      <w:pPr>
        <w:spacing w:after="0"/>
        <w:jc w:val="both"/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Przy wyborze oferty Zamawiający będzie się kierował następującymi kryteriami oceny ofert:  </w:t>
      </w:r>
    </w:p>
    <w:p w14:paraId="25C87288" w14:textId="77777777" w:rsidR="008449E5" w:rsidRDefault="0007388B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 </w:t>
      </w:r>
    </w:p>
    <w:p w14:paraId="15DEA267" w14:textId="733E00F9" w:rsidR="008449E5" w:rsidRDefault="0007388B">
      <w:pPr>
        <w:spacing w:after="0"/>
        <w:jc w:val="both"/>
        <w:rPr>
          <w:rFonts w:ascii="Trebuchet MS" w:eastAsia="Times New Roman" w:hAnsi="Trebuchet MS"/>
          <w:b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1) Kryterium „Cena” </w:t>
      </w:r>
      <w:r w:rsidR="00C703B9">
        <w:rPr>
          <w:rFonts w:ascii="Trebuchet MS" w:eastAsia="Times New Roman" w:hAnsi="Trebuchet MS"/>
          <w:b/>
          <w:sz w:val="24"/>
          <w:szCs w:val="24"/>
          <w:lang w:eastAsia="pl-PL"/>
        </w:rPr>
        <w:t>(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>C</w:t>
      </w:r>
      <w:r w:rsidR="00C703B9">
        <w:rPr>
          <w:rFonts w:ascii="Trebuchet MS" w:eastAsia="Times New Roman" w:hAnsi="Trebuchet MS"/>
          <w:b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 – waga kryterium 60%</w:t>
      </w:r>
    </w:p>
    <w:p w14:paraId="1908F87A" w14:textId="77777777" w:rsidR="008449E5" w:rsidRDefault="008449E5">
      <w:pPr>
        <w:spacing w:after="0"/>
        <w:jc w:val="both"/>
        <w:rPr>
          <w:rFonts w:ascii="Trebuchet MS" w:eastAsia="Times New Roman" w:hAnsi="Trebuchet MS"/>
          <w:b/>
          <w:sz w:val="24"/>
          <w:szCs w:val="24"/>
          <w:lang w:eastAsia="pl-PL"/>
        </w:rPr>
      </w:pPr>
    </w:p>
    <w:p w14:paraId="0831167F" w14:textId="77777777" w:rsidR="008449E5" w:rsidRDefault="0007388B">
      <w:pPr>
        <w:spacing w:after="0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bCs/>
          <w:sz w:val="24"/>
          <w:szCs w:val="24"/>
          <w:lang w:eastAsia="pl-PL"/>
        </w:rPr>
        <w:t>Kryterium to rozpatrywane będzie na podstawie ceny brutto za wykonanie przedmiotu zamówienia podanej przez Wykonawcę w Formularzu ofertowym.</w:t>
      </w:r>
    </w:p>
    <w:p w14:paraId="5E38C620" w14:textId="77777777" w:rsidR="008449E5" w:rsidRDefault="008449E5">
      <w:pPr>
        <w:spacing w:before="120" w:after="0"/>
        <w:rPr>
          <w:rFonts w:ascii="Trebuchet MS" w:eastAsia="Times New Roman" w:hAnsi="Trebuchet MS"/>
          <w:bCs/>
          <w:sz w:val="24"/>
          <w:szCs w:val="24"/>
          <w:lang w:eastAsia="pl-PL"/>
        </w:rPr>
      </w:pPr>
    </w:p>
    <w:p w14:paraId="4315981C" w14:textId="77777777" w:rsidR="008449E5" w:rsidRDefault="0007388B">
      <w:pPr>
        <w:spacing w:before="120" w:after="0"/>
      </w:pP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Liczba punktów </w:t>
      </w:r>
      <w:r>
        <w:rPr>
          <w:rFonts w:ascii="Trebuchet MS" w:eastAsia="Times New Roman" w:hAnsi="Trebuchet MS"/>
          <w:sz w:val="24"/>
          <w:szCs w:val="24"/>
          <w:lang w:eastAsia="pl-PL"/>
        </w:rPr>
        <w:t>w ramach kryterium „Cena” zostanie obliczona według wzoru:</w:t>
      </w:r>
    </w:p>
    <w:p w14:paraId="2E7945E3" w14:textId="77777777" w:rsidR="008449E5" w:rsidRDefault="0007388B">
      <w:pPr>
        <w:spacing w:before="120" w:after="0"/>
        <w:jc w:val="center"/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C = (C </w:t>
      </w:r>
      <w:r>
        <w:rPr>
          <w:rFonts w:ascii="Trebuchet MS" w:eastAsia="Times New Roman" w:hAnsi="Trebuchet MS"/>
          <w:b/>
          <w:sz w:val="24"/>
          <w:szCs w:val="24"/>
          <w:vertAlign w:val="subscript"/>
          <w:lang w:eastAsia="pl-PL"/>
        </w:rPr>
        <w:t>min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>/ C</w:t>
      </w:r>
      <w:r>
        <w:rPr>
          <w:rFonts w:ascii="Trebuchet MS" w:eastAsia="Times New Roman" w:hAnsi="Trebuchet MS"/>
          <w:b/>
          <w:sz w:val="24"/>
          <w:szCs w:val="24"/>
          <w:vertAlign w:val="subscript"/>
          <w:lang w:eastAsia="pl-PL"/>
        </w:rPr>
        <w:t>o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>) x 60</w:t>
      </w:r>
    </w:p>
    <w:p w14:paraId="7D7AD586" w14:textId="77777777" w:rsidR="008449E5" w:rsidRDefault="0007388B">
      <w:pPr>
        <w:spacing w:before="120" w:after="0"/>
        <w:rPr>
          <w:rFonts w:ascii="Trebuchet MS" w:eastAsia="Times New Roman" w:hAnsi="Trebuchet MS"/>
          <w:b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gdzie:</w:t>
      </w:r>
    </w:p>
    <w:p w14:paraId="6C5E817E" w14:textId="77777777" w:rsidR="008449E5" w:rsidRDefault="0007388B">
      <w:pPr>
        <w:spacing w:before="120" w:after="0"/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C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ab/>
      </w:r>
      <w:r>
        <w:rPr>
          <w:rFonts w:ascii="Trebuchet MS" w:eastAsia="Times New Roman" w:hAnsi="Trebuchet MS"/>
          <w:sz w:val="24"/>
          <w:szCs w:val="24"/>
          <w:lang w:eastAsia="pl-PL"/>
        </w:rPr>
        <w:t>– liczba przyznanych punktów ofercie badanej w kryterium „Cena”</w:t>
      </w:r>
    </w:p>
    <w:p w14:paraId="009ABCE2" w14:textId="77777777" w:rsidR="008449E5" w:rsidRDefault="0007388B">
      <w:pPr>
        <w:spacing w:before="120" w:after="0"/>
      </w:pPr>
      <w:proofErr w:type="spellStart"/>
      <w:r>
        <w:rPr>
          <w:rFonts w:ascii="Trebuchet MS" w:eastAsia="Times New Roman" w:hAnsi="Trebuchet MS"/>
          <w:b/>
          <w:sz w:val="24"/>
          <w:szCs w:val="24"/>
          <w:lang w:eastAsia="pl-PL"/>
        </w:rPr>
        <w:t>C</w:t>
      </w:r>
      <w:r>
        <w:rPr>
          <w:rFonts w:ascii="Trebuchet MS" w:eastAsia="Times New Roman" w:hAnsi="Trebuchet MS"/>
          <w:b/>
          <w:sz w:val="24"/>
          <w:szCs w:val="24"/>
          <w:vertAlign w:val="subscript"/>
          <w:lang w:eastAsia="pl-PL"/>
        </w:rPr>
        <w:t>min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pl-PL"/>
        </w:rPr>
        <w:tab/>
        <w:t>– cena brutto oferty najtańszej [zł]</w:t>
      </w:r>
    </w:p>
    <w:p w14:paraId="4B4CD230" w14:textId="77777777" w:rsidR="008449E5" w:rsidRDefault="0007388B">
      <w:pPr>
        <w:spacing w:before="120" w:after="0"/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C</w:t>
      </w:r>
      <w:r>
        <w:rPr>
          <w:rFonts w:ascii="Trebuchet MS" w:eastAsia="Times New Roman" w:hAnsi="Trebuchet MS"/>
          <w:b/>
          <w:sz w:val="24"/>
          <w:szCs w:val="24"/>
          <w:vertAlign w:val="subscript"/>
          <w:lang w:eastAsia="pl-PL"/>
        </w:rPr>
        <w:t>o</w:t>
      </w:r>
      <w:r>
        <w:rPr>
          <w:rFonts w:ascii="Trebuchet MS" w:eastAsia="Times New Roman" w:hAnsi="Trebuchet MS"/>
          <w:sz w:val="24"/>
          <w:szCs w:val="24"/>
          <w:vertAlign w:val="subscript"/>
          <w:lang w:eastAsia="pl-PL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     </w:t>
      </w:r>
      <w:r>
        <w:rPr>
          <w:rFonts w:ascii="Trebuchet MS" w:eastAsia="Times New Roman" w:hAnsi="Trebuchet MS"/>
          <w:sz w:val="24"/>
          <w:szCs w:val="24"/>
          <w:lang w:eastAsia="pl-PL"/>
        </w:rPr>
        <w:tab/>
        <w:t>– cena brutto oferty badanej [zł]</w:t>
      </w:r>
    </w:p>
    <w:p w14:paraId="5D285C18" w14:textId="77777777" w:rsidR="008449E5" w:rsidRDefault="008449E5">
      <w:pPr>
        <w:spacing w:before="120" w:after="0"/>
        <w:rPr>
          <w:sz w:val="24"/>
          <w:szCs w:val="24"/>
        </w:rPr>
      </w:pPr>
    </w:p>
    <w:p w14:paraId="7061F628" w14:textId="77777777" w:rsidR="008449E5" w:rsidRDefault="0007388B">
      <w:pPr>
        <w:spacing w:before="120" w:after="0"/>
        <w:jc w:val="both"/>
      </w:pPr>
      <w:r>
        <w:rPr>
          <w:rFonts w:ascii="Trebuchet MS" w:eastAsia="Times New Roman" w:hAnsi="Trebuchet MS"/>
          <w:sz w:val="24"/>
          <w:szCs w:val="24"/>
          <w:lang w:eastAsia="pl-PL"/>
        </w:rPr>
        <w:t>Maksymalna liczba punktów, które wykonawca może uzyskać w kryterium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„Cena” (C)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 wynosi 60 punktów. Wszystkie obliczenia punktów będą dokonywane z dokładnością do dwóch miejsc po przecinku, bez zaokrągleń. </w:t>
      </w:r>
    </w:p>
    <w:p w14:paraId="792D5CE1" w14:textId="77777777" w:rsidR="008449E5" w:rsidRDefault="0007388B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 </w:t>
      </w:r>
    </w:p>
    <w:p w14:paraId="5C5129C9" w14:textId="77777777" w:rsidR="008449E5" w:rsidRDefault="0007388B">
      <w:pPr>
        <w:spacing w:after="0"/>
        <w:jc w:val="both"/>
        <w:rPr>
          <w:rFonts w:ascii="Trebuchet MS" w:eastAsia="Times New Roman" w:hAnsi="Trebuchet MS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pl-PL"/>
        </w:rPr>
        <w:t>2) Kryterium „Długość okresu gwarancji i rękojmi” (G) – waga kryterium 40%</w:t>
      </w:r>
    </w:p>
    <w:p w14:paraId="30BCDC36" w14:textId="77777777" w:rsidR="008449E5" w:rsidRDefault="008449E5">
      <w:pPr>
        <w:spacing w:after="0"/>
        <w:jc w:val="both"/>
        <w:rPr>
          <w:sz w:val="24"/>
          <w:szCs w:val="24"/>
        </w:rPr>
      </w:pPr>
    </w:p>
    <w:p w14:paraId="5858D570" w14:textId="77777777" w:rsidR="008449E5" w:rsidRDefault="0007388B">
      <w:pPr>
        <w:spacing w:after="0"/>
        <w:jc w:val="both"/>
      </w:pPr>
      <w:r>
        <w:rPr>
          <w:rFonts w:ascii="Trebuchet MS" w:eastAsia="Times New Roman" w:hAnsi="Trebuchet MS"/>
          <w:sz w:val="24"/>
          <w:szCs w:val="24"/>
          <w:lang w:eastAsia="pl-PL"/>
        </w:rPr>
        <w:t>Kryterium to rozpatrywane będzie na podstawie zadeklarowanej w Formularzu ofertowym przez wykonawcę długości okresu gwarancji i rękojmi podanej w pełnych miesiącach. Najkrótszy możliwy okres gwarancji i rękojmi udzielonej przez Wykonawcę to 48 miesięcy.</w:t>
      </w:r>
    </w:p>
    <w:p w14:paraId="63011103" w14:textId="77777777" w:rsidR="008449E5" w:rsidRDefault="0007388B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Zadeklarowanie okresu gwarancji i rękojmi krótszego niż 48 miesięcy będzie skutkowało odrzuceniem oferty złożonej przez wykonawcę. Najdłuższy możliwy okres gwarancji i rękojmi udzielonej przez wykonawcę to 60 miesięcy. W przypadku, gdy wykonawca zadeklaruje okres gwarancji i rękojmi dłuższy niż 60 miesięcy, </w:t>
      </w:r>
      <w:r>
        <w:rPr>
          <w:rFonts w:ascii="Trebuchet MS" w:eastAsia="Times New Roman" w:hAnsi="Trebuchet MS"/>
          <w:sz w:val="24"/>
          <w:szCs w:val="24"/>
          <w:lang w:eastAsia="pl-PL"/>
        </w:rPr>
        <w:br/>
        <w:t xml:space="preserve">do oceny oferty zostanie przyjęty okres 60 miesięcy. </w:t>
      </w:r>
    </w:p>
    <w:p w14:paraId="3AF68C70" w14:textId="77777777" w:rsidR="008449E5" w:rsidRDefault="008449E5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F767131" w14:textId="77777777" w:rsidR="008449E5" w:rsidRDefault="0007388B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Liczba punktów w ramach kryterium „Długość okresu gwarancji i rękojmi” (G) zostanie obliczona według wzoru: </w:t>
      </w:r>
    </w:p>
    <w:p w14:paraId="1DE129BD" w14:textId="77777777" w:rsidR="008449E5" w:rsidRDefault="008449E5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620AEF55" w14:textId="77777777" w:rsidR="008449E5" w:rsidRDefault="0007388B">
      <w:r>
        <w:rPr>
          <w:rFonts w:ascii="Trebuchet MS" w:eastAsia="Times New Roman" w:hAnsi="Trebuchet MS" w:cs="Trebuchet MS"/>
          <w:b/>
          <w:bCs/>
          <w:sz w:val="24"/>
          <w:szCs w:val="24"/>
          <w:lang w:eastAsia="zh-CN"/>
        </w:rPr>
        <w:t xml:space="preserve">                                          G = (G</w:t>
      </w:r>
      <w:r>
        <w:rPr>
          <w:rFonts w:ascii="Trebuchet MS" w:eastAsia="Times New Roman" w:hAnsi="Trebuchet MS" w:cs="Trebuchet MS"/>
          <w:b/>
          <w:bCs/>
          <w:sz w:val="24"/>
          <w:szCs w:val="24"/>
          <w:vertAlign w:val="subscript"/>
          <w:lang w:eastAsia="zh-CN"/>
        </w:rPr>
        <w:t>o</w:t>
      </w:r>
      <w:r>
        <w:rPr>
          <w:rFonts w:ascii="Trebuchet MS" w:eastAsia="Times New Roman" w:hAnsi="Trebuchet MS" w:cs="Trebuchet MS"/>
          <w:b/>
          <w:bCs/>
          <w:sz w:val="24"/>
          <w:szCs w:val="24"/>
          <w:vertAlign w:val="superscript"/>
          <w:lang w:eastAsia="zh-CN"/>
        </w:rPr>
        <w:t xml:space="preserve">* </w:t>
      </w:r>
      <w:r>
        <w:rPr>
          <w:rFonts w:ascii="Trebuchet MS" w:eastAsia="Times New Roman" w:hAnsi="Trebuchet MS" w:cs="Trebuchet MS"/>
          <w:b/>
          <w:bCs/>
          <w:sz w:val="24"/>
          <w:szCs w:val="24"/>
          <w:lang w:eastAsia="zh-CN"/>
        </w:rPr>
        <w:t>/</w:t>
      </w:r>
      <w:r>
        <w:rPr>
          <w:rFonts w:ascii="Trebuchet MS" w:eastAsia="Times New Roman" w:hAnsi="Trebuchet MS" w:cs="Trebuchet MS"/>
          <w:b/>
          <w:bCs/>
          <w:sz w:val="24"/>
          <w:szCs w:val="24"/>
          <w:vertAlign w:val="subscript"/>
          <w:lang w:eastAsia="zh-CN"/>
        </w:rPr>
        <w:t xml:space="preserve"> </w:t>
      </w:r>
      <w:proofErr w:type="spellStart"/>
      <w:r>
        <w:rPr>
          <w:rFonts w:ascii="Trebuchet MS" w:eastAsia="Times New Roman" w:hAnsi="Trebuchet MS" w:cs="Trebuchet MS"/>
          <w:b/>
          <w:bCs/>
          <w:sz w:val="24"/>
          <w:szCs w:val="24"/>
          <w:lang w:eastAsia="zh-CN"/>
        </w:rPr>
        <w:t>G</w:t>
      </w:r>
      <w:r>
        <w:rPr>
          <w:rFonts w:ascii="Trebuchet MS" w:eastAsia="Times New Roman" w:hAnsi="Trebuchet MS" w:cs="Trebuchet MS"/>
          <w:b/>
          <w:bCs/>
          <w:sz w:val="24"/>
          <w:szCs w:val="24"/>
          <w:vertAlign w:val="subscript"/>
          <w:lang w:eastAsia="zh-CN"/>
        </w:rPr>
        <w:t>n</w:t>
      </w:r>
      <w:proofErr w:type="spellEnd"/>
      <w:r>
        <w:rPr>
          <w:rFonts w:ascii="Trebuchet MS" w:eastAsia="Times New Roman" w:hAnsi="Trebuchet MS" w:cs="Trebuchet MS"/>
          <w:b/>
          <w:bCs/>
          <w:sz w:val="24"/>
          <w:szCs w:val="24"/>
          <w:vertAlign w:val="subscript"/>
          <w:lang w:eastAsia="zh-CN"/>
        </w:rPr>
        <w:t xml:space="preserve"> </w:t>
      </w:r>
      <w:r>
        <w:rPr>
          <w:rFonts w:ascii="Trebuchet MS" w:eastAsia="Times New Roman" w:hAnsi="Trebuchet MS" w:cs="Trebuchet MS"/>
          <w:b/>
          <w:bCs/>
          <w:sz w:val="24"/>
          <w:szCs w:val="24"/>
          <w:lang w:eastAsia="zh-CN"/>
        </w:rPr>
        <w:t>)</w:t>
      </w:r>
      <w:r>
        <w:rPr>
          <w:rFonts w:ascii="Trebuchet MS" w:eastAsia="Times New Roman" w:hAnsi="Trebuchet MS" w:cs="Trebuchet MS"/>
          <w:b/>
          <w:bCs/>
          <w:sz w:val="24"/>
          <w:szCs w:val="24"/>
          <w:vertAlign w:val="subscript"/>
          <w:lang w:eastAsia="zh-CN"/>
        </w:rPr>
        <w:t xml:space="preserve"> </w:t>
      </w:r>
      <w:r>
        <w:rPr>
          <w:rFonts w:ascii="Trebuchet MS" w:eastAsia="Times New Roman" w:hAnsi="Trebuchet MS" w:cs="Trebuchet MS"/>
          <w:b/>
          <w:bCs/>
          <w:sz w:val="24"/>
          <w:szCs w:val="24"/>
          <w:lang w:eastAsia="zh-CN"/>
        </w:rPr>
        <w:t xml:space="preserve">x 40 </w:t>
      </w:r>
    </w:p>
    <w:p w14:paraId="588C6825" w14:textId="77777777" w:rsidR="008449E5" w:rsidRDefault="0007388B">
      <w:pPr>
        <w:spacing w:after="0"/>
        <w:rPr>
          <w:rFonts w:ascii="Trebuchet MS" w:eastAsia="Times New Roman" w:hAnsi="Trebuchet MS" w:cs="Trebuchet MS"/>
          <w:sz w:val="24"/>
          <w:szCs w:val="24"/>
          <w:lang w:eastAsia="zh-CN"/>
        </w:rPr>
      </w:pPr>
      <w:r>
        <w:rPr>
          <w:rFonts w:ascii="Trebuchet MS" w:eastAsia="Times New Roman" w:hAnsi="Trebuchet MS" w:cs="Trebuchet MS"/>
          <w:sz w:val="24"/>
          <w:szCs w:val="24"/>
          <w:lang w:eastAsia="zh-CN"/>
        </w:rPr>
        <w:t>gdzie:</w:t>
      </w:r>
    </w:p>
    <w:p w14:paraId="1D842C3C" w14:textId="77777777" w:rsidR="008449E5" w:rsidRDefault="0007388B">
      <w:pPr>
        <w:tabs>
          <w:tab w:val="left" w:pos="0"/>
          <w:tab w:val="left" w:pos="851"/>
        </w:tabs>
        <w:spacing w:after="0"/>
        <w:jc w:val="both"/>
        <w:rPr>
          <w:rFonts w:ascii="Trebuchet MS" w:eastAsia="Times New Roman" w:hAnsi="Trebuchet MS" w:cs="Trebuchet MS"/>
          <w:sz w:val="24"/>
          <w:szCs w:val="24"/>
          <w:lang w:eastAsia="zh-CN"/>
        </w:rPr>
      </w:pPr>
      <w:r>
        <w:rPr>
          <w:rFonts w:ascii="Trebuchet MS" w:eastAsia="Times New Roman" w:hAnsi="Trebuchet MS" w:cs="Trebuchet MS"/>
          <w:sz w:val="24"/>
          <w:szCs w:val="24"/>
          <w:lang w:eastAsia="zh-CN"/>
        </w:rPr>
        <w:t xml:space="preserve">G </w:t>
      </w:r>
      <w:r>
        <w:rPr>
          <w:rFonts w:ascii="Trebuchet MS" w:eastAsia="Times New Roman" w:hAnsi="Trebuchet MS" w:cs="Trebuchet MS"/>
          <w:sz w:val="24"/>
          <w:szCs w:val="24"/>
          <w:lang w:eastAsia="zh-CN"/>
        </w:rPr>
        <w:tab/>
        <w:t xml:space="preserve">- liczba punktów przyznanych badanej ofercie w kryterium „Długość okresu </w:t>
      </w:r>
      <w:r>
        <w:rPr>
          <w:rFonts w:ascii="Trebuchet MS" w:eastAsia="Times New Roman" w:hAnsi="Trebuchet MS" w:cs="Trebuchet MS"/>
          <w:sz w:val="24"/>
          <w:szCs w:val="24"/>
          <w:lang w:eastAsia="zh-CN"/>
        </w:rPr>
        <w:tab/>
        <w:t xml:space="preserve">gwarancji i rękojmi” </w:t>
      </w:r>
    </w:p>
    <w:p w14:paraId="72A1B6A3" w14:textId="77777777" w:rsidR="008449E5" w:rsidRDefault="0007388B">
      <w:pPr>
        <w:tabs>
          <w:tab w:val="left" w:pos="0"/>
          <w:tab w:val="left" w:pos="851"/>
        </w:tabs>
        <w:spacing w:after="0"/>
      </w:pPr>
      <w:r>
        <w:rPr>
          <w:rFonts w:ascii="Trebuchet MS" w:eastAsia="Times New Roman" w:hAnsi="Trebuchet MS" w:cs="Trebuchet MS"/>
          <w:sz w:val="24"/>
          <w:szCs w:val="24"/>
          <w:lang w:eastAsia="zh-CN"/>
        </w:rPr>
        <w:t>G</w:t>
      </w:r>
      <w:r>
        <w:rPr>
          <w:rFonts w:ascii="Trebuchet MS" w:eastAsia="Times New Roman" w:hAnsi="Trebuchet MS" w:cs="Trebuchet MS"/>
          <w:sz w:val="24"/>
          <w:szCs w:val="24"/>
          <w:vertAlign w:val="subscript"/>
          <w:lang w:eastAsia="zh-CN"/>
        </w:rPr>
        <w:t xml:space="preserve">o </w:t>
      </w:r>
      <w:r>
        <w:rPr>
          <w:rFonts w:ascii="Trebuchet MS" w:eastAsia="Times New Roman" w:hAnsi="Trebuchet MS" w:cs="Trebuchet MS"/>
          <w:sz w:val="24"/>
          <w:szCs w:val="24"/>
          <w:vertAlign w:val="subscript"/>
          <w:lang w:eastAsia="zh-CN"/>
        </w:rPr>
        <w:tab/>
      </w:r>
      <w:r>
        <w:rPr>
          <w:rFonts w:ascii="Trebuchet MS" w:eastAsia="Times New Roman" w:hAnsi="Trebuchet MS" w:cs="Trebuchet MS"/>
          <w:sz w:val="24"/>
          <w:szCs w:val="24"/>
          <w:lang w:eastAsia="zh-CN"/>
        </w:rPr>
        <w:t>- długość okresu gwarancji i rękojmi badanej oferty [miesiące]</w:t>
      </w:r>
    </w:p>
    <w:p w14:paraId="40E877F0" w14:textId="77777777" w:rsidR="008449E5" w:rsidRDefault="0007388B">
      <w:pPr>
        <w:tabs>
          <w:tab w:val="left" w:pos="851"/>
        </w:tabs>
        <w:spacing w:after="0"/>
      </w:pPr>
      <w:proofErr w:type="spellStart"/>
      <w:r>
        <w:rPr>
          <w:rFonts w:ascii="Trebuchet MS" w:eastAsia="Times New Roman" w:hAnsi="Trebuchet MS" w:cs="Trebuchet MS"/>
          <w:sz w:val="24"/>
          <w:szCs w:val="24"/>
          <w:lang w:eastAsia="zh-CN"/>
        </w:rPr>
        <w:t>G</w:t>
      </w:r>
      <w:r>
        <w:rPr>
          <w:rFonts w:ascii="Trebuchet MS" w:eastAsia="Times New Roman" w:hAnsi="Trebuchet MS" w:cs="Trebuchet MS"/>
          <w:sz w:val="24"/>
          <w:szCs w:val="24"/>
          <w:vertAlign w:val="subscript"/>
          <w:lang w:eastAsia="zh-CN"/>
        </w:rPr>
        <w:t>n</w:t>
      </w:r>
      <w:proofErr w:type="spellEnd"/>
      <w:r>
        <w:rPr>
          <w:rFonts w:ascii="Trebuchet MS" w:eastAsia="Times New Roman" w:hAnsi="Trebuchet MS" w:cs="Trebuchet MS"/>
          <w:sz w:val="24"/>
          <w:szCs w:val="24"/>
          <w:vertAlign w:val="subscript"/>
          <w:lang w:eastAsia="zh-CN"/>
        </w:rPr>
        <w:t xml:space="preserve"> </w:t>
      </w:r>
      <w:r>
        <w:rPr>
          <w:rFonts w:ascii="Trebuchet MS" w:eastAsia="Times New Roman" w:hAnsi="Trebuchet MS" w:cs="Trebuchet MS"/>
          <w:sz w:val="24"/>
          <w:szCs w:val="24"/>
          <w:vertAlign w:val="subscript"/>
          <w:lang w:eastAsia="zh-CN"/>
        </w:rPr>
        <w:tab/>
      </w:r>
      <w:r>
        <w:rPr>
          <w:rFonts w:ascii="Trebuchet MS" w:eastAsia="Times New Roman" w:hAnsi="Trebuchet MS" w:cs="Trebuchet MS"/>
          <w:sz w:val="24"/>
          <w:szCs w:val="24"/>
          <w:lang w:eastAsia="zh-CN"/>
        </w:rPr>
        <w:t>- najdłuższy okres gwarancji i rękojmi spośród złożonych ofert [miesiące]</w:t>
      </w:r>
    </w:p>
    <w:p w14:paraId="314DFB3E" w14:textId="77777777" w:rsidR="008449E5" w:rsidRDefault="0007388B">
      <w:pPr>
        <w:tabs>
          <w:tab w:val="left" w:pos="1440"/>
          <w:tab w:val="left" w:pos="1800"/>
        </w:tabs>
        <w:spacing w:after="0"/>
      </w:pPr>
      <w:r>
        <w:rPr>
          <w:rFonts w:ascii="Trebuchet MS" w:eastAsia="Times New Roman" w:hAnsi="Trebuchet MS" w:cs="Trebuchet MS"/>
          <w:sz w:val="24"/>
          <w:szCs w:val="24"/>
          <w:lang w:eastAsia="zh-CN"/>
        </w:rPr>
        <w:t>*</w:t>
      </w:r>
      <w:r>
        <w:rPr>
          <w:rFonts w:ascii="Trebuchet MS" w:eastAsia="Times New Roman" w:hAnsi="Trebuchet MS" w:cs="Trebuchet MS"/>
          <w:i/>
          <w:iCs/>
          <w:sz w:val="24"/>
          <w:szCs w:val="24"/>
          <w:lang w:eastAsia="zh-CN"/>
        </w:rPr>
        <w:t xml:space="preserve"> - okres gwarancji i rękojmi nie może być krótszy niż 48 miesięcy</w:t>
      </w:r>
    </w:p>
    <w:p w14:paraId="17AC5730" w14:textId="77777777" w:rsidR="008449E5" w:rsidRDefault="008449E5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99981DC" w14:textId="77777777" w:rsidR="008449E5" w:rsidRDefault="0007388B">
      <w:pPr>
        <w:spacing w:after="0"/>
        <w:jc w:val="both"/>
      </w:pPr>
      <w:r>
        <w:rPr>
          <w:rFonts w:ascii="Trebuchet MS" w:eastAsia="Times New Roman" w:hAnsi="Trebuchet MS"/>
          <w:sz w:val="24"/>
          <w:szCs w:val="24"/>
          <w:lang w:eastAsia="pl-PL"/>
        </w:rPr>
        <w:t>Maksymalna liczba punktów, które wykonawca może uzyskać w kryterium „Długość okresu gwarancji i rękojmi” (G) wynosi 40 punktów. Wszystkie obliczenia punktów będą dokonywane z dokładnością do dwóch miejsc po przecinku, bez zaokrągleń.</w:t>
      </w:r>
    </w:p>
    <w:p w14:paraId="2117C252" w14:textId="77777777" w:rsidR="008449E5" w:rsidRDefault="008449E5">
      <w:pPr>
        <w:spacing w:after="0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27867EC2" w14:textId="77777777" w:rsidR="008449E5" w:rsidRDefault="0007388B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Za najkorzystniejszą ofertę zostanie uznana oferta, która otrzyma najwyższą liczbę punktów (R) obliczoną na podstawie wzoru: </w:t>
      </w:r>
    </w:p>
    <w:p w14:paraId="6DB9B071" w14:textId="77777777" w:rsidR="008449E5" w:rsidRDefault="008449E5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07B2C256" w14:textId="77777777" w:rsidR="008449E5" w:rsidRDefault="0007388B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R= C + G</w:t>
      </w:r>
    </w:p>
    <w:p w14:paraId="6FD60447" w14:textId="77777777" w:rsidR="008449E5" w:rsidRDefault="0007388B">
      <w:pPr>
        <w:spacing w:after="0"/>
        <w:rPr>
          <w:rFonts w:ascii="Trebuchet MS" w:eastAsia="Times New Roman" w:hAnsi="Trebuchet MS"/>
          <w:b/>
          <w:sz w:val="24"/>
          <w:szCs w:val="24"/>
          <w:lang w:eastAsia="pl-PL"/>
        </w:rPr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>gdzie:</w:t>
      </w:r>
    </w:p>
    <w:p w14:paraId="006F09FD" w14:textId="77777777" w:rsidR="008449E5" w:rsidRDefault="0007388B">
      <w:pPr>
        <w:spacing w:after="0"/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R 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ab/>
        <w:t xml:space="preserve">– </w:t>
      </w:r>
      <w:r>
        <w:rPr>
          <w:rFonts w:ascii="Trebuchet MS" w:eastAsia="Times New Roman" w:hAnsi="Trebuchet MS"/>
          <w:sz w:val="24"/>
          <w:szCs w:val="24"/>
          <w:lang w:eastAsia="pl-PL"/>
        </w:rPr>
        <w:t>łączna liczba punktów przyznanych badanej ofercie,</w:t>
      </w:r>
    </w:p>
    <w:p w14:paraId="3EDEDB7E" w14:textId="77777777" w:rsidR="008449E5" w:rsidRDefault="0007388B">
      <w:pPr>
        <w:spacing w:after="0"/>
      </w:pPr>
      <w:r>
        <w:rPr>
          <w:rFonts w:ascii="Trebuchet MS" w:eastAsia="Times New Roman" w:hAnsi="Trebuchet MS"/>
          <w:b/>
          <w:sz w:val="24"/>
          <w:szCs w:val="24"/>
          <w:lang w:eastAsia="pl-PL"/>
        </w:rPr>
        <w:t xml:space="preserve">C </w:t>
      </w:r>
      <w:r>
        <w:rPr>
          <w:rFonts w:ascii="Trebuchet MS" w:eastAsia="Times New Roman" w:hAnsi="Trebuchet MS"/>
          <w:b/>
          <w:sz w:val="24"/>
          <w:szCs w:val="24"/>
          <w:lang w:eastAsia="pl-PL"/>
        </w:rPr>
        <w:tab/>
        <w:t xml:space="preserve">– </w:t>
      </w:r>
      <w:r>
        <w:rPr>
          <w:rFonts w:ascii="Trebuchet MS" w:eastAsia="Times New Roman" w:hAnsi="Trebuchet MS"/>
          <w:sz w:val="24"/>
          <w:szCs w:val="24"/>
          <w:lang w:eastAsia="pl-PL"/>
        </w:rPr>
        <w:t>liczba punktów przyznanych badanej ofercie w kryterium  „Cena”</w:t>
      </w:r>
    </w:p>
    <w:p w14:paraId="06974D8A" w14:textId="77777777" w:rsidR="008449E5" w:rsidRDefault="0007388B">
      <w:pPr>
        <w:spacing w:after="0"/>
      </w:pPr>
      <w:r>
        <w:rPr>
          <w:rFonts w:ascii="Trebuchet MS" w:eastAsia="Times New Roman" w:hAnsi="Trebuchet MS"/>
          <w:b/>
          <w:bCs/>
          <w:sz w:val="24"/>
          <w:szCs w:val="24"/>
          <w:lang w:eastAsia="pl-PL"/>
        </w:rPr>
        <w:t xml:space="preserve">G </w:t>
      </w:r>
      <w:r>
        <w:rPr>
          <w:rFonts w:ascii="Trebuchet MS" w:eastAsia="Times New Roman" w:hAnsi="Trebuchet MS"/>
          <w:sz w:val="24"/>
          <w:szCs w:val="24"/>
          <w:lang w:eastAsia="pl-PL"/>
        </w:rPr>
        <w:tab/>
        <w:t xml:space="preserve">– liczba punktów przyznanych badanej ofercie w kryterium </w:t>
      </w:r>
      <w:r>
        <w:rPr>
          <w:rFonts w:ascii="Trebuchet MS" w:eastAsia="Times New Roman" w:hAnsi="Trebuchet MS"/>
          <w:sz w:val="24"/>
          <w:szCs w:val="24"/>
          <w:lang w:eastAsia="pl-PL"/>
        </w:rPr>
        <w:br/>
      </w:r>
      <w:r>
        <w:rPr>
          <w:rFonts w:ascii="Trebuchet MS" w:eastAsia="Times New Roman" w:hAnsi="Trebuchet MS"/>
          <w:sz w:val="24"/>
          <w:szCs w:val="24"/>
          <w:lang w:eastAsia="pl-PL"/>
        </w:rPr>
        <w:tab/>
        <w:t>„Długość okresu gwarancji i rękojmi”</w:t>
      </w:r>
    </w:p>
    <w:p w14:paraId="75866120" w14:textId="77777777" w:rsidR="008449E5" w:rsidRDefault="008449E5">
      <w:pPr>
        <w:rPr>
          <w:sz w:val="24"/>
          <w:szCs w:val="24"/>
        </w:rPr>
      </w:pPr>
    </w:p>
    <w:sectPr w:rsidR="008449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D06B" w14:textId="77777777" w:rsidR="00BB3D13" w:rsidRDefault="00BB3D13">
      <w:pPr>
        <w:spacing w:after="0"/>
      </w:pPr>
      <w:r>
        <w:separator/>
      </w:r>
    </w:p>
  </w:endnote>
  <w:endnote w:type="continuationSeparator" w:id="0">
    <w:p w14:paraId="3247F1C1" w14:textId="77777777" w:rsidR="00BB3D13" w:rsidRDefault="00BB3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E569" w14:textId="77777777" w:rsidR="00BB3D13" w:rsidRDefault="00BB3D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DA3DBB" w14:textId="77777777" w:rsidR="00BB3D13" w:rsidRDefault="00BB3D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E5"/>
    <w:rsid w:val="00057996"/>
    <w:rsid w:val="0007388B"/>
    <w:rsid w:val="00326EE9"/>
    <w:rsid w:val="003770B3"/>
    <w:rsid w:val="004C1D5D"/>
    <w:rsid w:val="00543C40"/>
    <w:rsid w:val="007867D3"/>
    <w:rsid w:val="008449E5"/>
    <w:rsid w:val="00A40DE0"/>
    <w:rsid w:val="00BB3D13"/>
    <w:rsid w:val="00BC0E01"/>
    <w:rsid w:val="00C703B9"/>
    <w:rsid w:val="00E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EEF9"/>
  <w15:docId w15:val="{60AF8C0D-810B-471C-8B6E-77E2654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podstawowy3">
    <w:name w:val="Body Text 3"/>
    <w:basedOn w:val="Normalny"/>
    <w:pPr>
      <w:spacing w:after="120"/>
      <w:textAlignment w:val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rPr>
      <w:rFonts w:ascii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Rowska</dc:creator>
  <dc:description/>
  <cp:lastModifiedBy>Anna Rowska</cp:lastModifiedBy>
  <cp:revision>8</cp:revision>
  <cp:lastPrinted>2022-06-07T12:16:00Z</cp:lastPrinted>
  <dcterms:created xsi:type="dcterms:W3CDTF">2022-06-07T12:17:00Z</dcterms:created>
  <dcterms:modified xsi:type="dcterms:W3CDTF">2023-07-25T12:08:00Z</dcterms:modified>
</cp:coreProperties>
</file>