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65FAC25F" w:rsidR="00FB134B" w:rsidRPr="00966D5E"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F3474A">
        <w:rPr>
          <w:rFonts w:ascii="Times New Roman" w:eastAsia="Times New Roman" w:hAnsi="Times New Roman"/>
          <w:b/>
          <w:bCs/>
          <w:color w:val="000000"/>
          <w:sz w:val="24"/>
          <w:szCs w:val="24"/>
        </w:rPr>
        <w:t xml:space="preserve"> </w:t>
      </w:r>
      <w:bookmarkStart w:id="0" w:name="_Hlk81463888"/>
      <w:r w:rsidR="00F3474A" w:rsidRPr="00F3474A">
        <w:rPr>
          <w:rFonts w:ascii="Times New Roman" w:eastAsia="Times New Roman" w:hAnsi="Times New Roman"/>
          <w:b/>
          <w:sz w:val="24"/>
          <w:szCs w:val="24"/>
        </w:rPr>
        <w:t xml:space="preserve">wymiana wodomierzy lokalowych w lokalach mieszkalnych będących  w zasobie  Miejskiego Zakładu Gospodarki Mieszkaniowej „MZGM”  </w:t>
      </w:r>
      <w:r w:rsidR="004664FD">
        <w:rPr>
          <w:rFonts w:ascii="Times New Roman" w:eastAsia="Times New Roman" w:hAnsi="Times New Roman"/>
          <w:b/>
          <w:sz w:val="24"/>
          <w:szCs w:val="24"/>
        </w:rPr>
        <w:t xml:space="preserve">          </w:t>
      </w:r>
      <w:r w:rsidR="00F3474A" w:rsidRPr="00F3474A">
        <w:rPr>
          <w:rFonts w:ascii="Times New Roman" w:eastAsia="Times New Roman" w:hAnsi="Times New Roman"/>
          <w:b/>
          <w:sz w:val="24"/>
          <w:szCs w:val="24"/>
        </w:rPr>
        <w:t xml:space="preserve">Sp. z o. o. w Ostrowie Wielkopolskim </w:t>
      </w:r>
      <w:bookmarkEnd w:id="0"/>
      <w:r w:rsidR="00F3474A">
        <w:rPr>
          <w:rFonts w:ascii="Times New Roman" w:eastAsia="Times New Roman" w:hAnsi="Times New Roman"/>
          <w:b/>
          <w:sz w:val="24"/>
          <w:szCs w:val="24"/>
        </w:rPr>
        <w:t>– zadanie nr …….</w:t>
      </w:r>
      <w:r w:rsidRPr="00966D5E">
        <w:rPr>
          <w:rFonts w:ascii="Times New Roman" w:eastAsia="Times New Roman" w:hAnsi="Times New Roman"/>
          <w:b/>
          <w:bCs/>
          <w:color w:val="000000"/>
          <w:sz w:val="24"/>
          <w:szCs w:val="24"/>
        </w:rPr>
        <w:t>.</w:t>
      </w:r>
    </w:p>
    <w:p w14:paraId="439C6253" w14:textId="76E89DE6" w:rsidR="00FB134B" w:rsidRPr="00575636" w:rsidRDefault="002365CC" w:rsidP="00575636">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r w:rsidRPr="00575636">
        <w:rPr>
          <w:rFonts w:ascii="Times New Roman" w:eastAsia="Times New Roman" w:hAnsi="Times New Roman"/>
          <w:color w:val="000000"/>
          <w:sz w:val="24"/>
          <w:szCs w:val="24"/>
        </w:rPr>
        <w:t xml:space="preserve"> </w:t>
      </w:r>
    </w:p>
    <w:p w14:paraId="439C6254" w14:textId="66FCBBB1"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w:t>
      </w:r>
      <w:r w:rsidR="00575636">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zgodnie z obowiązującymi przepisami prawa, normami technicznymi, standardami, zasadami wiedzy budowlanej oraz specyfikacją warunków zamówienia (SWZ), Umową, ofertą przetargową</w:t>
      </w:r>
      <w:r w:rsidR="00227F61">
        <w:rPr>
          <w:rFonts w:ascii="Times New Roman" w:eastAsia="Times New Roman" w:hAnsi="Times New Roman"/>
          <w:color w:val="000000"/>
          <w:sz w:val="24"/>
          <w:szCs w:val="24"/>
        </w:rPr>
        <w:t xml:space="preserve"> i </w:t>
      </w:r>
      <w:r w:rsidRPr="00E760E8">
        <w:rPr>
          <w:rFonts w:ascii="Times New Roman" w:eastAsia="Times New Roman" w:hAnsi="Times New Roman"/>
          <w:color w:val="000000"/>
          <w:sz w:val="24"/>
          <w:szCs w:val="24"/>
        </w:rPr>
        <w:t>kosztorysem ofertowym</w:t>
      </w:r>
      <w:r w:rsidR="00227F61">
        <w:rPr>
          <w:rFonts w:ascii="Times New Roman" w:eastAsia="Times New Roman" w:hAnsi="Times New Roman"/>
          <w:color w:val="000000"/>
          <w:sz w:val="24"/>
          <w:szCs w:val="24"/>
        </w:rPr>
        <w: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8" w14:textId="6F8797C9" w:rsidR="00FB134B" w:rsidRPr="00227F61" w:rsidRDefault="002365CC" w:rsidP="00227F61">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9" w14:textId="34DF0B99"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wykrycia nieprawidłowości w </w:t>
      </w:r>
      <w:r w:rsidR="00227F61">
        <w:rPr>
          <w:rFonts w:ascii="Times New Roman" w:eastAsia="Times New Roman" w:hAnsi="Times New Roman"/>
          <w:color w:val="000000"/>
          <w:sz w:val="24"/>
          <w:szCs w:val="24"/>
        </w:rPr>
        <w:t xml:space="preserve">dokumentacji </w:t>
      </w:r>
      <w:r>
        <w:rPr>
          <w:rFonts w:ascii="Times New Roman" w:eastAsia="Times New Roman" w:hAnsi="Times New Roman"/>
          <w:color w:val="000000"/>
          <w:sz w:val="24"/>
          <w:szCs w:val="24"/>
        </w:rPr>
        <w:t>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547433F6"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346DD9">
        <w:rPr>
          <w:rFonts w:ascii="Times New Roman" w:eastAsia="Times New Roman" w:hAnsi="Times New Roman"/>
          <w:b/>
          <w:sz w:val="24"/>
          <w:szCs w:val="24"/>
        </w:rPr>
        <w:t>9</w:t>
      </w:r>
      <w:r w:rsidR="008B1FE9">
        <w:rPr>
          <w:rFonts w:ascii="Times New Roman" w:eastAsia="Times New Roman" w:hAnsi="Times New Roman"/>
          <w:b/>
          <w:sz w:val="24"/>
          <w:szCs w:val="24"/>
        </w:rPr>
        <w:t>0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4CDEB612"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pełną odpowiedzialność za </w:t>
      </w:r>
      <w:r w:rsidR="008841BC">
        <w:rPr>
          <w:rFonts w:ascii="Times New Roman" w:eastAsia="Times New Roman" w:hAnsi="Times New Roman"/>
          <w:sz w:val="24"/>
          <w:szCs w:val="24"/>
        </w:rPr>
        <w:t>miejsce realizacji prac</w:t>
      </w:r>
      <w:r>
        <w:rPr>
          <w:rFonts w:ascii="Times New Roman" w:eastAsia="Times New Roman" w:hAnsi="Times New Roman"/>
          <w:sz w:val="24"/>
          <w:szCs w:val="24"/>
        </w:rPr>
        <w:t xml:space="preserve"> z datą przejęcia placu budowy.</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484BFFF2"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9596A85"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w:t>
      </w:r>
      <w:r w:rsidR="00227F61">
        <w:rPr>
          <w:rFonts w:ascii="Times New Roman" w:eastAsia="Times New Roman" w:hAnsi="Times New Roman"/>
          <w:sz w:val="24"/>
          <w:szCs w:val="24"/>
        </w:rPr>
        <w:t>prace</w:t>
      </w:r>
      <w:r>
        <w:rPr>
          <w:rFonts w:ascii="Times New Roman" w:eastAsia="Times New Roman" w:hAnsi="Times New Roman"/>
          <w:sz w:val="24"/>
          <w:szCs w:val="24"/>
        </w:rPr>
        <w:t xml:space="preserv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1B7FD5DF"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A09F4AD" w:rsidR="00FB134B" w:rsidRPr="00AD7CE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Faktura za zrealizowaną robotę wystawiona będzie na </w:t>
      </w:r>
      <w:r w:rsidR="00AD7CEB" w:rsidRPr="00AD7CEB">
        <w:rPr>
          <w:rFonts w:ascii="Times New Roman" w:eastAsia="Times New Roman" w:hAnsi="Times New Roman"/>
          <w:b/>
          <w:bCs/>
          <w:color w:val="000000"/>
          <w:sz w:val="24"/>
          <w:szCs w:val="24"/>
        </w:rPr>
        <w:t>Miejski Zakład Gospodarki Mieszkaniowej „MZGM” Sp. z o.o., ul. Kościuszki 14, 63-400 Ostrów Wielkopolski,       NIP: 622-10-05-559, REGON: 250470657.</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7B73155B"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117CC62B"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6FF787A1"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061B1AE9" w14:textId="58E41404" w:rsidR="002E7E09" w:rsidRDefault="002E7E09">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0E0C035" w14:textId="093A9A88" w:rsidR="002E7E09" w:rsidRDefault="002E7E09">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28470EC0" w14:textId="77777777" w:rsidR="002E7E09" w:rsidRDefault="002E7E09">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91" w14:textId="42B3E3CC" w:rsidR="00FB134B" w:rsidRPr="00227F61" w:rsidRDefault="002365CC" w:rsidP="00227F61">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r w:rsidR="00227F61">
        <w:rPr>
          <w:rFonts w:ascii="Times New Roman" w:eastAsia="Times New Roman" w:hAnsi="Times New Roman"/>
          <w:sz w:val="24"/>
          <w:szCs w:val="24"/>
        </w:rPr>
        <w:t xml:space="preserve"> </w:t>
      </w:r>
      <w:r w:rsidRPr="00227F61">
        <w:rPr>
          <w:rFonts w:ascii="Times New Roman" w:eastAsia="Times New Roman" w:hAnsi="Times New Roman"/>
          <w:sz w:val="24"/>
          <w:szCs w:val="24"/>
        </w:rPr>
        <w:t>odbiór końcowy.</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7137A46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w:t>
      </w:r>
      <w:r>
        <w:rPr>
          <w:rFonts w:ascii="Times New Roman" w:eastAsia="Times New Roman" w:hAnsi="Times New Roman"/>
          <w:sz w:val="24"/>
          <w:szCs w:val="24"/>
        </w:rPr>
        <w:lastRenderedPageBreak/>
        <w:t>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w:t>
      </w:r>
      <w:r>
        <w:rPr>
          <w:rFonts w:ascii="Times New Roman" w:eastAsia="Times New Roman" w:hAnsi="Times New Roman"/>
          <w:sz w:val="24"/>
          <w:szCs w:val="24"/>
        </w:rPr>
        <w:lastRenderedPageBreak/>
        <w:t xml:space="preserve">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2D2D3CD7" w14:textId="77777777" w:rsidR="002E7E09" w:rsidRDefault="002E7E09">
      <w:pPr>
        <w:spacing w:after="0"/>
        <w:jc w:val="center"/>
        <w:rPr>
          <w:rFonts w:ascii="Times New Roman" w:eastAsia="Times New Roman" w:hAnsi="Times New Roman"/>
          <w:b/>
          <w:sz w:val="24"/>
          <w:szCs w:val="24"/>
        </w:rPr>
      </w:pPr>
    </w:p>
    <w:p w14:paraId="4B4E30F3" w14:textId="77777777" w:rsidR="002E7E09" w:rsidRDefault="002E7E09">
      <w:pPr>
        <w:spacing w:after="0"/>
        <w:jc w:val="center"/>
        <w:rPr>
          <w:rFonts w:ascii="Times New Roman" w:eastAsia="Times New Roman" w:hAnsi="Times New Roman"/>
          <w:b/>
          <w:sz w:val="24"/>
          <w:szCs w:val="24"/>
        </w:rPr>
      </w:pPr>
    </w:p>
    <w:p w14:paraId="77472488" w14:textId="77777777" w:rsidR="002E7E09" w:rsidRDefault="002E7E09">
      <w:pPr>
        <w:spacing w:after="0"/>
        <w:jc w:val="center"/>
        <w:rPr>
          <w:rFonts w:ascii="Times New Roman" w:eastAsia="Times New Roman" w:hAnsi="Times New Roman"/>
          <w:b/>
          <w:sz w:val="24"/>
          <w:szCs w:val="24"/>
        </w:rPr>
      </w:pPr>
    </w:p>
    <w:p w14:paraId="439C62D4" w14:textId="11B8BD69"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2BE0338D"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uporządkowanie terenu po zakończeniu robót,</w:t>
      </w:r>
      <w:r w:rsidR="0080396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98F2F3B"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realizowanych robót,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5182FA91"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roboty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DB96E0D" w14:textId="5DBFC243" w:rsidR="003E670D" w:rsidRDefault="003E670D" w:rsidP="00803968">
      <w:pPr>
        <w:spacing w:after="0"/>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zwłoka w przekazaniu terenu budowy z przyczyn zależnych od Zamawiającego; </w:t>
      </w:r>
    </w:p>
    <w:p w14:paraId="439C6334" w14:textId="74F60025" w:rsidR="00FB134B"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5" w14:textId="5C76B762"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w:t>
      </w:r>
      <w:r w:rsidR="00360BCA">
        <w:rPr>
          <w:rFonts w:ascii="Times New Roman" w:eastAsia="Times New Roman" w:hAnsi="Times New Roman"/>
          <w:sz w:val="24"/>
          <w:szCs w:val="24"/>
        </w:rPr>
        <w:t>realizacji</w:t>
      </w:r>
      <w:r>
        <w:rPr>
          <w:rFonts w:ascii="Times New Roman" w:eastAsia="Times New Roman" w:hAnsi="Times New Roman"/>
          <w:sz w:val="24"/>
          <w:szCs w:val="24"/>
        </w:rPr>
        <w:t xml:space="preserve">,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5189C4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605BA2E9" w14:textId="4339C72E" w:rsidR="00023C2E"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5AEBD6E3"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również te polegające  na niezgodności dokumentacji z przepisami prawa,  </w:t>
      </w:r>
    </w:p>
    <w:p w14:paraId="439C634F" w14:textId="06C6AFC8" w:rsidR="00FB134B" w:rsidRPr="00C04F50" w:rsidRDefault="002365CC" w:rsidP="00C04F50">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62" w14:textId="0A8B42A6" w:rsidR="00FB134B" w:rsidRPr="00C04F50" w:rsidRDefault="002365CC" w:rsidP="00C04F50">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40C3B2C8"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39CF339F"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5EF6E6"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C04F50">
        <w:rPr>
          <w:rFonts w:ascii="Times New Roman" w:eastAsia="Times New Roman" w:hAnsi="Times New Roman"/>
          <w:sz w:val="24"/>
          <w:szCs w:val="24"/>
        </w:rPr>
        <w:t>5</w:t>
      </w:r>
      <w:r>
        <w:rPr>
          <w:rFonts w:ascii="Times New Roman" w:eastAsia="Times New Roman" w:hAnsi="Times New Roman"/>
          <w:sz w:val="24"/>
          <w:szCs w:val="24"/>
        </w:rPr>
        <w:t xml:space="preserve">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6" w14:textId="500B76F2" w:rsidR="00FB134B" w:rsidRPr="00147B18" w:rsidRDefault="00613E63" w:rsidP="00147B18">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sidR="00147B18">
        <w:rPr>
          <w:rFonts w:ascii="Times New Roman" w:eastAsia="Times New Roman" w:hAnsi="Times New Roman"/>
          <w:sz w:val="24"/>
          <w:szCs w:val="24"/>
        </w:rPr>
        <w:t>.</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Umowę sporządzono w dwóch jednobrzmiących egzemplarzach, z czego jeden egzemplarz otrzymuje Wykonawca a drugi Zamawiający. </w:t>
      </w:r>
    </w:p>
    <w:p w14:paraId="7BEA442C" w14:textId="6546413F" w:rsidR="00357DEB" w:rsidRDefault="00357DEB" w:rsidP="002E7E09">
      <w:pPr>
        <w:spacing w:after="0" w:line="259" w:lineRule="auto"/>
        <w:ind w:right="59"/>
        <w:rPr>
          <w:rFonts w:ascii="Times New Roman" w:eastAsia="Times New Roman" w:hAnsi="Times New Roman"/>
          <w:b/>
          <w:sz w:val="24"/>
          <w:szCs w:val="24"/>
        </w:rPr>
      </w:pPr>
      <w:bookmarkStart w:id="6" w:name="_GoBack"/>
      <w:bookmarkEnd w:id="6"/>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A6D96"/>
    <w:rsid w:val="000F63C1"/>
    <w:rsid w:val="00114A33"/>
    <w:rsid w:val="00115DEC"/>
    <w:rsid w:val="00134DB7"/>
    <w:rsid w:val="001378F2"/>
    <w:rsid w:val="00147B18"/>
    <w:rsid w:val="00174E5D"/>
    <w:rsid w:val="0018107C"/>
    <w:rsid w:val="001E35C6"/>
    <w:rsid w:val="00206285"/>
    <w:rsid w:val="00227F61"/>
    <w:rsid w:val="002365CC"/>
    <w:rsid w:val="002422BB"/>
    <w:rsid w:val="002556A2"/>
    <w:rsid w:val="0026044E"/>
    <w:rsid w:val="00260F82"/>
    <w:rsid w:val="00284996"/>
    <w:rsid w:val="0028540F"/>
    <w:rsid w:val="002A6E6D"/>
    <w:rsid w:val="002E7E09"/>
    <w:rsid w:val="00313E2D"/>
    <w:rsid w:val="00346DD9"/>
    <w:rsid w:val="00347531"/>
    <w:rsid w:val="0035647F"/>
    <w:rsid w:val="00357DEB"/>
    <w:rsid w:val="00360BCA"/>
    <w:rsid w:val="00385E8D"/>
    <w:rsid w:val="003A7540"/>
    <w:rsid w:val="003C6029"/>
    <w:rsid w:val="003C7346"/>
    <w:rsid w:val="003C7CA9"/>
    <w:rsid w:val="003E670D"/>
    <w:rsid w:val="004078E4"/>
    <w:rsid w:val="00427407"/>
    <w:rsid w:val="00452610"/>
    <w:rsid w:val="00454320"/>
    <w:rsid w:val="00461943"/>
    <w:rsid w:val="004664FD"/>
    <w:rsid w:val="004F2563"/>
    <w:rsid w:val="004F423F"/>
    <w:rsid w:val="0052218C"/>
    <w:rsid w:val="00531900"/>
    <w:rsid w:val="005415EF"/>
    <w:rsid w:val="00555212"/>
    <w:rsid w:val="00575636"/>
    <w:rsid w:val="00596A60"/>
    <w:rsid w:val="005A1C48"/>
    <w:rsid w:val="00606DA7"/>
    <w:rsid w:val="00613E63"/>
    <w:rsid w:val="00664648"/>
    <w:rsid w:val="00671529"/>
    <w:rsid w:val="006C2157"/>
    <w:rsid w:val="006C7329"/>
    <w:rsid w:val="0075198A"/>
    <w:rsid w:val="007810C3"/>
    <w:rsid w:val="00786D39"/>
    <w:rsid w:val="007E4EA0"/>
    <w:rsid w:val="007E70EE"/>
    <w:rsid w:val="00803968"/>
    <w:rsid w:val="008841BC"/>
    <w:rsid w:val="008B1FE9"/>
    <w:rsid w:val="009033CD"/>
    <w:rsid w:val="009269DC"/>
    <w:rsid w:val="00950857"/>
    <w:rsid w:val="00966D5E"/>
    <w:rsid w:val="00996E10"/>
    <w:rsid w:val="009B64D4"/>
    <w:rsid w:val="009D5FF2"/>
    <w:rsid w:val="00A65A1A"/>
    <w:rsid w:val="00A702EA"/>
    <w:rsid w:val="00A84697"/>
    <w:rsid w:val="00A93970"/>
    <w:rsid w:val="00AD7CEB"/>
    <w:rsid w:val="00B05F45"/>
    <w:rsid w:val="00B06C44"/>
    <w:rsid w:val="00B07A18"/>
    <w:rsid w:val="00B63F3E"/>
    <w:rsid w:val="00B66986"/>
    <w:rsid w:val="00BC4B05"/>
    <w:rsid w:val="00C04F50"/>
    <w:rsid w:val="00C10ED0"/>
    <w:rsid w:val="00C61759"/>
    <w:rsid w:val="00C62350"/>
    <w:rsid w:val="00C62F8A"/>
    <w:rsid w:val="00C85CEC"/>
    <w:rsid w:val="00C96325"/>
    <w:rsid w:val="00CA5700"/>
    <w:rsid w:val="00CE2F08"/>
    <w:rsid w:val="00CE7466"/>
    <w:rsid w:val="00D720DD"/>
    <w:rsid w:val="00DD72C5"/>
    <w:rsid w:val="00E45B0C"/>
    <w:rsid w:val="00E760E8"/>
    <w:rsid w:val="00EF182B"/>
    <w:rsid w:val="00F0295F"/>
    <w:rsid w:val="00F3474A"/>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5974</Words>
  <Characters>35846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72</cp:revision>
  <cp:lastPrinted>2021-09-03T08:47:00Z</cp:lastPrinted>
  <dcterms:created xsi:type="dcterms:W3CDTF">2021-05-24T13:37:00Z</dcterms:created>
  <dcterms:modified xsi:type="dcterms:W3CDTF">2021-10-14T06:44:00Z</dcterms:modified>
</cp:coreProperties>
</file>