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62B" w:rsidRPr="0050462B" w:rsidRDefault="0050462B" w:rsidP="0050462B">
      <w:pPr>
        <w:suppressAutoHyphens/>
        <w:spacing w:after="0" w:line="276" w:lineRule="auto"/>
        <w:jc w:val="right"/>
        <w:outlineLvl w:val="1"/>
        <w:rPr>
          <w:rFonts w:ascii="Calibri" w:eastAsia="Times New Roman" w:hAnsi="Calibri" w:cs="Times New Roman"/>
          <w:b/>
          <w:i/>
          <w:iCs/>
          <w:sz w:val="20"/>
          <w:szCs w:val="24"/>
          <w:lang w:eastAsia="pl-PL"/>
        </w:rPr>
      </w:pPr>
      <w:bookmarkStart w:id="0" w:name="_Toc89845279"/>
      <w:r w:rsidRPr="0050462B">
        <w:rPr>
          <w:rFonts w:ascii="Calibri" w:eastAsia="Times New Roman" w:hAnsi="Calibri" w:cs="Times New Roman"/>
          <w:i/>
          <w:sz w:val="20"/>
          <w:szCs w:val="24"/>
          <w:lang w:eastAsia="pl-PL"/>
        </w:rPr>
        <w:t>Załącznik nr 3 do SWZ</w:t>
      </w:r>
      <w:bookmarkEnd w:id="0"/>
    </w:p>
    <w:p w:rsidR="0050462B" w:rsidRPr="0050462B" w:rsidRDefault="0050462B" w:rsidP="0050462B">
      <w:pPr>
        <w:suppressAutoHyphens/>
        <w:spacing w:after="0" w:line="276" w:lineRule="auto"/>
        <w:jc w:val="right"/>
        <w:rPr>
          <w:rFonts w:ascii="Calibri" w:eastAsia="Lucida Sans Unicode" w:hAnsi="Calibri" w:cs="Calibri"/>
          <w:i/>
          <w:iCs/>
          <w:color w:val="000000"/>
          <w:sz w:val="20"/>
          <w:szCs w:val="20"/>
          <w:lang w:bidi="pl-PL"/>
        </w:rPr>
      </w:pPr>
      <w:r w:rsidRPr="0050462B">
        <w:rPr>
          <w:rFonts w:ascii="Calibri" w:eastAsia="Lucida Sans Unicode" w:hAnsi="Calibri" w:cs="Calibri"/>
          <w:i/>
          <w:iCs/>
          <w:color w:val="000000"/>
          <w:sz w:val="20"/>
          <w:szCs w:val="20"/>
          <w:lang w:bidi="pl-PL"/>
        </w:rPr>
        <w:t>31/zp/21</w:t>
      </w:r>
    </w:p>
    <w:p w:rsidR="0050462B" w:rsidRPr="0050462B" w:rsidRDefault="0050462B" w:rsidP="0050462B">
      <w:pPr>
        <w:suppressAutoHyphens/>
        <w:spacing w:after="0" w:line="276" w:lineRule="auto"/>
        <w:rPr>
          <w:rFonts w:ascii="Calibri" w:eastAsia="Lucida Sans Unicode" w:hAnsi="Calibri" w:cs="Calibri"/>
          <w:iCs/>
          <w:color w:val="000000"/>
          <w:szCs w:val="20"/>
          <w:lang w:bidi="pl-PL"/>
        </w:rPr>
      </w:pPr>
    </w:p>
    <w:p w:rsidR="0050462B" w:rsidRPr="0050462B" w:rsidRDefault="0050462B" w:rsidP="0050462B">
      <w:pPr>
        <w:suppressAutoHyphens/>
        <w:spacing w:after="0" w:line="276" w:lineRule="auto"/>
        <w:jc w:val="center"/>
        <w:rPr>
          <w:rFonts w:ascii="Calibri" w:eastAsia="Lucida Sans Unicode" w:hAnsi="Calibri" w:cs="Calibri"/>
          <w:b/>
          <w:iCs/>
          <w:color w:val="000000"/>
          <w:szCs w:val="20"/>
          <w:lang w:bidi="pl-PL"/>
        </w:rPr>
      </w:pPr>
      <w:r w:rsidRPr="0050462B">
        <w:rPr>
          <w:rFonts w:ascii="Calibri" w:eastAsia="Lucida Sans Unicode" w:hAnsi="Calibri" w:cs="Calibri"/>
          <w:b/>
          <w:iCs/>
          <w:color w:val="000000"/>
          <w:szCs w:val="20"/>
          <w:lang w:bidi="pl-PL"/>
        </w:rPr>
        <w:t>FORMULARZ CENOWY</w:t>
      </w:r>
    </w:p>
    <w:p w:rsidR="0050462B" w:rsidRPr="0050462B" w:rsidRDefault="0050462B" w:rsidP="0050462B">
      <w:pPr>
        <w:suppressAutoHyphens/>
        <w:spacing w:after="0" w:line="276" w:lineRule="auto"/>
        <w:jc w:val="center"/>
        <w:rPr>
          <w:rFonts w:ascii="Calibri" w:eastAsia="Lucida Sans Unicode" w:hAnsi="Calibri" w:cs="Calibri"/>
          <w:b/>
          <w:iCs/>
          <w:color w:val="000000"/>
          <w:szCs w:val="20"/>
          <w:lang w:bidi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25"/>
        <w:gridCol w:w="3685"/>
        <w:gridCol w:w="1276"/>
        <w:gridCol w:w="1134"/>
        <w:gridCol w:w="1134"/>
        <w:gridCol w:w="1134"/>
        <w:gridCol w:w="1276"/>
        <w:gridCol w:w="709"/>
        <w:gridCol w:w="1134"/>
        <w:gridCol w:w="1382"/>
      </w:tblGrid>
      <w:tr w:rsidR="0050462B" w:rsidRPr="0050462B" w:rsidTr="004E18C5">
        <w:trPr>
          <w:trHeight w:val="845"/>
        </w:trPr>
        <w:tc>
          <w:tcPr>
            <w:tcW w:w="988" w:type="dxa"/>
            <w:vAlign w:val="center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bCs/>
                <w:iCs/>
                <w:color w:val="000000"/>
                <w:sz w:val="18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bCs/>
                <w:iCs/>
                <w:color w:val="000000"/>
                <w:sz w:val="18"/>
                <w:lang w:bidi="pl-PL"/>
              </w:rPr>
              <w:t>Grupy językowe</w:t>
            </w:r>
          </w:p>
        </w:tc>
        <w:tc>
          <w:tcPr>
            <w:tcW w:w="425" w:type="dxa"/>
            <w:vAlign w:val="center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ind w:left="-108" w:right="-108"/>
              <w:jc w:val="center"/>
              <w:rPr>
                <w:rFonts w:ascii="Calibri" w:eastAsia="Lucida Sans Unicode" w:hAnsi="Calibri" w:cs="Calibri"/>
                <w:bCs/>
                <w:iCs/>
                <w:color w:val="000000"/>
                <w:sz w:val="18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bCs/>
                <w:iCs/>
                <w:color w:val="000000"/>
                <w:sz w:val="18"/>
                <w:lang w:bidi="pl-PL"/>
              </w:rPr>
              <w:t>L.p.</w:t>
            </w:r>
          </w:p>
        </w:tc>
        <w:tc>
          <w:tcPr>
            <w:tcW w:w="3685" w:type="dxa"/>
            <w:vAlign w:val="center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bCs/>
                <w:iCs/>
                <w:color w:val="000000"/>
                <w:sz w:val="18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bCs/>
                <w:iCs/>
                <w:color w:val="000000"/>
                <w:sz w:val="18"/>
                <w:lang w:bidi="pl-PL"/>
              </w:rPr>
              <w:t>Rodzaj tłumaczenia</w:t>
            </w:r>
          </w:p>
        </w:tc>
        <w:tc>
          <w:tcPr>
            <w:tcW w:w="1276" w:type="dxa"/>
            <w:vAlign w:val="center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bCs/>
                <w:iCs/>
                <w:color w:val="000000"/>
                <w:sz w:val="18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bCs/>
                <w:iCs/>
                <w:color w:val="000000"/>
                <w:sz w:val="18"/>
                <w:lang w:bidi="pl-PL"/>
              </w:rPr>
              <w:t>Tryb</w:t>
            </w:r>
          </w:p>
        </w:tc>
        <w:tc>
          <w:tcPr>
            <w:tcW w:w="1134" w:type="dxa"/>
            <w:vAlign w:val="center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bCs/>
                <w:iCs/>
                <w:color w:val="000000"/>
                <w:sz w:val="18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bCs/>
                <w:iCs/>
                <w:color w:val="000000"/>
                <w:sz w:val="18"/>
                <w:lang w:bidi="pl-PL"/>
              </w:rPr>
              <w:t>Jednostka</w:t>
            </w:r>
          </w:p>
        </w:tc>
        <w:tc>
          <w:tcPr>
            <w:tcW w:w="1134" w:type="dxa"/>
            <w:vAlign w:val="center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ind w:left="-108" w:right="-108"/>
              <w:jc w:val="center"/>
              <w:rPr>
                <w:rFonts w:ascii="Calibri" w:eastAsia="Lucida Sans Unicode" w:hAnsi="Calibri" w:cs="Calibri"/>
                <w:bCs/>
                <w:iCs/>
                <w:color w:val="000000"/>
                <w:sz w:val="18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bCs/>
                <w:iCs/>
                <w:color w:val="000000"/>
                <w:sz w:val="18"/>
                <w:lang w:bidi="pl-PL"/>
              </w:rPr>
              <w:t>Liczba szacunkowych jednostek</w:t>
            </w:r>
          </w:p>
        </w:tc>
        <w:tc>
          <w:tcPr>
            <w:tcW w:w="1134" w:type="dxa"/>
            <w:vAlign w:val="center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ind w:left="-108" w:right="-108"/>
              <w:jc w:val="center"/>
              <w:rPr>
                <w:rFonts w:ascii="Calibri" w:eastAsia="Lucida Sans Unicode" w:hAnsi="Calibri" w:cs="Calibri"/>
                <w:bCs/>
                <w:iCs/>
                <w:color w:val="000000"/>
                <w:sz w:val="18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bCs/>
                <w:iCs/>
                <w:color w:val="000000"/>
                <w:sz w:val="18"/>
                <w:lang w:bidi="pl-PL"/>
              </w:rPr>
              <w:t>Cena jednostkowa netto w zł</w:t>
            </w:r>
          </w:p>
        </w:tc>
        <w:tc>
          <w:tcPr>
            <w:tcW w:w="1276" w:type="dxa"/>
            <w:vAlign w:val="center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bCs/>
                <w:iCs/>
                <w:color w:val="000000"/>
                <w:sz w:val="18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bCs/>
                <w:iCs/>
                <w:color w:val="000000"/>
                <w:sz w:val="18"/>
                <w:lang w:bidi="pl-PL"/>
              </w:rPr>
              <w:t>Wartość netto w zł</w:t>
            </w:r>
          </w:p>
        </w:tc>
        <w:tc>
          <w:tcPr>
            <w:tcW w:w="709" w:type="dxa"/>
            <w:vAlign w:val="center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ind w:left="-108" w:right="-108"/>
              <w:jc w:val="center"/>
              <w:rPr>
                <w:rFonts w:ascii="Calibri" w:eastAsia="Lucida Sans Unicode" w:hAnsi="Calibri" w:cs="Calibri"/>
                <w:bCs/>
                <w:iCs/>
                <w:color w:val="000000"/>
                <w:sz w:val="18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bCs/>
                <w:iCs/>
                <w:color w:val="000000"/>
                <w:sz w:val="18"/>
                <w:lang w:bidi="pl-PL"/>
              </w:rPr>
              <w:t>Stawka VAT</w:t>
            </w:r>
          </w:p>
        </w:tc>
        <w:tc>
          <w:tcPr>
            <w:tcW w:w="1134" w:type="dxa"/>
            <w:vAlign w:val="center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bCs/>
                <w:iCs/>
                <w:color w:val="000000"/>
                <w:sz w:val="18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bCs/>
                <w:iCs/>
                <w:color w:val="000000"/>
                <w:sz w:val="18"/>
                <w:lang w:bidi="pl-PL"/>
              </w:rPr>
              <w:t>Wartość VAT w zł</w:t>
            </w:r>
          </w:p>
        </w:tc>
        <w:tc>
          <w:tcPr>
            <w:tcW w:w="1382" w:type="dxa"/>
            <w:vAlign w:val="center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bCs/>
                <w:iCs/>
                <w:color w:val="000000"/>
                <w:sz w:val="18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bCs/>
                <w:iCs/>
                <w:color w:val="000000"/>
                <w:sz w:val="18"/>
                <w:lang w:bidi="pl-PL"/>
              </w:rPr>
              <w:t>Wartość brutto w zł</w:t>
            </w:r>
          </w:p>
        </w:tc>
      </w:tr>
      <w:tr w:rsidR="0050462B" w:rsidRPr="0050462B" w:rsidTr="004E18C5">
        <w:trPr>
          <w:trHeight w:val="315"/>
        </w:trPr>
        <w:tc>
          <w:tcPr>
            <w:tcW w:w="988" w:type="dxa"/>
            <w:vAlign w:val="center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/>
                <w:iCs/>
                <w:color w:val="000000"/>
                <w:sz w:val="18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/>
                <w:iCs/>
                <w:color w:val="000000"/>
                <w:sz w:val="18"/>
                <w:lang w:bidi="pl-PL"/>
              </w:rPr>
              <w:t>1.</w:t>
            </w:r>
          </w:p>
        </w:tc>
        <w:tc>
          <w:tcPr>
            <w:tcW w:w="425" w:type="dxa"/>
            <w:vAlign w:val="center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/>
                <w:iCs/>
                <w:color w:val="000000"/>
                <w:sz w:val="18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/>
                <w:iCs/>
                <w:color w:val="000000"/>
                <w:sz w:val="18"/>
                <w:lang w:bidi="pl-PL"/>
              </w:rPr>
              <w:t>2.</w:t>
            </w:r>
          </w:p>
        </w:tc>
        <w:tc>
          <w:tcPr>
            <w:tcW w:w="3685" w:type="dxa"/>
            <w:vAlign w:val="center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/>
                <w:iCs/>
                <w:color w:val="000000"/>
                <w:sz w:val="18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/>
                <w:iCs/>
                <w:color w:val="000000"/>
                <w:sz w:val="18"/>
                <w:lang w:bidi="pl-PL"/>
              </w:rPr>
              <w:t>3.</w:t>
            </w:r>
          </w:p>
        </w:tc>
        <w:tc>
          <w:tcPr>
            <w:tcW w:w="1276" w:type="dxa"/>
            <w:vAlign w:val="center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/>
                <w:iCs/>
                <w:color w:val="000000"/>
                <w:sz w:val="18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/>
                <w:iCs/>
                <w:color w:val="000000"/>
                <w:sz w:val="18"/>
                <w:lang w:bidi="pl-PL"/>
              </w:rPr>
              <w:t>4.</w:t>
            </w:r>
          </w:p>
        </w:tc>
        <w:tc>
          <w:tcPr>
            <w:tcW w:w="1134" w:type="dxa"/>
            <w:vAlign w:val="center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/>
                <w:iCs/>
                <w:color w:val="000000"/>
                <w:sz w:val="18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/>
                <w:iCs/>
                <w:color w:val="000000"/>
                <w:sz w:val="18"/>
                <w:lang w:bidi="pl-PL"/>
              </w:rPr>
              <w:t>5.</w:t>
            </w:r>
          </w:p>
        </w:tc>
        <w:tc>
          <w:tcPr>
            <w:tcW w:w="1134" w:type="dxa"/>
            <w:vAlign w:val="center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/>
                <w:iCs/>
                <w:color w:val="000000"/>
                <w:sz w:val="18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/>
                <w:iCs/>
                <w:color w:val="000000"/>
                <w:sz w:val="18"/>
                <w:lang w:bidi="pl-PL"/>
              </w:rPr>
              <w:t>6.</w:t>
            </w:r>
          </w:p>
        </w:tc>
        <w:tc>
          <w:tcPr>
            <w:tcW w:w="1134" w:type="dxa"/>
            <w:vAlign w:val="center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/>
                <w:iCs/>
                <w:color w:val="000000"/>
                <w:sz w:val="18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/>
                <w:iCs/>
                <w:color w:val="000000"/>
                <w:sz w:val="18"/>
                <w:lang w:bidi="pl-PL"/>
              </w:rPr>
              <w:t>7.</w:t>
            </w:r>
          </w:p>
        </w:tc>
        <w:tc>
          <w:tcPr>
            <w:tcW w:w="1276" w:type="dxa"/>
            <w:vAlign w:val="center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/>
                <w:iCs/>
                <w:color w:val="000000"/>
                <w:sz w:val="18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/>
                <w:iCs/>
                <w:color w:val="000000"/>
                <w:sz w:val="18"/>
                <w:lang w:bidi="pl-PL"/>
              </w:rPr>
              <w:t>8.</w:t>
            </w:r>
          </w:p>
        </w:tc>
        <w:tc>
          <w:tcPr>
            <w:tcW w:w="709" w:type="dxa"/>
            <w:vAlign w:val="center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/>
                <w:iCs/>
                <w:color w:val="000000"/>
                <w:sz w:val="18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/>
                <w:iCs/>
                <w:color w:val="000000"/>
                <w:sz w:val="18"/>
                <w:lang w:bidi="pl-PL"/>
              </w:rPr>
              <w:t>9.</w:t>
            </w:r>
          </w:p>
        </w:tc>
        <w:tc>
          <w:tcPr>
            <w:tcW w:w="1134" w:type="dxa"/>
            <w:vAlign w:val="center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/>
                <w:iCs/>
                <w:color w:val="000000"/>
                <w:sz w:val="18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/>
                <w:iCs/>
                <w:color w:val="000000"/>
                <w:sz w:val="18"/>
                <w:lang w:bidi="pl-PL"/>
              </w:rPr>
              <w:t>10.</w:t>
            </w:r>
          </w:p>
        </w:tc>
        <w:tc>
          <w:tcPr>
            <w:tcW w:w="1382" w:type="dxa"/>
            <w:vAlign w:val="center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/>
                <w:iCs/>
                <w:color w:val="000000"/>
                <w:sz w:val="18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/>
                <w:iCs/>
                <w:color w:val="000000"/>
                <w:sz w:val="18"/>
                <w:lang w:bidi="pl-PL"/>
              </w:rPr>
              <w:t>11.</w:t>
            </w:r>
          </w:p>
        </w:tc>
      </w:tr>
      <w:tr w:rsidR="0050462B" w:rsidRPr="0050462B" w:rsidTr="004E18C5">
        <w:trPr>
          <w:trHeight w:val="794"/>
        </w:trPr>
        <w:tc>
          <w:tcPr>
            <w:tcW w:w="988" w:type="dxa"/>
            <w:vMerge w:val="restart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  <w:t>A</w:t>
            </w:r>
          </w:p>
        </w:tc>
        <w:tc>
          <w:tcPr>
            <w:tcW w:w="425" w:type="dxa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B" w:rsidRPr="0050462B" w:rsidRDefault="0050462B" w:rsidP="0050462B">
            <w:pPr>
              <w:suppressAutoHyphens/>
              <w:spacing w:line="276" w:lineRule="auto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Calibri" w:hAnsi="Calibri" w:cs="Calibri"/>
              </w:rPr>
              <w:t>tłumaczenia pisemne zwykłe w trybie zwykłym z języka obcego na język polski dla całej grupy językowej A</w:t>
            </w:r>
          </w:p>
        </w:tc>
        <w:tc>
          <w:tcPr>
            <w:tcW w:w="1276" w:type="dxa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Cs/>
                <w:color w:val="000000"/>
                <w:lang w:bidi="pl-PL"/>
              </w:rPr>
              <w:t>zwykły</w:t>
            </w:r>
          </w:p>
        </w:tc>
        <w:tc>
          <w:tcPr>
            <w:tcW w:w="1134" w:type="dxa"/>
            <w:hideMark/>
          </w:tcPr>
          <w:p w:rsidR="0050462B" w:rsidRPr="0050462B" w:rsidRDefault="0050462B" w:rsidP="0050462B">
            <w:pPr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Cs/>
                <w:color w:val="000000"/>
                <w:lang w:bidi="pl-PL"/>
              </w:rPr>
              <w:t>strona obliczeniowa</w:t>
            </w:r>
          </w:p>
        </w:tc>
        <w:tc>
          <w:tcPr>
            <w:tcW w:w="1134" w:type="dxa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Cs/>
                <w:color w:val="000000"/>
                <w:lang w:bidi="pl-PL"/>
              </w:rPr>
              <w:t>5.000</w:t>
            </w:r>
          </w:p>
        </w:tc>
        <w:tc>
          <w:tcPr>
            <w:tcW w:w="1134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1276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709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1134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1382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</w:tr>
      <w:tr w:rsidR="0050462B" w:rsidRPr="0050462B" w:rsidTr="004E18C5">
        <w:trPr>
          <w:trHeight w:val="794"/>
        </w:trPr>
        <w:tc>
          <w:tcPr>
            <w:tcW w:w="988" w:type="dxa"/>
            <w:vMerge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</w:pPr>
          </w:p>
        </w:tc>
        <w:tc>
          <w:tcPr>
            <w:tcW w:w="425" w:type="dxa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B" w:rsidRPr="0050462B" w:rsidRDefault="0050462B" w:rsidP="0050462B">
            <w:pPr>
              <w:suppressAutoHyphens/>
              <w:spacing w:line="276" w:lineRule="auto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Calibri" w:hAnsi="Calibri" w:cs="Calibri"/>
              </w:rPr>
              <w:t>tłumaczenia pisemne zwykłe w trybie zwykłym z języka polskiego na język obcy dla całej grupy językowej A</w:t>
            </w:r>
          </w:p>
        </w:tc>
        <w:tc>
          <w:tcPr>
            <w:tcW w:w="1276" w:type="dxa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Cs/>
                <w:color w:val="000000"/>
                <w:lang w:bidi="pl-PL"/>
              </w:rPr>
              <w:t>zwykły</w:t>
            </w:r>
          </w:p>
        </w:tc>
        <w:tc>
          <w:tcPr>
            <w:tcW w:w="1134" w:type="dxa"/>
            <w:hideMark/>
          </w:tcPr>
          <w:p w:rsidR="0050462B" w:rsidRPr="0050462B" w:rsidRDefault="0050462B" w:rsidP="0050462B">
            <w:pPr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Cs/>
                <w:color w:val="000000"/>
                <w:lang w:bidi="pl-PL"/>
              </w:rPr>
              <w:t>strona obliczeniowa</w:t>
            </w:r>
          </w:p>
        </w:tc>
        <w:tc>
          <w:tcPr>
            <w:tcW w:w="1134" w:type="dxa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Cs/>
                <w:color w:val="000000"/>
                <w:lang w:bidi="pl-PL"/>
              </w:rPr>
              <w:t>11.000</w:t>
            </w:r>
          </w:p>
        </w:tc>
        <w:tc>
          <w:tcPr>
            <w:tcW w:w="1134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1276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709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1134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1382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</w:tr>
      <w:tr w:rsidR="0050462B" w:rsidRPr="0050462B" w:rsidTr="004E18C5">
        <w:trPr>
          <w:trHeight w:val="794"/>
        </w:trPr>
        <w:tc>
          <w:tcPr>
            <w:tcW w:w="988" w:type="dxa"/>
            <w:vMerge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</w:pPr>
          </w:p>
        </w:tc>
        <w:tc>
          <w:tcPr>
            <w:tcW w:w="425" w:type="dxa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B" w:rsidRPr="0050462B" w:rsidRDefault="0050462B" w:rsidP="0050462B">
            <w:pPr>
              <w:suppressAutoHyphens/>
              <w:spacing w:line="276" w:lineRule="auto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Calibri" w:hAnsi="Calibri" w:cs="Calibri"/>
              </w:rPr>
              <w:t>tłumaczenia pisemne zwykłe w trybie ekspresowym z języka obcego na język polski dla całej grupy językowej A</w:t>
            </w:r>
          </w:p>
        </w:tc>
        <w:tc>
          <w:tcPr>
            <w:tcW w:w="1276" w:type="dxa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Cs/>
                <w:color w:val="000000"/>
                <w:lang w:bidi="pl-PL"/>
              </w:rPr>
              <w:t>ekspresowy</w:t>
            </w:r>
          </w:p>
        </w:tc>
        <w:tc>
          <w:tcPr>
            <w:tcW w:w="1134" w:type="dxa"/>
            <w:hideMark/>
          </w:tcPr>
          <w:p w:rsidR="0050462B" w:rsidRPr="0050462B" w:rsidRDefault="0050462B" w:rsidP="0050462B">
            <w:pPr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Cs/>
                <w:color w:val="000000"/>
                <w:lang w:bidi="pl-PL"/>
              </w:rPr>
              <w:t>strona obliczeniowa</w:t>
            </w:r>
          </w:p>
        </w:tc>
        <w:tc>
          <w:tcPr>
            <w:tcW w:w="1134" w:type="dxa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Cs/>
                <w:color w:val="000000"/>
                <w:lang w:bidi="pl-PL"/>
              </w:rPr>
              <w:t>1.500</w:t>
            </w:r>
          </w:p>
        </w:tc>
        <w:tc>
          <w:tcPr>
            <w:tcW w:w="1134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1276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709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1134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1382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</w:tr>
      <w:tr w:rsidR="0050462B" w:rsidRPr="0050462B" w:rsidTr="004E18C5">
        <w:trPr>
          <w:trHeight w:val="794"/>
        </w:trPr>
        <w:tc>
          <w:tcPr>
            <w:tcW w:w="988" w:type="dxa"/>
            <w:vMerge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</w:pPr>
          </w:p>
        </w:tc>
        <w:tc>
          <w:tcPr>
            <w:tcW w:w="425" w:type="dxa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B" w:rsidRPr="0050462B" w:rsidRDefault="0050462B" w:rsidP="0050462B">
            <w:pPr>
              <w:suppressAutoHyphens/>
              <w:spacing w:line="276" w:lineRule="auto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Calibri" w:hAnsi="Calibri" w:cs="Calibri"/>
              </w:rPr>
              <w:t>tłumaczenia pisemne zwykłe w trybie ekspresowym z języka polskiego na język obcy dla całej grupy językowej A</w:t>
            </w:r>
          </w:p>
        </w:tc>
        <w:tc>
          <w:tcPr>
            <w:tcW w:w="1276" w:type="dxa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Cs/>
                <w:color w:val="000000"/>
                <w:lang w:bidi="pl-PL"/>
              </w:rPr>
              <w:t>ekspresowy</w:t>
            </w:r>
          </w:p>
        </w:tc>
        <w:tc>
          <w:tcPr>
            <w:tcW w:w="1134" w:type="dxa"/>
            <w:hideMark/>
          </w:tcPr>
          <w:p w:rsidR="0050462B" w:rsidRPr="0050462B" w:rsidRDefault="0050462B" w:rsidP="0050462B">
            <w:pPr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Cs/>
                <w:color w:val="000000"/>
                <w:lang w:bidi="pl-PL"/>
              </w:rPr>
              <w:t>strona obliczeniowa</w:t>
            </w:r>
          </w:p>
        </w:tc>
        <w:tc>
          <w:tcPr>
            <w:tcW w:w="1134" w:type="dxa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Cs/>
                <w:color w:val="000000"/>
                <w:lang w:bidi="pl-PL"/>
              </w:rPr>
              <w:t>1.200</w:t>
            </w:r>
          </w:p>
        </w:tc>
        <w:tc>
          <w:tcPr>
            <w:tcW w:w="1134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1276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709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1134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1382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</w:tr>
      <w:tr w:rsidR="0050462B" w:rsidRPr="0050462B" w:rsidTr="004E18C5">
        <w:trPr>
          <w:trHeight w:val="794"/>
        </w:trPr>
        <w:tc>
          <w:tcPr>
            <w:tcW w:w="988" w:type="dxa"/>
            <w:vMerge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</w:pPr>
          </w:p>
        </w:tc>
        <w:tc>
          <w:tcPr>
            <w:tcW w:w="425" w:type="dxa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B" w:rsidRPr="0050462B" w:rsidRDefault="0050462B" w:rsidP="0050462B">
            <w:pPr>
              <w:suppressAutoHyphens/>
              <w:spacing w:line="276" w:lineRule="auto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Calibri" w:hAnsi="Calibri" w:cs="Calibri"/>
              </w:rPr>
              <w:t>weryfikacja przez native speakera tłumaczeń pisemnych zwykłych w trybie zwykłym dla całej grupy językowej A</w:t>
            </w:r>
          </w:p>
        </w:tc>
        <w:tc>
          <w:tcPr>
            <w:tcW w:w="1276" w:type="dxa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Cs/>
                <w:color w:val="000000"/>
                <w:lang w:bidi="pl-PL"/>
              </w:rPr>
              <w:t>zwykły</w:t>
            </w:r>
          </w:p>
        </w:tc>
        <w:tc>
          <w:tcPr>
            <w:tcW w:w="1134" w:type="dxa"/>
            <w:hideMark/>
          </w:tcPr>
          <w:p w:rsidR="0050462B" w:rsidRPr="0050462B" w:rsidRDefault="0050462B" w:rsidP="0050462B">
            <w:pPr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Cs/>
                <w:color w:val="000000"/>
                <w:lang w:bidi="pl-PL"/>
              </w:rPr>
              <w:t>strona obliczeniowa</w:t>
            </w:r>
          </w:p>
        </w:tc>
        <w:tc>
          <w:tcPr>
            <w:tcW w:w="1134" w:type="dxa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Cs/>
                <w:color w:val="000000"/>
                <w:lang w:bidi="pl-PL"/>
              </w:rPr>
              <w:t>600</w:t>
            </w:r>
          </w:p>
        </w:tc>
        <w:tc>
          <w:tcPr>
            <w:tcW w:w="1134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1276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709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1134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1382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</w:tr>
      <w:tr w:rsidR="0050462B" w:rsidRPr="0050462B" w:rsidTr="004E18C5">
        <w:trPr>
          <w:trHeight w:val="794"/>
        </w:trPr>
        <w:tc>
          <w:tcPr>
            <w:tcW w:w="988" w:type="dxa"/>
            <w:vMerge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</w:pPr>
          </w:p>
        </w:tc>
        <w:tc>
          <w:tcPr>
            <w:tcW w:w="425" w:type="dxa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B" w:rsidRPr="0050462B" w:rsidRDefault="0050462B" w:rsidP="0050462B">
            <w:pPr>
              <w:suppressAutoHyphens/>
              <w:spacing w:line="276" w:lineRule="auto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Calibri" w:hAnsi="Calibri" w:cs="Calibri"/>
              </w:rPr>
              <w:t>weryfikacja przez native speakera tłumaczeń pisemnych zwykłych w trybie ekspresowym dla całej grupy językowej A</w:t>
            </w:r>
          </w:p>
        </w:tc>
        <w:tc>
          <w:tcPr>
            <w:tcW w:w="1276" w:type="dxa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Cs/>
                <w:color w:val="000000"/>
                <w:lang w:bidi="pl-PL"/>
              </w:rPr>
              <w:t>ekspresowy</w:t>
            </w:r>
          </w:p>
        </w:tc>
        <w:tc>
          <w:tcPr>
            <w:tcW w:w="1134" w:type="dxa"/>
            <w:hideMark/>
          </w:tcPr>
          <w:p w:rsidR="0050462B" w:rsidRPr="0050462B" w:rsidRDefault="0050462B" w:rsidP="0050462B">
            <w:pPr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Cs/>
                <w:color w:val="000000"/>
                <w:lang w:bidi="pl-PL"/>
              </w:rPr>
              <w:t>strona obliczeniowa</w:t>
            </w:r>
          </w:p>
        </w:tc>
        <w:tc>
          <w:tcPr>
            <w:tcW w:w="1134" w:type="dxa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Cs/>
                <w:color w:val="000000"/>
                <w:lang w:bidi="pl-PL"/>
              </w:rPr>
              <w:t>200</w:t>
            </w:r>
          </w:p>
        </w:tc>
        <w:tc>
          <w:tcPr>
            <w:tcW w:w="1134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1276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709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1134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1382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</w:tr>
      <w:tr w:rsidR="0050462B" w:rsidRPr="0050462B" w:rsidTr="004E18C5">
        <w:trPr>
          <w:trHeight w:val="794"/>
        </w:trPr>
        <w:tc>
          <w:tcPr>
            <w:tcW w:w="988" w:type="dxa"/>
            <w:vMerge w:val="restart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  <w:t>B</w:t>
            </w:r>
          </w:p>
        </w:tc>
        <w:tc>
          <w:tcPr>
            <w:tcW w:w="425" w:type="dxa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B" w:rsidRPr="0050462B" w:rsidRDefault="0050462B" w:rsidP="0050462B">
            <w:pPr>
              <w:suppressAutoHyphens/>
              <w:spacing w:line="276" w:lineRule="auto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Calibri" w:hAnsi="Calibri" w:cs="Calibri"/>
              </w:rPr>
              <w:t xml:space="preserve">tłumaczenia pisemne zwykłe w trybie zwykłym z języka obcego na język polski dla całej grupy językowej B </w:t>
            </w:r>
          </w:p>
        </w:tc>
        <w:tc>
          <w:tcPr>
            <w:tcW w:w="1276" w:type="dxa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Cs/>
                <w:color w:val="000000"/>
                <w:lang w:bidi="pl-PL"/>
              </w:rPr>
              <w:t>zwykły</w:t>
            </w:r>
          </w:p>
        </w:tc>
        <w:tc>
          <w:tcPr>
            <w:tcW w:w="1134" w:type="dxa"/>
            <w:hideMark/>
          </w:tcPr>
          <w:p w:rsidR="0050462B" w:rsidRPr="0050462B" w:rsidRDefault="0050462B" w:rsidP="0050462B">
            <w:pPr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Cs/>
                <w:color w:val="000000"/>
                <w:lang w:bidi="pl-PL"/>
              </w:rPr>
              <w:t>strona obliczeniowa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Cs/>
                <w:color w:val="000000"/>
                <w:lang w:bidi="pl-PL"/>
              </w:rPr>
              <w:t>1.500</w:t>
            </w:r>
          </w:p>
        </w:tc>
        <w:tc>
          <w:tcPr>
            <w:tcW w:w="1134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1276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709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1134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1382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</w:tr>
      <w:tr w:rsidR="0050462B" w:rsidRPr="0050462B" w:rsidTr="004E18C5">
        <w:trPr>
          <w:trHeight w:val="794"/>
        </w:trPr>
        <w:tc>
          <w:tcPr>
            <w:tcW w:w="988" w:type="dxa"/>
            <w:vMerge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</w:pPr>
          </w:p>
        </w:tc>
        <w:tc>
          <w:tcPr>
            <w:tcW w:w="425" w:type="dxa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B" w:rsidRPr="0050462B" w:rsidRDefault="0050462B" w:rsidP="0050462B">
            <w:pPr>
              <w:suppressAutoHyphens/>
              <w:spacing w:line="276" w:lineRule="auto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Calibri" w:hAnsi="Calibri" w:cs="Calibri"/>
              </w:rPr>
              <w:t xml:space="preserve">tłumaczenia pisemne zwykłe w trybie zwykłym z języka polskiego na język obcy dla całej grupy językowej B </w:t>
            </w:r>
          </w:p>
        </w:tc>
        <w:tc>
          <w:tcPr>
            <w:tcW w:w="1276" w:type="dxa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Cs/>
                <w:color w:val="000000"/>
                <w:lang w:bidi="pl-PL"/>
              </w:rPr>
              <w:t>zwykły</w:t>
            </w:r>
          </w:p>
        </w:tc>
        <w:tc>
          <w:tcPr>
            <w:tcW w:w="1134" w:type="dxa"/>
            <w:hideMark/>
          </w:tcPr>
          <w:p w:rsidR="0050462B" w:rsidRPr="0050462B" w:rsidRDefault="0050462B" w:rsidP="0050462B">
            <w:pPr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Cs/>
                <w:color w:val="000000"/>
                <w:lang w:bidi="pl-PL"/>
              </w:rPr>
              <w:t>strona obliczeniowa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Cs/>
                <w:color w:val="000000"/>
                <w:lang w:bidi="pl-PL"/>
              </w:rPr>
              <w:t>2.000</w:t>
            </w:r>
          </w:p>
        </w:tc>
        <w:tc>
          <w:tcPr>
            <w:tcW w:w="1134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1276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709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1134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1382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</w:tr>
      <w:tr w:rsidR="0050462B" w:rsidRPr="0050462B" w:rsidTr="004E18C5">
        <w:trPr>
          <w:trHeight w:val="794"/>
        </w:trPr>
        <w:tc>
          <w:tcPr>
            <w:tcW w:w="988" w:type="dxa"/>
            <w:vMerge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</w:pPr>
          </w:p>
        </w:tc>
        <w:tc>
          <w:tcPr>
            <w:tcW w:w="425" w:type="dxa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B" w:rsidRPr="0050462B" w:rsidRDefault="0050462B" w:rsidP="0050462B">
            <w:pPr>
              <w:suppressAutoHyphens/>
              <w:spacing w:line="276" w:lineRule="auto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Calibri" w:hAnsi="Calibri" w:cs="Calibri"/>
              </w:rPr>
              <w:t>tłumaczenia pisemne zwykłe w trybie ekspresowym z języka obcego na język polski dla całej grupy językowej B</w:t>
            </w:r>
          </w:p>
        </w:tc>
        <w:tc>
          <w:tcPr>
            <w:tcW w:w="1276" w:type="dxa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Cs/>
                <w:color w:val="000000"/>
                <w:lang w:bidi="pl-PL"/>
              </w:rPr>
              <w:t>ekspresowy</w:t>
            </w:r>
          </w:p>
        </w:tc>
        <w:tc>
          <w:tcPr>
            <w:tcW w:w="1134" w:type="dxa"/>
            <w:hideMark/>
          </w:tcPr>
          <w:p w:rsidR="0050462B" w:rsidRPr="0050462B" w:rsidRDefault="0050462B" w:rsidP="0050462B">
            <w:pPr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Cs/>
                <w:color w:val="000000"/>
                <w:lang w:bidi="pl-PL"/>
              </w:rPr>
              <w:t>strona obliczeniowa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Cs/>
                <w:color w:val="000000"/>
                <w:lang w:bidi="pl-PL"/>
              </w:rPr>
              <w:t>500</w:t>
            </w:r>
          </w:p>
        </w:tc>
        <w:tc>
          <w:tcPr>
            <w:tcW w:w="1134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1276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709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1134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1382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</w:tr>
      <w:tr w:rsidR="0050462B" w:rsidRPr="0050462B" w:rsidTr="004E18C5">
        <w:trPr>
          <w:trHeight w:val="794"/>
        </w:trPr>
        <w:tc>
          <w:tcPr>
            <w:tcW w:w="988" w:type="dxa"/>
            <w:vMerge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</w:pPr>
          </w:p>
        </w:tc>
        <w:tc>
          <w:tcPr>
            <w:tcW w:w="425" w:type="dxa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B" w:rsidRPr="0050462B" w:rsidRDefault="0050462B" w:rsidP="0050462B">
            <w:pPr>
              <w:suppressAutoHyphens/>
              <w:spacing w:line="276" w:lineRule="auto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Calibri" w:hAnsi="Calibri" w:cs="Calibri"/>
              </w:rPr>
              <w:t>tłumaczenia pisemne zwykłe w trybie ekspresowym z języka polskiego na język obcy dla całej grupy językowej B</w:t>
            </w:r>
          </w:p>
        </w:tc>
        <w:tc>
          <w:tcPr>
            <w:tcW w:w="1276" w:type="dxa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Cs/>
                <w:color w:val="000000"/>
                <w:lang w:bidi="pl-PL"/>
              </w:rPr>
              <w:t>ekspresowy</w:t>
            </w:r>
          </w:p>
        </w:tc>
        <w:tc>
          <w:tcPr>
            <w:tcW w:w="1134" w:type="dxa"/>
            <w:hideMark/>
          </w:tcPr>
          <w:p w:rsidR="0050462B" w:rsidRPr="0050462B" w:rsidRDefault="0050462B" w:rsidP="0050462B">
            <w:pPr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Cs/>
                <w:color w:val="000000"/>
                <w:lang w:bidi="pl-PL"/>
              </w:rPr>
              <w:t>strona obliczeniowa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Cs/>
                <w:color w:val="000000"/>
                <w:lang w:bidi="pl-PL"/>
              </w:rPr>
              <w:t>500</w:t>
            </w:r>
          </w:p>
        </w:tc>
        <w:tc>
          <w:tcPr>
            <w:tcW w:w="1134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1276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709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1134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1382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</w:tr>
      <w:tr w:rsidR="0050462B" w:rsidRPr="0050462B" w:rsidTr="004E18C5">
        <w:trPr>
          <w:trHeight w:val="794"/>
        </w:trPr>
        <w:tc>
          <w:tcPr>
            <w:tcW w:w="988" w:type="dxa"/>
            <w:vMerge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</w:pPr>
          </w:p>
        </w:tc>
        <w:tc>
          <w:tcPr>
            <w:tcW w:w="425" w:type="dxa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B" w:rsidRPr="0050462B" w:rsidRDefault="0050462B" w:rsidP="0050462B">
            <w:pPr>
              <w:suppressAutoHyphens/>
              <w:spacing w:line="276" w:lineRule="auto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Calibri" w:hAnsi="Calibri" w:cs="Calibri"/>
              </w:rPr>
              <w:t>weryfikacja przez native speakera tłumaczeń pisemnych zwykłych dla całej grupy językowej B</w:t>
            </w:r>
          </w:p>
        </w:tc>
        <w:tc>
          <w:tcPr>
            <w:tcW w:w="1276" w:type="dxa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Cs/>
                <w:color w:val="000000"/>
                <w:lang w:bidi="pl-PL"/>
              </w:rPr>
              <w:t>zwykły</w:t>
            </w:r>
          </w:p>
        </w:tc>
        <w:tc>
          <w:tcPr>
            <w:tcW w:w="1134" w:type="dxa"/>
            <w:hideMark/>
          </w:tcPr>
          <w:p w:rsidR="0050462B" w:rsidRPr="0050462B" w:rsidRDefault="0050462B" w:rsidP="0050462B">
            <w:pPr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Cs/>
                <w:color w:val="000000"/>
                <w:lang w:bidi="pl-PL"/>
              </w:rPr>
              <w:t>strona obliczeniowa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Cs/>
                <w:color w:val="000000"/>
                <w:lang w:bidi="pl-PL"/>
              </w:rPr>
              <w:t>600</w:t>
            </w:r>
          </w:p>
        </w:tc>
        <w:tc>
          <w:tcPr>
            <w:tcW w:w="1134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1276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709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1134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1382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</w:tr>
      <w:tr w:rsidR="0050462B" w:rsidRPr="0050462B" w:rsidTr="004E18C5">
        <w:trPr>
          <w:trHeight w:val="794"/>
        </w:trPr>
        <w:tc>
          <w:tcPr>
            <w:tcW w:w="988" w:type="dxa"/>
            <w:vMerge w:val="restart"/>
            <w:noWrap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  <w:t>język angielski</w:t>
            </w:r>
          </w:p>
        </w:tc>
        <w:tc>
          <w:tcPr>
            <w:tcW w:w="425" w:type="dxa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Calibri" w:hAnsi="Calibri" w:cs="Calibri"/>
              </w:rPr>
              <w:t>tłumaczenia pisemne przysięgłe w trybie zwykłym z języka angielskiego na język polski</w:t>
            </w:r>
          </w:p>
        </w:tc>
        <w:tc>
          <w:tcPr>
            <w:tcW w:w="1276" w:type="dxa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Cs/>
                <w:color w:val="000000"/>
                <w:lang w:bidi="pl-PL"/>
              </w:rPr>
              <w:t>zwykły</w:t>
            </w:r>
          </w:p>
        </w:tc>
        <w:tc>
          <w:tcPr>
            <w:tcW w:w="1134" w:type="dxa"/>
            <w:hideMark/>
          </w:tcPr>
          <w:p w:rsidR="0050462B" w:rsidRPr="0050462B" w:rsidRDefault="0050462B" w:rsidP="0050462B">
            <w:pPr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Cs/>
                <w:color w:val="000000"/>
                <w:lang w:bidi="pl-PL"/>
              </w:rPr>
              <w:t>strona obliczeniowa</w:t>
            </w:r>
          </w:p>
        </w:tc>
        <w:tc>
          <w:tcPr>
            <w:tcW w:w="1134" w:type="dxa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Cs/>
                <w:color w:val="000000"/>
                <w:lang w:bidi="pl-PL"/>
              </w:rPr>
              <w:t>100</w:t>
            </w:r>
          </w:p>
        </w:tc>
        <w:tc>
          <w:tcPr>
            <w:tcW w:w="1134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1276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709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1134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1382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</w:tr>
      <w:tr w:rsidR="0050462B" w:rsidRPr="0050462B" w:rsidTr="004E18C5">
        <w:trPr>
          <w:trHeight w:val="794"/>
        </w:trPr>
        <w:tc>
          <w:tcPr>
            <w:tcW w:w="988" w:type="dxa"/>
            <w:vMerge/>
            <w:noWrap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</w:pPr>
          </w:p>
        </w:tc>
        <w:tc>
          <w:tcPr>
            <w:tcW w:w="425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B" w:rsidRPr="0050462B" w:rsidRDefault="0050462B" w:rsidP="0050462B">
            <w:pPr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 w:rsidRPr="0050462B">
              <w:rPr>
                <w:rFonts w:ascii="Calibri" w:eastAsia="Calibri" w:hAnsi="Calibri" w:cs="Calibri"/>
              </w:rPr>
              <w:t>tłumaczenia pisemne przysięgłe w trybie ekspresowym z języka angielskiego na język polski</w:t>
            </w:r>
          </w:p>
        </w:tc>
        <w:tc>
          <w:tcPr>
            <w:tcW w:w="1276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Cs/>
                <w:color w:val="000000"/>
                <w:lang w:bidi="pl-PL"/>
              </w:rPr>
              <w:t>ekspresowy</w:t>
            </w:r>
          </w:p>
        </w:tc>
        <w:tc>
          <w:tcPr>
            <w:tcW w:w="1134" w:type="dxa"/>
          </w:tcPr>
          <w:p w:rsidR="0050462B" w:rsidRPr="0050462B" w:rsidRDefault="0050462B" w:rsidP="0050462B">
            <w:pPr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Cs/>
                <w:color w:val="000000"/>
                <w:lang w:bidi="pl-PL"/>
              </w:rPr>
              <w:t>strona obliczeniowa</w:t>
            </w:r>
          </w:p>
        </w:tc>
        <w:tc>
          <w:tcPr>
            <w:tcW w:w="1134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Cs/>
                <w:color w:val="000000"/>
                <w:lang w:bidi="pl-PL"/>
              </w:rPr>
              <w:t>100</w:t>
            </w:r>
          </w:p>
        </w:tc>
        <w:tc>
          <w:tcPr>
            <w:tcW w:w="1134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1276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709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1134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1382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</w:tr>
      <w:tr w:rsidR="0050462B" w:rsidRPr="0050462B" w:rsidTr="004E18C5">
        <w:trPr>
          <w:trHeight w:val="794"/>
        </w:trPr>
        <w:tc>
          <w:tcPr>
            <w:tcW w:w="988" w:type="dxa"/>
            <w:vMerge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</w:pPr>
          </w:p>
        </w:tc>
        <w:tc>
          <w:tcPr>
            <w:tcW w:w="425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B" w:rsidRPr="0050462B" w:rsidRDefault="0050462B" w:rsidP="0050462B">
            <w:pPr>
              <w:suppressAutoHyphens/>
              <w:spacing w:line="276" w:lineRule="auto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Calibri" w:hAnsi="Calibri" w:cs="Calibri"/>
              </w:rPr>
              <w:t>tłumaczenia pisemne przysięgłe w trybie zwykłym z języka polskiego na język angielski</w:t>
            </w:r>
          </w:p>
        </w:tc>
        <w:tc>
          <w:tcPr>
            <w:tcW w:w="1276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Cs/>
                <w:color w:val="000000"/>
                <w:lang w:bidi="pl-PL"/>
              </w:rPr>
              <w:t>zwykły</w:t>
            </w:r>
          </w:p>
        </w:tc>
        <w:tc>
          <w:tcPr>
            <w:tcW w:w="1134" w:type="dxa"/>
          </w:tcPr>
          <w:p w:rsidR="0050462B" w:rsidRPr="0050462B" w:rsidRDefault="0050462B" w:rsidP="0050462B">
            <w:pPr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Cs/>
                <w:color w:val="000000"/>
                <w:lang w:bidi="pl-PL"/>
              </w:rPr>
              <w:t>strona obliczeniowa</w:t>
            </w:r>
          </w:p>
        </w:tc>
        <w:tc>
          <w:tcPr>
            <w:tcW w:w="1134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Cs/>
                <w:color w:val="000000"/>
                <w:lang w:bidi="pl-PL"/>
              </w:rPr>
              <w:t>100</w:t>
            </w:r>
          </w:p>
        </w:tc>
        <w:tc>
          <w:tcPr>
            <w:tcW w:w="1134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1276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709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1134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1382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</w:tr>
      <w:tr w:rsidR="0050462B" w:rsidRPr="0050462B" w:rsidTr="004E18C5">
        <w:trPr>
          <w:trHeight w:val="794"/>
        </w:trPr>
        <w:tc>
          <w:tcPr>
            <w:tcW w:w="988" w:type="dxa"/>
            <w:vMerge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</w:pPr>
          </w:p>
        </w:tc>
        <w:tc>
          <w:tcPr>
            <w:tcW w:w="425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B" w:rsidRPr="0050462B" w:rsidRDefault="0050462B" w:rsidP="0050462B">
            <w:pPr>
              <w:suppressAutoHyphens/>
              <w:spacing w:line="276" w:lineRule="auto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Calibri" w:hAnsi="Calibri" w:cs="Calibri"/>
              </w:rPr>
              <w:t>tłumaczenia pisemne przysięgłe w trybie ekspresowym z języka polskiego na język angielski</w:t>
            </w:r>
          </w:p>
        </w:tc>
        <w:tc>
          <w:tcPr>
            <w:tcW w:w="1276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Cs/>
                <w:color w:val="000000"/>
                <w:lang w:bidi="pl-PL"/>
              </w:rPr>
              <w:t>ekspresowy</w:t>
            </w:r>
          </w:p>
        </w:tc>
        <w:tc>
          <w:tcPr>
            <w:tcW w:w="1134" w:type="dxa"/>
          </w:tcPr>
          <w:p w:rsidR="0050462B" w:rsidRPr="0050462B" w:rsidRDefault="0050462B" w:rsidP="0050462B">
            <w:pPr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Cs/>
                <w:color w:val="000000"/>
                <w:lang w:bidi="pl-PL"/>
              </w:rPr>
              <w:t>strona obliczeniowa</w:t>
            </w:r>
          </w:p>
        </w:tc>
        <w:tc>
          <w:tcPr>
            <w:tcW w:w="1134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Cs/>
                <w:color w:val="000000"/>
                <w:lang w:bidi="pl-PL"/>
              </w:rPr>
              <w:t>100</w:t>
            </w:r>
          </w:p>
        </w:tc>
        <w:tc>
          <w:tcPr>
            <w:tcW w:w="1134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1276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709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1134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1382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</w:tr>
      <w:tr w:rsidR="0050462B" w:rsidRPr="0050462B" w:rsidTr="004E18C5">
        <w:trPr>
          <w:trHeight w:val="510"/>
        </w:trPr>
        <w:tc>
          <w:tcPr>
            <w:tcW w:w="988" w:type="dxa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  <w:t>A, B</w:t>
            </w:r>
          </w:p>
        </w:tc>
        <w:tc>
          <w:tcPr>
            <w:tcW w:w="425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  <w:t>16</w:t>
            </w:r>
          </w:p>
        </w:tc>
        <w:tc>
          <w:tcPr>
            <w:tcW w:w="3685" w:type="dxa"/>
          </w:tcPr>
          <w:p w:rsidR="0050462B" w:rsidRPr="0050462B" w:rsidRDefault="0050462B" w:rsidP="0050462B">
            <w:pPr>
              <w:suppressAutoHyphens/>
              <w:spacing w:line="276" w:lineRule="auto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Cs/>
                <w:color w:val="000000"/>
                <w:lang w:bidi="pl-PL"/>
              </w:rPr>
              <w:t>weryfikacja tłumaczenia przygotowanego przez Zamawiającego w trybie zwykłym</w:t>
            </w:r>
          </w:p>
        </w:tc>
        <w:tc>
          <w:tcPr>
            <w:tcW w:w="1276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Cs/>
                <w:color w:val="000000"/>
                <w:lang w:bidi="pl-PL"/>
              </w:rPr>
              <w:t>zwykły</w:t>
            </w:r>
          </w:p>
        </w:tc>
        <w:tc>
          <w:tcPr>
            <w:tcW w:w="1134" w:type="dxa"/>
          </w:tcPr>
          <w:p w:rsidR="0050462B" w:rsidRPr="0050462B" w:rsidRDefault="0050462B" w:rsidP="0050462B">
            <w:pPr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Cs/>
                <w:color w:val="000000"/>
                <w:lang w:bidi="pl-PL"/>
              </w:rPr>
              <w:t>strona obliczeniowa</w:t>
            </w:r>
          </w:p>
        </w:tc>
        <w:tc>
          <w:tcPr>
            <w:tcW w:w="1134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Cs/>
                <w:color w:val="000000"/>
                <w:lang w:bidi="pl-PL"/>
              </w:rPr>
              <w:t>800</w:t>
            </w:r>
          </w:p>
        </w:tc>
        <w:tc>
          <w:tcPr>
            <w:tcW w:w="1134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1276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709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1134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1382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</w:tr>
      <w:tr w:rsidR="0050462B" w:rsidRPr="0050462B" w:rsidTr="004E18C5">
        <w:trPr>
          <w:trHeight w:val="510"/>
        </w:trPr>
        <w:tc>
          <w:tcPr>
            <w:tcW w:w="988" w:type="dxa"/>
            <w:vMerge w:val="restart"/>
            <w:noWrap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  <w:t>A, B</w:t>
            </w:r>
          </w:p>
        </w:tc>
        <w:tc>
          <w:tcPr>
            <w:tcW w:w="425" w:type="dxa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  <w:t>17</w:t>
            </w:r>
          </w:p>
        </w:tc>
        <w:tc>
          <w:tcPr>
            <w:tcW w:w="3685" w:type="dxa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Cs/>
                <w:color w:val="000000"/>
                <w:lang w:bidi="pl-PL"/>
              </w:rPr>
              <w:t>redakcja i korekta językowa – kontrola tekstu docelowego w trybie zwykłym</w:t>
            </w:r>
          </w:p>
        </w:tc>
        <w:tc>
          <w:tcPr>
            <w:tcW w:w="1276" w:type="dxa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Cs/>
                <w:color w:val="000000"/>
                <w:lang w:bidi="pl-PL"/>
              </w:rPr>
              <w:t>zwykły</w:t>
            </w:r>
          </w:p>
        </w:tc>
        <w:tc>
          <w:tcPr>
            <w:tcW w:w="1134" w:type="dxa"/>
            <w:hideMark/>
          </w:tcPr>
          <w:p w:rsidR="0050462B" w:rsidRPr="0050462B" w:rsidRDefault="0050462B" w:rsidP="0050462B">
            <w:pPr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Cs/>
                <w:color w:val="000000"/>
                <w:lang w:bidi="pl-PL"/>
              </w:rPr>
              <w:t>strona obliczeniowa</w:t>
            </w:r>
          </w:p>
        </w:tc>
        <w:tc>
          <w:tcPr>
            <w:tcW w:w="1134" w:type="dxa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Cs/>
                <w:color w:val="000000"/>
                <w:lang w:bidi="pl-PL"/>
              </w:rPr>
              <w:t>2.300</w:t>
            </w:r>
          </w:p>
        </w:tc>
        <w:tc>
          <w:tcPr>
            <w:tcW w:w="1134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1276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709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1134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1382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</w:tr>
      <w:tr w:rsidR="0050462B" w:rsidRPr="0050462B" w:rsidTr="004E18C5">
        <w:trPr>
          <w:trHeight w:val="510"/>
        </w:trPr>
        <w:tc>
          <w:tcPr>
            <w:tcW w:w="988" w:type="dxa"/>
            <w:vMerge/>
            <w:noWrap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bCs/>
                <w:iCs/>
                <w:color w:val="000000"/>
                <w:highlight w:val="yellow"/>
                <w:lang w:bidi="pl-PL"/>
              </w:rPr>
            </w:pPr>
          </w:p>
        </w:tc>
        <w:tc>
          <w:tcPr>
            <w:tcW w:w="425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  <w:t>18</w:t>
            </w:r>
          </w:p>
        </w:tc>
        <w:tc>
          <w:tcPr>
            <w:tcW w:w="3685" w:type="dxa"/>
          </w:tcPr>
          <w:p w:rsidR="0050462B" w:rsidRPr="0050462B" w:rsidRDefault="0050462B" w:rsidP="0050462B">
            <w:pPr>
              <w:suppressAutoHyphens/>
              <w:spacing w:line="276" w:lineRule="auto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Cs/>
                <w:color w:val="000000"/>
                <w:lang w:bidi="pl-PL"/>
              </w:rPr>
              <w:t>redakcja i korekta językowa – kontrola tekstu docelowego w trybie ekspresowym</w:t>
            </w:r>
          </w:p>
        </w:tc>
        <w:tc>
          <w:tcPr>
            <w:tcW w:w="1276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Cs/>
                <w:color w:val="000000"/>
                <w:lang w:bidi="pl-PL"/>
              </w:rPr>
              <w:t>ekspresowy</w:t>
            </w:r>
          </w:p>
        </w:tc>
        <w:tc>
          <w:tcPr>
            <w:tcW w:w="1134" w:type="dxa"/>
          </w:tcPr>
          <w:p w:rsidR="0050462B" w:rsidRPr="0050462B" w:rsidRDefault="0050462B" w:rsidP="0050462B">
            <w:pPr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Cs/>
                <w:color w:val="000000"/>
                <w:lang w:bidi="pl-PL"/>
              </w:rPr>
              <w:t>strona obliczeniowa</w:t>
            </w:r>
          </w:p>
        </w:tc>
        <w:tc>
          <w:tcPr>
            <w:tcW w:w="1134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iCs/>
                <w:color w:val="000000"/>
                <w:lang w:bidi="pl-PL"/>
              </w:rPr>
              <w:t>200</w:t>
            </w:r>
          </w:p>
        </w:tc>
        <w:tc>
          <w:tcPr>
            <w:tcW w:w="1134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1276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709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1134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1382" w:type="dxa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</w:tr>
      <w:tr w:rsidR="0050462B" w:rsidRPr="0050462B" w:rsidTr="004E18C5">
        <w:trPr>
          <w:trHeight w:val="553"/>
        </w:trPr>
        <w:tc>
          <w:tcPr>
            <w:tcW w:w="988" w:type="dxa"/>
            <w:noWrap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425" w:type="dxa"/>
            <w:noWrap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</w:pPr>
          </w:p>
        </w:tc>
        <w:tc>
          <w:tcPr>
            <w:tcW w:w="8363" w:type="dxa"/>
            <w:gridSpan w:val="5"/>
            <w:vAlign w:val="center"/>
            <w:hideMark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</w:pPr>
            <w:r w:rsidRPr="0050462B"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  <w:t>Razem</w:t>
            </w:r>
          </w:p>
        </w:tc>
        <w:tc>
          <w:tcPr>
            <w:tcW w:w="1276" w:type="dxa"/>
            <w:vAlign w:val="center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709" w:type="dxa"/>
            <w:noWrap/>
            <w:vAlign w:val="center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bCs/>
                <w:iCs/>
                <w:color w:val="000000"/>
                <w:lang w:bidi="pl-PL"/>
              </w:rPr>
            </w:pPr>
          </w:p>
        </w:tc>
        <w:tc>
          <w:tcPr>
            <w:tcW w:w="1134" w:type="dxa"/>
            <w:vAlign w:val="center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  <w:tc>
          <w:tcPr>
            <w:tcW w:w="1382" w:type="dxa"/>
            <w:vAlign w:val="center"/>
          </w:tcPr>
          <w:p w:rsidR="0050462B" w:rsidRPr="0050462B" w:rsidRDefault="0050462B" w:rsidP="0050462B">
            <w:pPr>
              <w:suppressAutoHyphens/>
              <w:spacing w:line="276" w:lineRule="auto"/>
              <w:jc w:val="center"/>
              <w:rPr>
                <w:rFonts w:ascii="Calibri" w:eastAsia="Lucida Sans Unicode" w:hAnsi="Calibri" w:cs="Calibri"/>
                <w:iCs/>
                <w:color w:val="000000"/>
                <w:lang w:bidi="pl-PL"/>
              </w:rPr>
            </w:pPr>
          </w:p>
        </w:tc>
      </w:tr>
    </w:tbl>
    <w:p w:rsidR="0050462B" w:rsidRPr="0050462B" w:rsidRDefault="0050462B" w:rsidP="0050462B">
      <w:pPr>
        <w:suppressAutoHyphens/>
        <w:spacing w:after="0" w:line="276" w:lineRule="auto"/>
        <w:rPr>
          <w:rFonts w:ascii="Calibri" w:eastAsia="Lucida Sans Unicode" w:hAnsi="Calibri" w:cs="Calibri"/>
          <w:iCs/>
          <w:color w:val="000000"/>
          <w:szCs w:val="20"/>
          <w:lang w:bidi="pl-PL"/>
        </w:rPr>
      </w:pPr>
    </w:p>
    <w:p w:rsidR="0050462B" w:rsidRPr="0050462B" w:rsidRDefault="0050462B" w:rsidP="0050462B">
      <w:pPr>
        <w:suppressAutoHyphens/>
        <w:spacing w:after="0" w:line="276" w:lineRule="auto"/>
        <w:rPr>
          <w:rFonts w:ascii="Calibri" w:eastAsia="Lucida Sans Unicode" w:hAnsi="Calibri" w:cs="Calibri"/>
          <w:iCs/>
          <w:color w:val="000000"/>
          <w:szCs w:val="20"/>
          <w:lang w:bidi="pl-PL"/>
        </w:rPr>
      </w:pPr>
    </w:p>
    <w:p w:rsidR="0050462B" w:rsidRPr="0050462B" w:rsidRDefault="0050462B" w:rsidP="0050462B">
      <w:pPr>
        <w:suppressAutoHyphens/>
        <w:spacing w:after="0" w:line="276" w:lineRule="auto"/>
        <w:rPr>
          <w:rFonts w:ascii="Calibri" w:eastAsia="Lucida Sans Unicode" w:hAnsi="Calibri" w:cs="Calibri"/>
          <w:iCs/>
          <w:color w:val="000000"/>
          <w:szCs w:val="20"/>
          <w:lang w:bidi="pl-PL"/>
        </w:rPr>
      </w:pPr>
    </w:p>
    <w:p w:rsidR="0050462B" w:rsidRPr="0050462B" w:rsidRDefault="0050462B" w:rsidP="0050462B">
      <w:pPr>
        <w:suppressAutoHyphens/>
        <w:spacing w:after="0" w:line="276" w:lineRule="auto"/>
        <w:rPr>
          <w:rFonts w:ascii="Calibri" w:eastAsia="Lucida Sans Unicode" w:hAnsi="Calibri" w:cs="Calibri"/>
          <w:iCs/>
          <w:color w:val="000000"/>
          <w:szCs w:val="20"/>
          <w:lang w:bidi="pl-PL"/>
        </w:rPr>
      </w:pPr>
    </w:p>
    <w:p w:rsidR="0050462B" w:rsidRPr="0050462B" w:rsidRDefault="0050462B" w:rsidP="0050462B">
      <w:pPr>
        <w:suppressAutoHyphens/>
        <w:spacing w:after="0" w:line="276" w:lineRule="auto"/>
        <w:ind w:left="7371"/>
        <w:jc w:val="center"/>
        <w:rPr>
          <w:rFonts w:ascii="Calibri" w:eastAsia="Calibri" w:hAnsi="Calibri" w:cs="Calibri"/>
          <w:sz w:val="18"/>
          <w:szCs w:val="18"/>
        </w:rPr>
      </w:pPr>
      <w:r w:rsidRPr="0050462B">
        <w:rPr>
          <w:rFonts w:ascii="Calibri" w:eastAsia="Calibri" w:hAnsi="Calibri" w:cs="Calibri"/>
          <w:sz w:val="20"/>
          <w:szCs w:val="20"/>
        </w:rPr>
        <w:t>....................................................................</w:t>
      </w:r>
    </w:p>
    <w:p w:rsidR="0050462B" w:rsidRPr="0050462B" w:rsidRDefault="0050462B" w:rsidP="0050462B">
      <w:pPr>
        <w:suppressAutoHyphens/>
        <w:snapToGrid w:val="0"/>
        <w:spacing w:after="0" w:line="276" w:lineRule="auto"/>
        <w:ind w:left="7371"/>
        <w:jc w:val="center"/>
        <w:rPr>
          <w:rFonts w:ascii="Calibri" w:eastAsia="Calibri" w:hAnsi="Calibri" w:cs="Calibri"/>
          <w:sz w:val="18"/>
          <w:szCs w:val="18"/>
        </w:rPr>
      </w:pPr>
      <w:r w:rsidRPr="0050462B">
        <w:rPr>
          <w:rFonts w:ascii="Calibri" w:eastAsia="Calibri" w:hAnsi="Calibri" w:cs="Calibri"/>
          <w:sz w:val="18"/>
          <w:szCs w:val="18"/>
        </w:rPr>
        <w:t>[ofertę należy wypełnić i opatrzyć</w:t>
      </w:r>
    </w:p>
    <w:p w:rsidR="0050462B" w:rsidRPr="0050462B" w:rsidRDefault="0050462B" w:rsidP="0050462B">
      <w:pPr>
        <w:suppressAutoHyphens/>
        <w:spacing w:after="0" w:line="276" w:lineRule="auto"/>
        <w:ind w:left="7371"/>
        <w:jc w:val="center"/>
        <w:rPr>
          <w:rFonts w:ascii="Calibri" w:eastAsia="Calibri" w:hAnsi="Calibri" w:cs="Calibri"/>
          <w:iCs/>
          <w:color w:val="000000"/>
          <w:sz w:val="18"/>
          <w:szCs w:val="18"/>
        </w:rPr>
      </w:pPr>
      <w:r w:rsidRPr="0050462B">
        <w:rPr>
          <w:rFonts w:ascii="Calibri" w:eastAsia="Calibri" w:hAnsi="Calibri" w:cs="Calibri"/>
          <w:sz w:val="18"/>
          <w:szCs w:val="18"/>
        </w:rPr>
        <w:t>kwalifikowanym podpisem elektronicznym]</w:t>
      </w:r>
    </w:p>
    <w:p w:rsidR="00D431DF" w:rsidRPr="0050462B" w:rsidRDefault="0050462B" w:rsidP="0050462B">
      <w:pPr>
        <w:suppressAutoHyphens/>
        <w:spacing w:after="0" w:line="240" w:lineRule="auto"/>
        <w:rPr>
          <w:rFonts w:ascii="Calibri" w:eastAsia="Times New Roman" w:hAnsi="Calibri" w:cs="Calibri"/>
          <w:sz w:val="18"/>
          <w:szCs w:val="20"/>
          <w:lang w:eastAsia="pl-PL"/>
        </w:rPr>
      </w:pPr>
    </w:p>
    <w:sectPr w:rsidR="00D431DF" w:rsidRPr="0050462B" w:rsidSect="005046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62B" w:rsidRDefault="0050462B" w:rsidP="0050462B">
      <w:pPr>
        <w:spacing w:after="0" w:line="240" w:lineRule="auto"/>
      </w:pPr>
      <w:r>
        <w:separator/>
      </w:r>
    </w:p>
  </w:endnote>
  <w:endnote w:type="continuationSeparator" w:id="0">
    <w:p w:rsidR="0050462B" w:rsidRDefault="0050462B" w:rsidP="0050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62B" w:rsidRPr="0050462B" w:rsidRDefault="0050462B" w:rsidP="0050462B">
    <w:pPr>
      <w:pStyle w:val="Stopka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62B" w:rsidRPr="0050462B" w:rsidRDefault="0050462B" w:rsidP="0050462B">
    <w:pPr>
      <w:pStyle w:val="Stopka"/>
      <w:jc w:val="center"/>
      <w:rPr>
        <w:sz w:val="18"/>
      </w:rPr>
    </w:pPr>
    <w:r w:rsidRPr="0050462B">
      <w:rPr>
        <w:sz w:val="18"/>
      </w:rPr>
      <w:fldChar w:fldCharType="begin"/>
    </w:r>
    <w:r w:rsidRPr="0050462B">
      <w:rPr>
        <w:sz w:val="18"/>
      </w:rPr>
      <w:instrText>PAGE   \* MERGEFORMAT</w:instrText>
    </w:r>
    <w:r w:rsidRPr="0050462B">
      <w:rPr>
        <w:sz w:val="18"/>
      </w:rPr>
      <w:fldChar w:fldCharType="separate"/>
    </w:r>
    <w:r>
      <w:rPr>
        <w:noProof/>
        <w:sz w:val="18"/>
      </w:rPr>
      <w:t>1</w:t>
    </w:r>
    <w:r w:rsidRPr="0050462B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62B" w:rsidRDefault="005046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62B" w:rsidRDefault="0050462B" w:rsidP="0050462B">
      <w:pPr>
        <w:spacing w:after="0" w:line="240" w:lineRule="auto"/>
      </w:pPr>
      <w:r>
        <w:separator/>
      </w:r>
    </w:p>
  </w:footnote>
  <w:footnote w:type="continuationSeparator" w:id="0">
    <w:p w:rsidR="0050462B" w:rsidRDefault="0050462B" w:rsidP="00504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62B" w:rsidRDefault="005046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62B" w:rsidRPr="0050462B" w:rsidRDefault="0050462B" w:rsidP="0050462B">
    <w:pPr>
      <w:pStyle w:val="Nagwek"/>
      <w:jc w:val="center"/>
      <w:rPr>
        <w:sz w:val="18"/>
      </w:rPr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62B" w:rsidRDefault="005046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2B"/>
    <w:rsid w:val="00353E40"/>
    <w:rsid w:val="0050462B"/>
    <w:rsid w:val="00C3167F"/>
    <w:rsid w:val="00DF412F"/>
    <w:rsid w:val="00E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79EEE-4DA6-4683-AF6F-A432AB48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spacing w:after="0" w:line="240" w:lineRule="auto"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353E40"/>
    <w:pPr>
      <w:keepNext/>
      <w:spacing w:after="0" w:line="240" w:lineRule="auto"/>
      <w:ind w:left="214"/>
      <w:outlineLvl w:val="1"/>
    </w:pPr>
    <w:rPr>
      <w:rFonts w:eastAsia="Times New Roman" w:cs="Times New Roman"/>
      <w:b/>
      <w:sz w:val="1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C3167F"/>
    <w:pPr>
      <w:keepNext/>
      <w:keepLines/>
      <w:spacing w:before="120" w:after="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53E40"/>
    <w:rPr>
      <w:rFonts w:eastAsia="Times New Roman" w:cs="Times New Roman"/>
      <w:b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table" w:styleId="Tabela-Siatka">
    <w:name w:val="Table Grid"/>
    <w:basedOn w:val="Standardowy"/>
    <w:uiPriority w:val="39"/>
    <w:rsid w:val="00504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4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62B"/>
  </w:style>
  <w:style w:type="paragraph" w:styleId="Stopka">
    <w:name w:val="footer"/>
    <w:basedOn w:val="Normalny"/>
    <w:link w:val="StopkaZnak"/>
    <w:uiPriority w:val="99"/>
    <w:unhideWhenUsed/>
    <w:rsid w:val="00504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2021-12-14T13:54:00Z</dcterms:created>
  <dcterms:modified xsi:type="dcterms:W3CDTF">2021-12-14T13:55:00Z</dcterms:modified>
</cp:coreProperties>
</file>