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26402D0B"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w:t>
      </w:r>
      <w:r w:rsidR="00511ECA">
        <w:rPr>
          <w:sz w:val="20"/>
          <w:szCs w:val="20"/>
        </w:rPr>
        <w:t>21</w:t>
      </w:r>
      <w:r>
        <w:rPr>
          <w:sz w:val="20"/>
          <w:szCs w:val="20"/>
        </w:rPr>
        <w:t xml:space="preserve"> r. poz. </w:t>
      </w:r>
      <w:r w:rsidR="00511ECA">
        <w:rPr>
          <w:sz w:val="20"/>
          <w:szCs w:val="20"/>
        </w:rPr>
        <w:t>1129</w:t>
      </w:r>
      <w:r>
        <w:rPr>
          <w:sz w:val="20"/>
          <w:szCs w:val="20"/>
        </w:rPr>
        <w:t xml:space="preserve">) – dalej ustawy PZP </w:t>
      </w:r>
    </w:p>
    <w:p w14:paraId="3077C90A" w14:textId="77777777" w:rsidR="005C2F6D" w:rsidRDefault="005C2F6D" w:rsidP="005C2F6D">
      <w:pPr>
        <w:jc w:val="center"/>
        <w:rPr>
          <w:b/>
          <w:bCs/>
          <w:sz w:val="20"/>
          <w:szCs w:val="20"/>
        </w:rPr>
      </w:pPr>
    </w:p>
    <w:p w14:paraId="600777B4" w14:textId="11CF90AC" w:rsidR="00E279FA" w:rsidRDefault="0083601C" w:rsidP="00FA0CDE">
      <w:pPr>
        <w:jc w:val="center"/>
      </w:pPr>
      <w:r>
        <w:rPr>
          <w:rFonts w:ascii="Calibri" w:hAnsi="Calibri"/>
          <w:b/>
          <w:szCs w:val="20"/>
        </w:rPr>
        <w:t>Dostawa zestawów komputerowych i laptopów wraz z oprogramowaniem biurowym oraz urządzeń drukujących do Starostwa Powiatowego w Lęborku.</w:t>
      </w:r>
    </w:p>
    <w:p w14:paraId="198828D5" w14:textId="77777777" w:rsidR="00E279FA" w:rsidRDefault="00E279FA">
      <w:pPr>
        <w:jc w:val="center"/>
        <w:rPr>
          <w:sz w:val="16"/>
          <w:szCs w:val="16"/>
        </w:rPr>
      </w:pPr>
    </w:p>
    <w:p w14:paraId="06FB068F" w14:textId="167283CA" w:rsidR="00E279FA" w:rsidRDefault="00883F9D">
      <w:pPr>
        <w:jc w:val="center"/>
      </w:pPr>
      <w:r>
        <w:t xml:space="preserve">Nr postępowania: </w:t>
      </w:r>
      <w:r w:rsidR="00FA0CDE">
        <w:t>AI</w:t>
      </w:r>
      <w:r w:rsidR="001F0B75" w:rsidRPr="00FA0CDE">
        <w:t>.272.1.</w:t>
      </w:r>
      <w:r w:rsidR="0083601C" w:rsidRPr="00FA0CDE">
        <w:t>9</w:t>
      </w:r>
      <w:r w:rsidR="001F0B75" w:rsidRPr="00FA0CDE">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0820C9BC" w:rsidR="0083601C" w:rsidRDefault="003D5E2C">
      <w:pPr>
        <w:jc w:val="center"/>
        <w:rPr>
          <w:b/>
        </w:rPr>
      </w:pPr>
      <w:r>
        <w:rPr>
          <w:b/>
        </w:rPr>
        <w:t>1</w:t>
      </w:r>
      <w:r w:rsidR="00EC4071">
        <w:rPr>
          <w:b/>
        </w:rPr>
        <w:t>9</w:t>
      </w:r>
      <w:r w:rsidR="0083601C">
        <w:rPr>
          <w:b/>
        </w:rPr>
        <w:t>.07.2021</w:t>
      </w:r>
      <w:r w:rsidR="00C9153C" w:rsidRPr="00C9153C">
        <w:rPr>
          <w:b/>
        </w:rPr>
        <w:t xml:space="preserve"> r.</w:t>
      </w:r>
    </w:p>
    <w:p w14:paraId="499D6C98" w14:textId="77777777" w:rsidR="0083601C" w:rsidRDefault="0083601C">
      <w:pPr>
        <w:rPr>
          <w:b/>
        </w:rPr>
      </w:pPr>
      <w:r>
        <w:rPr>
          <w:b/>
        </w:rPr>
        <w:br w:type="page"/>
      </w:r>
    </w:p>
    <w:p w14:paraId="1FC1C52C" w14:textId="77777777" w:rsidR="00E279FA" w:rsidRPr="00C9153C" w:rsidRDefault="00E279FA">
      <w:pPr>
        <w:jc w:val="center"/>
        <w:rPr>
          <w:b/>
        </w:rPr>
      </w:pPr>
    </w:p>
    <w:p w14:paraId="4B1AADDB" w14:textId="77777777" w:rsidR="00E279FA" w:rsidRDefault="00883F9D">
      <w:pPr>
        <w:pStyle w:val="Nagwek2"/>
      </w:pPr>
      <w:bookmarkStart w:id="0" w:name="_kabgz8l7slm3" w:colFirst="0" w:colLast="0"/>
      <w:bookmarkEnd w:id="0"/>
      <w:r>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0695B604" w14:textId="173AFD99" w:rsidR="00417F35" w:rsidRPr="0083601C" w:rsidRDefault="00883F9D" w:rsidP="00BE758A">
      <w:pPr>
        <w:pStyle w:val="Akapitzlist"/>
        <w:numPr>
          <w:ilvl w:val="0"/>
          <w:numId w:val="41"/>
        </w:numPr>
        <w:tabs>
          <w:tab w:val="left" w:pos="284"/>
        </w:tabs>
        <w:spacing w:before="240" w:line="360" w:lineRule="auto"/>
        <w:ind w:left="644" w:hanging="284"/>
        <w:rPr>
          <w:rFonts w:ascii="Arial" w:hAnsi="Arial" w:cs="Arial"/>
          <w:b/>
          <w:bCs/>
        </w:rPr>
      </w:pPr>
      <w:r w:rsidRPr="00417F35">
        <w:rPr>
          <w:rFonts w:ascii="Arial" w:hAnsi="Arial" w:cs="Arial"/>
        </w:rPr>
        <w:t xml:space="preserve">Przedmiotem zamówienia jest </w:t>
      </w:r>
      <w:r w:rsidR="0083601C">
        <w:rPr>
          <w:rFonts w:ascii="Arial" w:hAnsi="Arial" w:cs="Arial"/>
        </w:rPr>
        <w:t>„</w:t>
      </w:r>
      <w:r w:rsidR="0083601C" w:rsidRPr="0083601C">
        <w:rPr>
          <w:rFonts w:ascii="Arial" w:hAnsi="Arial" w:cs="Arial"/>
          <w:b/>
          <w:bCs/>
        </w:rPr>
        <w:t>Dostawa zestawów komputerowych i laptopów wraz z oprogramowaniem biurowym oraz urządzeń drukujących do Starostwa Powiatowego w Lęborku.</w:t>
      </w:r>
      <w:r w:rsidR="0083601C">
        <w:rPr>
          <w:rFonts w:ascii="Arial" w:hAnsi="Arial" w:cs="Arial"/>
          <w:b/>
          <w:bCs/>
        </w:rPr>
        <w:t>”</w:t>
      </w:r>
    </w:p>
    <w:p w14:paraId="42B43C75" w14:textId="65E7BEF5" w:rsidR="00E279FA" w:rsidRPr="00417F35" w:rsidRDefault="00883F9D" w:rsidP="00BE758A">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0B830A44" w14:textId="77777777" w:rsidR="0083601C" w:rsidRPr="001C2AE2" w:rsidRDefault="0083601C" w:rsidP="0083601C">
      <w:pPr>
        <w:spacing w:line="240" w:lineRule="auto"/>
        <w:ind w:left="644"/>
      </w:pPr>
      <w:r w:rsidRPr="001C2AE2">
        <w:t>30230000-0 - Sprzęt związany z komputerami</w:t>
      </w:r>
    </w:p>
    <w:p w14:paraId="3D2D9158" w14:textId="77777777" w:rsidR="0083601C" w:rsidRPr="001C2AE2" w:rsidRDefault="0083601C" w:rsidP="0083601C">
      <w:pPr>
        <w:spacing w:line="240" w:lineRule="auto"/>
        <w:ind w:left="644"/>
      </w:pPr>
      <w:r w:rsidRPr="001C2AE2">
        <w:t>48900000-7 - Różne pakiety oprogramowania i systemy komputerowe</w:t>
      </w:r>
    </w:p>
    <w:p w14:paraId="182DB11E" w14:textId="77777777" w:rsidR="0083601C" w:rsidRPr="001C2AE2" w:rsidRDefault="0083601C" w:rsidP="0083601C">
      <w:pPr>
        <w:spacing w:line="240" w:lineRule="auto"/>
        <w:ind w:left="644"/>
      </w:pPr>
      <w:r w:rsidRPr="001C2AE2">
        <w:t>30232100-5 - Drukarki i plotery</w:t>
      </w:r>
    </w:p>
    <w:p w14:paraId="2BF07EB4" w14:textId="77777777" w:rsidR="0083601C" w:rsidRPr="001C2AE2" w:rsidRDefault="0083601C" w:rsidP="0083601C">
      <w:pPr>
        <w:spacing w:line="240" w:lineRule="auto"/>
        <w:ind w:left="644"/>
      </w:pPr>
      <w:r w:rsidRPr="001C2AE2">
        <w:t>30213000-5 - Komputery osobiste</w:t>
      </w:r>
    </w:p>
    <w:p w14:paraId="443978B6" w14:textId="2341CBD2" w:rsidR="0083601C" w:rsidRDefault="0083601C" w:rsidP="0083601C">
      <w:pPr>
        <w:spacing w:line="240" w:lineRule="auto"/>
        <w:ind w:left="644"/>
      </w:pPr>
      <w:r w:rsidRPr="001C2AE2">
        <w:t>30121430-6 - Cyfrowe urządzenia powielające</w:t>
      </w:r>
    </w:p>
    <w:p w14:paraId="2E3508BD" w14:textId="439CFF25" w:rsidR="00EC4071" w:rsidRDefault="00EC4071" w:rsidP="0083601C">
      <w:pPr>
        <w:spacing w:line="240" w:lineRule="auto"/>
        <w:ind w:left="644"/>
      </w:pPr>
    </w:p>
    <w:p w14:paraId="6B684288" w14:textId="757E86C3" w:rsidR="00EC4071" w:rsidRPr="00EC4071" w:rsidRDefault="00EC4071" w:rsidP="00EC4071">
      <w:pPr>
        <w:tabs>
          <w:tab w:val="left" w:pos="284"/>
        </w:tabs>
        <w:spacing w:before="240" w:line="360" w:lineRule="auto"/>
        <w:ind w:left="360"/>
        <w:rPr>
          <w:b/>
          <w:bCs/>
        </w:rPr>
      </w:pPr>
      <w:r w:rsidRPr="00EC4071">
        <w:rPr>
          <w:b/>
          <w:bCs/>
        </w:rPr>
        <w:t>Przedmiot zamówienia został podzielony na 3 części:</w:t>
      </w:r>
    </w:p>
    <w:p w14:paraId="1F3F5F43" w14:textId="545C598A" w:rsidR="00EC4071" w:rsidRPr="00EC4071" w:rsidRDefault="00EC4071" w:rsidP="00EC4071">
      <w:pPr>
        <w:tabs>
          <w:tab w:val="left" w:pos="284"/>
        </w:tabs>
        <w:spacing w:before="240" w:line="240" w:lineRule="auto"/>
        <w:ind w:left="360"/>
      </w:pPr>
      <w:r w:rsidRPr="00EC4071">
        <w:t xml:space="preserve">Część 1 - Dostawa sprzętu komputerowego, oprogramowania </w:t>
      </w:r>
    </w:p>
    <w:p w14:paraId="5D365592" w14:textId="75E3D793" w:rsidR="00EC4071" w:rsidRPr="00EC4071" w:rsidRDefault="00EC4071" w:rsidP="00EC4071">
      <w:pPr>
        <w:tabs>
          <w:tab w:val="left" w:pos="284"/>
        </w:tabs>
        <w:spacing w:before="240" w:line="240" w:lineRule="auto"/>
        <w:ind w:left="360"/>
      </w:pPr>
      <w:r w:rsidRPr="00EC4071">
        <w:t xml:space="preserve">Część 2 – Dostawa drukarek komputerowych </w:t>
      </w:r>
    </w:p>
    <w:p w14:paraId="087D9FC7" w14:textId="56DA1966" w:rsidR="00EC4071" w:rsidRPr="00EC4071" w:rsidRDefault="00EC4071" w:rsidP="00EC4071">
      <w:pPr>
        <w:tabs>
          <w:tab w:val="left" w:pos="284"/>
        </w:tabs>
        <w:spacing w:before="240" w:line="240" w:lineRule="auto"/>
        <w:ind w:left="360"/>
      </w:pPr>
      <w:r w:rsidRPr="00EC4071">
        <w:t xml:space="preserve">Część 3 - Dostawa kserokopiarki </w:t>
      </w:r>
    </w:p>
    <w:p w14:paraId="0E94A958" w14:textId="77777777" w:rsidR="001201D0" w:rsidRDefault="001201D0" w:rsidP="001201D0">
      <w:pPr>
        <w:jc w:val="both"/>
      </w:pPr>
    </w:p>
    <w:p w14:paraId="79893648" w14:textId="1BFB3107" w:rsidR="001201D0" w:rsidRPr="001201D0" w:rsidRDefault="001201D0" w:rsidP="001201D0">
      <w:pPr>
        <w:jc w:val="both"/>
        <w:rPr>
          <w:rFonts w:eastAsia="Calibri"/>
          <w:lang w:eastAsia="en-US"/>
        </w:rPr>
      </w:pPr>
      <w:r w:rsidRPr="001201D0">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1FF46B35" w14:textId="77777777" w:rsidR="001201D0" w:rsidRPr="001201D0" w:rsidRDefault="001201D0" w:rsidP="001201D0">
      <w:pPr>
        <w:jc w:val="both"/>
        <w:rPr>
          <w:rFonts w:eastAsia="Calibri"/>
          <w:lang w:eastAsia="en-US"/>
        </w:rPr>
      </w:pPr>
    </w:p>
    <w:p w14:paraId="7EC19E40" w14:textId="77777777" w:rsidR="001201D0" w:rsidRPr="001201D0" w:rsidRDefault="001201D0" w:rsidP="001201D0">
      <w:pPr>
        <w:jc w:val="both"/>
      </w:pPr>
      <w:r w:rsidRPr="001201D0">
        <w:t>Dostarczony sprzęt musi zawierać wszystkie części niezbędne do funkcjonowania, uruchomienia i montażu, ponadto elementy w ramach zestawów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64E100D2" w14:textId="77777777" w:rsidR="001201D0" w:rsidRPr="001201D0" w:rsidRDefault="001201D0" w:rsidP="001201D0">
      <w:pPr>
        <w:jc w:val="both"/>
        <w:rPr>
          <w:rFonts w:eastAsia="Andale Sans UI"/>
        </w:rPr>
      </w:pPr>
    </w:p>
    <w:p w14:paraId="26E976FF" w14:textId="77777777" w:rsidR="001201D0" w:rsidRPr="001201D0" w:rsidRDefault="001201D0" w:rsidP="001201D0">
      <w:pPr>
        <w:spacing w:after="200"/>
        <w:contextualSpacing/>
        <w:jc w:val="both"/>
        <w:rPr>
          <w:rFonts w:eastAsia="Calibri"/>
          <w:lang w:eastAsia="en-US"/>
        </w:rPr>
      </w:pPr>
      <w:r w:rsidRPr="001201D0">
        <w:rPr>
          <w:rFonts w:eastAsia="Calibri"/>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6586CE08" w14:textId="77777777" w:rsidR="001201D0" w:rsidRPr="001201D0" w:rsidRDefault="001201D0" w:rsidP="001201D0">
      <w:pPr>
        <w:spacing w:after="200"/>
        <w:contextualSpacing/>
        <w:jc w:val="both"/>
        <w:rPr>
          <w:rFonts w:eastAsia="Calibri"/>
          <w:lang w:eastAsia="en-US"/>
        </w:rPr>
      </w:pPr>
    </w:p>
    <w:p w14:paraId="7F9AE7FD" w14:textId="77777777" w:rsidR="001201D0" w:rsidRPr="001201D0" w:rsidRDefault="001201D0" w:rsidP="001201D0">
      <w:pPr>
        <w:jc w:val="both"/>
        <w:rPr>
          <w:b/>
        </w:rPr>
      </w:pPr>
      <w:r w:rsidRPr="001201D0">
        <w:rPr>
          <w:b/>
        </w:rPr>
        <w:t>Oferowany przez Wykonawcę sprzęt musi zapewniać racjonalne i efektywne ceny, niezawyżone w stosunku do cen i stawek rynkowych.</w:t>
      </w:r>
      <w:r w:rsidRPr="001201D0">
        <w:t xml:space="preserve"> </w:t>
      </w:r>
    </w:p>
    <w:p w14:paraId="74C2C201" w14:textId="77777777" w:rsidR="001201D0" w:rsidRPr="001201D0" w:rsidRDefault="001201D0" w:rsidP="001201D0">
      <w:pPr>
        <w:tabs>
          <w:tab w:val="left" w:pos="0"/>
        </w:tabs>
        <w:jc w:val="both"/>
        <w:rPr>
          <w:rFonts w:eastAsia="Calibri"/>
          <w:b/>
          <w:lang w:eastAsia="en-US"/>
        </w:rPr>
      </w:pPr>
    </w:p>
    <w:p w14:paraId="6E998C2F" w14:textId="77777777" w:rsidR="001201D0" w:rsidRPr="001201D0" w:rsidRDefault="001201D0" w:rsidP="001201D0">
      <w:pPr>
        <w:tabs>
          <w:tab w:val="left" w:pos="0"/>
        </w:tabs>
        <w:jc w:val="both"/>
        <w:rPr>
          <w:rFonts w:eastAsia="Calibri"/>
          <w:b/>
          <w:lang w:eastAsia="en-US"/>
        </w:rPr>
      </w:pPr>
      <w:r w:rsidRPr="001201D0">
        <w:rPr>
          <w:rFonts w:eastAsia="Calibri"/>
          <w:b/>
          <w:lang w:eastAsia="en-US"/>
        </w:rPr>
        <w:t>Wymagania dotyczące sposobu realizacji zamówienia:</w:t>
      </w:r>
    </w:p>
    <w:p w14:paraId="13A3CF9A" w14:textId="77777777"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nie przewiduje się możliwości wypłacania Wykonawcy zaliczki.</w:t>
      </w:r>
    </w:p>
    <w:p w14:paraId="0E600969" w14:textId="7831599A"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przedmiot zamówienia należy dostarczyć pod wskazany adres, w określonym terminie wraz z wyładunkiem na własny koszt i ryzyko, własnymi siłami, w odliczonych ilościach, zgodnie z SWZ</w:t>
      </w:r>
    </w:p>
    <w:p w14:paraId="1555B90B" w14:textId="77777777" w:rsidR="001201D0" w:rsidRPr="001201D0" w:rsidRDefault="001201D0" w:rsidP="001201D0">
      <w:pPr>
        <w:numPr>
          <w:ilvl w:val="0"/>
          <w:numId w:val="45"/>
        </w:numPr>
        <w:tabs>
          <w:tab w:val="left" w:pos="0"/>
        </w:tabs>
        <w:spacing w:line="240" w:lineRule="auto"/>
        <w:ind w:left="567"/>
        <w:contextualSpacing/>
        <w:jc w:val="both"/>
        <w:rPr>
          <w:rFonts w:eastAsiaTheme="minorHAnsi"/>
          <w:lang w:eastAsia="en-US"/>
        </w:rPr>
      </w:pPr>
      <w:r w:rsidRPr="001201D0">
        <w:rPr>
          <w:rFonts w:eastAsia="Calibri"/>
          <w:lang w:eastAsia="en-US"/>
        </w:rPr>
        <w:t>zamówienie obejmuje transport (na koszt i ryzyko Wykonawcy) oraz montaż wszystkich części przez przedstawiciela Dostawcy we wskazanym miejscu, w przypadku, gdy jest niezbędny do uruchomienia;</w:t>
      </w:r>
    </w:p>
    <w:p w14:paraId="14A8A1CE" w14:textId="77777777" w:rsidR="001201D0" w:rsidRPr="001201D0" w:rsidRDefault="001201D0" w:rsidP="001201D0">
      <w:pPr>
        <w:numPr>
          <w:ilvl w:val="0"/>
          <w:numId w:val="45"/>
        </w:numPr>
        <w:tabs>
          <w:tab w:val="left" w:pos="0"/>
        </w:tabs>
        <w:spacing w:line="240" w:lineRule="auto"/>
        <w:ind w:left="567"/>
        <w:contextualSpacing/>
        <w:jc w:val="both"/>
        <w:rPr>
          <w:rFonts w:eastAsiaTheme="minorHAnsi"/>
          <w:lang w:eastAsia="en-US"/>
        </w:rPr>
      </w:pPr>
      <w:r w:rsidRPr="001201D0">
        <w:rPr>
          <w:rFonts w:eastAsiaTheme="minorHAnsi"/>
          <w:lang w:eastAsia="en-US"/>
        </w:rPr>
        <w:t>jeśli elementy dostawy są uszkodzone lub uległy uszkodzeniu podczas transportu lub montażu zostaną przez Wykonawcę wymienione na nowe lub naprawione przed zgłoszeniem zakończenia dostaw do odbioru.</w:t>
      </w:r>
    </w:p>
    <w:p w14:paraId="24542844" w14:textId="77777777"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B9976AB" w14:textId="77777777" w:rsidR="001201D0" w:rsidRPr="001201D0" w:rsidRDefault="001201D0" w:rsidP="001201D0">
      <w:pPr>
        <w:tabs>
          <w:tab w:val="left" w:pos="0"/>
        </w:tabs>
        <w:ind w:left="283"/>
        <w:jc w:val="both"/>
        <w:rPr>
          <w:rFonts w:eastAsia="Calibri"/>
          <w:lang w:eastAsia="en-US"/>
        </w:rPr>
      </w:pPr>
    </w:p>
    <w:p w14:paraId="596A6047" w14:textId="77777777" w:rsidR="001201D0" w:rsidRPr="001201D0" w:rsidRDefault="001201D0" w:rsidP="001201D0">
      <w:pPr>
        <w:tabs>
          <w:tab w:val="left" w:pos="0"/>
        </w:tabs>
        <w:ind w:left="283"/>
        <w:jc w:val="both"/>
        <w:rPr>
          <w:rFonts w:eastAsia="Calibri"/>
          <w:b/>
          <w:lang w:eastAsia="en-US"/>
        </w:rPr>
      </w:pPr>
      <w:r w:rsidRPr="001201D0">
        <w:rPr>
          <w:rFonts w:eastAsia="Calibri"/>
          <w:b/>
          <w:lang w:eastAsia="en-US"/>
        </w:rPr>
        <w:t>Wymogi dotyczące gwarancji dla przedmiotu zamówienia :</w:t>
      </w:r>
    </w:p>
    <w:p w14:paraId="60FC5BAF"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Zamawiający wymaga minimalnego okresu gwarancji określonego w opisie parametrów na każdą pozycję wyposażenia wchodzącego w skład przedmiotu zamówienia, licząc od daty podpisania przez Zamawiającego protokołu zdawczo-odbiorczego.</w:t>
      </w:r>
    </w:p>
    <w:p w14:paraId="4C5624E3"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bieg terminu gwarancji rozpoczyna się w dniu następnym po podpisaniu przez Zamawiającego protokołu zdawczo-odbiorczego.</w:t>
      </w:r>
    </w:p>
    <w:p w14:paraId="1FD1E9EA"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53077A7E"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lang w:eastAsia="en-US"/>
        </w:rPr>
        <w:t>Zamawiający zobowiązuje się dotrzymywać podstawowych warunków eksploatacji określonych przez producenta w zapisach kart gwarancyjnych dostarczonych przez Wykonawcę.</w:t>
      </w:r>
    </w:p>
    <w:p w14:paraId="60F30E5C"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 xml:space="preserve">Wykonawca zobowiązuje się na czas trwania gwarancji do nieodpłatnego usuwania zgłaszanych przez przedstawiciela Zamawiającego usterek. </w:t>
      </w:r>
    </w:p>
    <w:p w14:paraId="677AD069"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rPr>
        <w:t>gwarancja ulega automatycznie przedłużeniu o okres naprawy.</w:t>
      </w:r>
    </w:p>
    <w:p w14:paraId="6D9A490C" w14:textId="77777777" w:rsidR="001201D0" w:rsidRPr="001201D0" w:rsidRDefault="001201D0" w:rsidP="001201D0">
      <w:pPr>
        <w:rPr>
          <w:b/>
        </w:rPr>
      </w:pPr>
    </w:p>
    <w:p w14:paraId="795E4CBC" w14:textId="28213D55"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Zamawiający dopuszcza składanie ofert częściowych.</w:t>
      </w:r>
      <w:r w:rsidR="0083601C" w:rsidRPr="00BA58E6">
        <w:t xml:space="preserve"> </w:t>
      </w:r>
      <w:r w:rsidR="0083601C" w:rsidRPr="0083601C">
        <w:rPr>
          <w:rFonts w:ascii="Arial" w:hAnsi="Arial" w:cs="Arial"/>
        </w:rPr>
        <w:t>Każdy Wykonawca może złożyć ofertę na dowolną liczbę części, z zastrzeżeniem możliwości złożenia tylko jednej oferty na każdą część zamówienia. Zamawiający nie określa maksymalnej liczby części zamówienia, na które może zostać udzielone zamówienie jednemu Wykonawcy</w:t>
      </w:r>
      <w:r w:rsidR="0083601C" w:rsidRPr="00BA58E6">
        <w:t>.</w:t>
      </w:r>
    </w:p>
    <w:p w14:paraId="2A898332"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3A244216"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Opis Przedmiotu Zamówienia (OPZ), stanowiący Załącznik nr 1 do SWZ.</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5E50D8C6" w14:textId="54331777"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83601C" w:rsidRPr="0083601C">
        <w:rPr>
          <w:b/>
          <w:bCs/>
        </w:rPr>
        <w:t>60 dni</w:t>
      </w:r>
      <w:r w:rsidR="0083601C">
        <w:rPr>
          <w:rFonts w:ascii="Times New Roman" w:eastAsia="Times New Roman" w:hAnsi="Times New Roman"/>
        </w:rPr>
        <w:t xml:space="preserve"> </w:t>
      </w:r>
      <w:r w:rsidR="00417F35" w:rsidRPr="00417F35">
        <w:rPr>
          <w:b/>
          <w:bCs/>
        </w:rPr>
        <w:t>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1E3AA220"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4A6A5A9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6D22898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6102FA1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62D4DFE7" w:rsidR="00E279FA" w:rsidRPr="00BA58E6" w:rsidRDefault="00883F9D" w:rsidP="006B3DBC">
      <w:pPr>
        <w:numPr>
          <w:ilvl w:val="0"/>
          <w:numId w:val="8"/>
        </w:numPr>
        <w:spacing w:before="60" w:after="60" w:line="360" w:lineRule="auto"/>
        <w:ind w:left="1246" w:hanging="434"/>
        <w:jc w:val="both"/>
      </w:pPr>
      <w:r w:rsidRPr="00BA58E6">
        <w:t xml:space="preserve">w </w:t>
      </w:r>
      <w:r w:rsidR="00FA0CDE" w:rsidRPr="00BA58E6">
        <w:t>stosunku</w:t>
      </w:r>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1B2F2E19"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r w:rsidR="00FA0CDE" w:rsidRPr="00BA58E6">
        <w:t>szczególności,</w:t>
      </w:r>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2" w:name="_gb4nrns0uw97" w:colFirst="0" w:colLast="0"/>
      <w:bookmarkEnd w:id="12"/>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130D5EEE" w:rsidR="00873FA8" w:rsidRPr="0001366E" w:rsidRDefault="00873FA8" w:rsidP="00873FA8">
      <w:pPr>
        <w:spacing w:line="320" w:lineRule="auto"/>
        <w:ind w:left="720"/>
        <w:jc w:val="both"/>
      </w:pPr>
      <w:r w:rsidRPr="0001366E">
        <w:t xml:space="preserve">-w sprawach merytorycznych – </w:t>
      </w:r>
      <w:r w:rsidR="0083601C">
        <w:t>Rafał Sakowicz</w:t>
      </w:r>
      <w:r w:rsidR="00FA0CDE">
        <w:t>, Bogusław Stasiuk</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6" w:name="_21eeoojwb3nb" w:colFirst="0" w:colLast="0"/>
      <w:bookmarkEnd w:id="16"/>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105C97">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1C4E5E" w:rsidRDefault="0063510A" w:rsidP="0063510A">
      <w:pPr>
        <w:numPr>
          <w:ilvl w:val="0"/>
          <w:numId w:val="42"/>
        </w:numPr>
        <w:spacing w:line="320" w:lineRule="auto"/>
        <w:jc w:val="both"/>
        <w:rPr>
          <w:lang w:val="pl"/>
        </w:rPr>
      </w:pPr>
      <w:r w:rsidRPr="001C4E5E">
        <w:rPr>
          <w:lang w:val="pl"/>
        </w:rPr>
        <w:t xml:space="preserve">Formularz ofertowy wraz z oświadczeniami o spełnianiu warunków udział w postępowaniu oraz braku podstaw do wykluczenia o treści zgodnej z </w:t>
      </w:r>
      <w:r w:rsidRPr="001C4E5E">
        <w:rPr>
          <w:b/>
          <w:lang w:val="pl"/>
        </w:rPr>
        <w:t>Załącznikiem nr 2 do SWZ.</w:t>
      </w:r>
    </w:p>
    <w:p w14:paraId="526B9851" w14:textId="77777777" w:rsidR="0063510A" w:rsidRPr="001C4E5E" w:rsidRDefault="0063510A" w:rsidP="0063510A">
      <w:pPr>
        <w:numPr>
          <w:ilvl w:val="0"/>
          <w:numId w:val="42"/>
        </w:numPr>
        <w:spacing w:line="320" w:lineRule="auto"/>
        <w:jc w:val="both"/>
        <w:rPr>
          <w:lang w:val="pl"/>
        </w:rPr>
      </w:pPr>
      <w:r w:rsidRPr="001C4E5E">
        <w:rPr>
          <w:lang w:val="pl"/>
        </w:rPr>
        <w:t>Pełnomocnictwo (jeśli wymagane)</w:t>
      </w:r>
    </w:p>
    <w:p w14:paraId="04BF42FB" w14:textId="77777777" w:rsidR="0063510A" w:rsidRPr="001C4E5E" w:rsidRDefault="0063510A" w:rsidP="0063510A">
      <w:pPr>
        <w:numPr>
          <w:ilvl w:val="0"/>
          <w:numId w:val="42"/>
        </w:numPr>
        <w:spacing w:line="320" w:lineRule="auto"/>
        <w:jc w:val="both"/>
        <w:rPr>
          <w:lang w:val="pl"/>
        </w:rPr>
      </w:pPr>
      <w:r w:rsidRPr="001C4E5E">
        <w:rPr>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7" w:name="_c8de4rg6s4kb" w:colFirst="0" w:colLast="0"/>
      <w:bookmarkEnd w:id="17"/>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3D8932E4" w:rsidR="00E279FA" w:rsidRPr="001C4E5E" w:rsidRDefault="00883F9D" w:rsidP="006B3DBC">
      <w:pPr>
        <w:numPr>
          <w:ilvl w:val="0"/>
          <w:numId w:val="28"/>
        </w:numPr>
        <w:spacing w:before="240" w:line="360" w:lineRule="auto"/>
        <w:ind w:left="426"/>
        <w:jc w:val="both"/>
        <w:rPr>
          <w:color w:val="000000" w:themeColor="text1"/>
        </w:rPr>
      </w:pPr>
      <w:r w:rsidRPr="001C4E5E">
        <w:rPr>
          <w:color w:val="000000" w:themeColor="text1"/>
        </w:rPr>
        <w:t xml:space="preserve">Wykonawca będzie związany ofertą przez okres </w:t>
      </w:r>
      <w:r w:rsidRPr="001C4E5E">
        <w:rPr>
          <w:b/>
          <w:color w:val="000000" w:themeColor="text1"/>
        </w:rPr>
        <w:t>30 dni</w:t>
      </w:r>
      <w:r w:rsidRPr="001C4E5E">
        <w:rPr>
          <w:color w:val="000000" w:themeColor="text1"/>
        </w:rPr>
        <w:t xml:space="preserve">, tj. do dnia </w:t>
      </w:r>
      <w:r w:rsidR="00497921">
        <w:rPr>
          <w:color w:val="000000" w:themeColor="text1"/>
        </w:rPr>
        <w:t>1</w:t>
      </w:r>
      <w:r w:rsidR="00BA5F44">
        <w:rPr>
          <w:color w:val="000000" w:themeColor="text1"/>
        </w:rPr>
        <w:t>4</w:t>
      </w:r>
      <w:r w:rsidR="00497921">
        <w:rPr>
          <w:color w:val="000000" w:themeColor="text1"/>
        </w:rPr>
        <w:t xml:space="preserve"> </w:t>
      </w:r>
      <w:r w:rsidR="00BA5F44">
        <w:rPr>
          <w:color w:val="000000" w:themeColor="text1"/>
        </w:rPr>
        <w:t>września</w:t>
      </w:r>
      <w:r w:rsidR="00EB6193" w:rsidRPr="001C4E5E">
        <w:rPr>
          <w:color w:val="000000" w:themeColor="text1"/>
        </w:rPr>
        <w:t xml:space="preserve"> 2021</w:t>
      </w:r>
      <w:r w:rsidR="004A2C0A" w:rsidRPr="001C4E5E">
        <w:rPr>
          <w:color w:val="000000" w:themeColor="text1"/>
        </w:rPr>
        <w:t xml:space="preserve"> </w:t>
      </w:r>
      <w:r w:rsidRPr="001C4E5E">
        <w:rPr>
          <w:color w:val="000000" w:themeColor="text1"/>
        </w:rPr>
        <w:t>r. Bieg terminu związania ofertą rozpoczyna się wraz z upływem terminu składania ofert.</w:t>
      </w:r>
    </w:p>
    <w:p w14:paraId="278BE693" w14:textId="18BD6DC1" w:rsidR="00E279FA" w:rsidRPr="001C4E5E" w:rsidRDefault="00883F9D" w:rsidP="006B3DBC">
      <w:pPr>
        <w:numPr>
          <w:ilvl w:val="0"/>
          <w:numId w:val="28"/>
        </w:numPr>
        <w:spacing w:line="360" w:lineRule="auto"/>
        <w:ind w:left="426"/>
        <w:jc w:val="both"/>
        <w:rPr>
          <w:highlight w:val="yellow"/>
        </w:rPr>
      </w:pPr>
      <w:r w:rsidRPr="001C4E5E">
        <w:t>W przypadku gdy wybór najkorzystniejszej oferty nie nastąpi przed upływem terminu związania ofertą wskazanego w ust. 1, Zamawiający przed upływem terminu związania</w:t>
      </w:r>
      <w:r w:rsidRPr="0001366E">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t>
      </w:r>
      <w:r w:rsidRPr="0083601C">
        <w:t>wyrażeniu zgody na przedłużenie terminu związania ofertą.</w:t>
      </w:r>
    </w:p>
    <w:p w14:paraId="362852F7" w14:textId="1AB6755D" w:rsidR="001C4E5E" w:rsidRPr="001C4E5E" w:rsidRDefault="001C4E5E" w:rsidP="006B3DBC">
      <w:pPr>
        <w:numPr>
          <w:ilvl w:val="0"/>
          <w:numId w:val="28"/>
        </w:numPr>
        <w:spacing w:line="360" w:lineRule="auto"/>
        <w:ind w:left="426"/>
        <w:jc w:val="both"/>
      </w:pPr>
      <w:r w:rsidRPr="001C4E5E">
        <w:t>Odmowa wyrażenia zgody na przedłużenie terminu związania ofertą nie powoduje utraty wadium</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3E79A696" w:rsidR="00E279FA" w:rsidRPr="00A8049D"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BA5F44" w:rsidRPr="00A8049D">
        <w:rPr>
          <w:b/>
          <w:bCs/>
          <w:color w:val="000000" w:themeColor="text1"/>
        </w:rPr>
        <w:t>16 sierpnia</w:t>
      </w:r>
      <w:r w:rsidR="00EB6193" w:rsidRPr="00A8049D">
        <w:rPr>
          <w:b/>
          <w:bCs/>
          <w:color w:val="000000" w:themeColor="text1"/>
        </w:rPr>
        <w:t xml:space="preserve"> 2021 </w:t>
      </w:r>
      <w:r w:rsidR="004A2C0A" w:rsidRPr="00A8049D">
        <w:rPr>
          <w:b/>
          <w:bCs/>
          <w:color w:val="000000" w:themeColor="text1"/>
        </w:rPr>
        <w:t>r.</w:t>
      </w:r>
      <w:r w:rsidRPr="00A8049D">
        <w:rPr>
          <w:b/>
          <w:bCs/>
          <w:color w:val="000000" w:themeColor="text1"/>
        </w:rPr>
        <w:t xml:space="preserve"> do godziny </w:t>
      </w:r>
      <w:r w:rsidR="004A2C0A" w:rsidRPr="00A8049D">
        <w:rPr>
          <w:b/>
          <w:bCs/>
          <w:color w:val="000000" w:themeColor="text1"/>
        </w:rPr>
        <w:t>10:00</w:t>
      </w:r>
      <w:r w:rsidR="00BA5F44" w:rsidRPr="00A8049D">
        <w:rPr>
          <w:b/>
          <w:bCs/>
          <w:color w:val="000000" w:themeColor="text1"/>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5D6892C2" w:rsidR="00E279FA" w:rsidRPr="0083601C"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dołączenia wszystkich </w:t>
      </w:r>
      <w:r w:rsidRPr="0083601C">
        <w:t>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7D735E3E" w:rsidR="00E279FA" w:rsidRPr="00A8049D" w:rsidRDefault="00883F9D">
      <w:pPr>
        <w:numPr>
          <w:ilvl w:val="0"/>
          <w:numId w:val="3"/>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497921" w:rsidRPr="00A8049D">
        <w:rPr>
          <w:b/>
          <w:bCs/>
          <w:color w:val="000000" w:themeColor="text1"/>
        </w:rPr>
        <w:t>16 sierpnia</w:t>
      </w:r>
      <w:r w:rsidR="00EB6193" w:rsidRPr="00A8049D">
        <w:rPr>
          <w:b/>
          <w:bCs/>
          <w:color w:val="000000" w:themeColor="text1"/>
        </w:rPr>
        <w:t xml:space="preserve"> 2021</w:t>
      </w:r>
      <w:r w:rsidR="004A2C0A" w:rsidRPr="00A8049D">
        <w:rPr>
          <w:b/>
          <w:bCs/>
          <w:color w:val="000000" w:themeColor="text1"/>
        </w:rPr>
        <w:t xml:space="preserve"> r. godzina 10:0</w:t>
      </w:r>
      <w:r w:rsidR="00B52BEE" w:rsidRPr="00A8049D">
        <w:rPr>
          <w:b/>
          <w:bCs/>
          <w:color w:val="000000" w:themeColor="text1"/>
        </w:rPr>
        <w:t>5</w:t>
      </w:r>
      <w:r w:rsidR="004A2C0A" w:rsidRPr="00A8049D">
        <w:rPr>
          <w:b/>
          <w:bCs/>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C41A798" w:rsidR="00E279FA" w:rsidRPr="0001366E" w:rsidRDefault="00883F9D" w:rsidP="006B3DBC">
      <w:pPr>
        <w:numPr>
          <w:ilvl w:val="0"/>
          <w:numId w:val="20"/>
        </w:numPr>
        <w:spacing w:line="360" w:lineRule="auto"/>
        <w:ind w:left="924" w:hanging="476"/>
      </w:pPr>
      <w:r w:rsidRPr="0001366E">
        <w:rPr>
          <w:b/>
        </w:rPr>
        <w:t>Cena (</w:t>
      </w:r>
      <w:r w:rsidR="00115286">
        <w:rPr>
          <w:b/>
        </w:rPr>
        <w:t>K1</w:t>
      </w:r>
      <w:r w:rsidRPr="0001366E">
        <w:rPr>
          <w:b/>
        </w:rPr>
        <w:t>)</w:t>
      </w:r>
      <w:r w:rsidRPr="0001366E">
        <w:t xml:space="preserve"> – waga kryterium </w:t>
      </w:r>
      <w:r w:rsidR="009F71B5" w:rsidRPr="0001366E">
        <w:rPr>
          <w:smallCaps/>
        </w:rPr>
        <w:t>60</w:t>
      </w:r>
      <w:r w:rsidRPr="0001366E">
        <w:t>%;</w:t>
      </w:r>
    </w:p>
    <w:p w14:paraId="1554F19D" w14:textId="3D82A4D2" w:rsidR="00E279FA" w:rsidRPr="00115286" w:rsidRDefault="00115286" w:rsidP="006B3DBC">
      <w:pPr>
        <w:numPr>
          <w:ilvl w:val="0"/>
          <w:numId w:val="20"/>
        </w:numPr>
        <w:spacing w:line="360" w:lineRule="auto"/>
        <w:ind w:left="924" w:hanging="476"/>
      </w:pPr>
      <w:r>
        <w:rPr>
          <w:b/>
        </w:rPr>
        <w:t>Termin dostawy(K2)</w:t>
      </w:r>
      <w:r w:rsidR="00883F9D" w:rsidRPr="00115286">
        <w:t xml:space="preserve">– waga kryterium </w:t>
      </w:r>
      <w:r w:rsidR="004B1522" w:rsidRPr="00115286">
        <w:rPr>
          <w:smallCaps/>
        </w:rPr>
        <w:t>40</w:t>
      </w:r>
      <w:r w:rsidR="00883F9D" w:rsidRPr="00115286">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2F7EAD87" w:rsidR="00E279FA" w:rsidRPr="0001366E" w:rsidRDefault="00883F9D" w:rsidP="006B3DBC">
      <w:pPr>
        <w:numPr>
          <w:ilvl w:val="0"/>
          <w:numId w:val="22"/>
        </w:numPr>
        <w:spacing w:line="360" w:lineRule="auto"/>
        <w:ind w:left="910" w:hanging="484"/>
        <w:jc w:val="both"/>
      </w:pPr>
      <w:r w:rsidRPr="0001366E">
        <w:rPr>
          <w:b/>
        </w:rPr>
        <w:t>Cena (</w:t>
      </w:r>
      <w:r w:rsidR="00115286">
        <w:rPr>
          <w:b/>
        </w:rPr>
        <w:t>K1</w:t>
      </w:r>
      <w:r w:rsidRPr="0001366E">
        <w:rPr>
          <w:b/>
        </w:rPr>
        <w:t xml:space="preserve">) – waga </w:t>
      </w:r>
      <w:r w:rsidR="004B1522" w:rsidRPr="0001366E">
        <w:rPr>
          <w:b/>
          <w:smallCaps/>
        </w:rPr>
        <w:t>60</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69050670" w:rsidR="00E279FA" w:rsidRPr="0001366E" w:rsidRDefault="00115286">
      <w:pPr>
        <w:spacing w:line="360" w:lineRule="auto"/>
        <w:ind w:left="1080"/>
        <w:jc w:val="both"/>
      </w:pPr>
      <w:r>
        <w:rPr>
          <w:b/>
        </w:rPr>
        <w:t>K1</w:t>
      </w:r>
      <w:r w:rsidR="00883F9D" w:rsidRPr="0001366E">
        <w:rPr>
          <w:b/>
        </w:rPr>
        <w:t xml:space="preserve"> =</w:t>
      </w:r>
      <w:r w:rsidR="00883F9D" w:rsidRPr="0001366E">
        <w:rPr>
          <w:strike/>
        </w:rPr>
        <w:t xml:space="preserve">------------------------------------------------ </w:t>
      </w:r>
      <w:r w:rsidR="00883F9D" w:rsidRPr="0001366E">
        <w:rPr>
          <w:b/>
        </w:rPr>
        <w:t xml:space="preserve">x </w:t>
      </w:r>
      <w:r w:rsidR="00883F9D" w:rsidRPr="0001366E">
        <w:rPr>
          <w:b/>
          <w:smallCaps/>
        </w:rPr>
        <w:t> </w:t>
      </w:r>
      <w:r w:rsidR="004B1522" w:rsidRPr="0001366E">
        <w:rPr>
          <w:b/>
          <w:smallCaps/>
        </w:rPr>
        <w:t>60</w:t>
      </w:r>
      <w:r w:rsidR="00883F9D"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4C081EC" w14:textId="01733F7F" w:rsidR="001C4E5E" w:rsidRPr="0001366E" w:rsidRDefault="001C4E5E" w:rsidP="001C4E5E">
      <w:pPr>
        <w:numPr>
          <w:ilvl w:val="0"/>
          <w:numId w:val="22"/>
        </w:numPr>
        <w:spacing w:line="360" w:lineRule="auto"/>
        <w:ind w:left="910" w:hanging="484"/>
        <w:jc w:val="both"/>
      </w:pPr>
      <w:r>
        <w:rPr>
          <w:b/>
        </w:rPr>
        <w:t>Termin dostawy</w:t>
      </w:r>
      <w:r w:rsidRPr="0001366E">
        <w:rPr>
          <w:b/>
        </w:rPr>
        <w:t xml:space="preserve"> (</w:t>
      </w:r>
      <w:r w:rsidR="00115286">
        <w:rPr>
          <w:b/>
        </w:rPr>
        <w:t>K2</w:t>
      </w:r>
      <w:r w:rsidRPr="0001366E">
        <w:rPr>
          <w:b/>
        </w:rPr>
        <w:t>)</w:t>
      </w:r>
      <w:r w:rsidRPr="0001366E">
        <w:rPr>
          <w:b/>
        </w:rPr>
        <w:tab/>
        <w:t xml:space="preserve">      – waga </w:t>
      </w:r>
      <w:r w:rsidRPr="0001366E">
        <w:rPr>
          <w:b/>
          <w:smallCaps/>
        </w:rPr>
        <w:t>40</w:t>
      </w:r>
      <w:r w:rsidRPr="0001366E">
        <w:rPr>
          <w:b/>
        </w:rPr>
        <w:t>%</w:t>
      </w:r>
    </w:p>
    <w:p w14:paraId="3844E60B" w14:textId="77777777" w:rsidR="001C4E5E" w:rsidRPr="0001366E" w:rsidRDefault="001C4E5E" w:rsidP="001C4E5E">
      <w:pPr>
        <w:spacing w:line="36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463A0D63" w14:textId="77777777" w:rsidR="001C4E5E" w:rsidRPr="0001366E" w:rsidRDefault="001C4E5E" w:rsidP="001C4E5E">
      <w:pPr>
        <w:spacing w:line="360" w:lineRule="auto"/>
        <w:jc w:val="both"/>
        <w:rPr>
          <w:rFonts w:eastAsia="Times New Roman"/>
        </w:rPr>
      </w:pPr>
    </w:p>
    <w:p w14:paraId="3C205D31" w14:textId="77777777" w:rsidR="001C4E5E" w:rsidRPr="00C040B3" w:rsidRDefault="001C4E5E" w:rsidP="001C4E5E">
      <w:pPr>
        <w:spacing w:line="360" w:lineRule="auto"/>
        <w:jc w:val="both"/>
        <w:rPr>
          <w:rFonts w:eastAsia="Times New Roman"/>
          <w:b/>
        </w:rPr>
      </w:pPr>
      <w:r w:rsidRPr="00C040B3">
        <w:rPr>
          <w:rFonts w:eastAsia="Times New Roman"/>
          <w:b/>
        </w:rPr>
        <w:t>Punktacja oceny dla kryterium 2:</w:t>
      </w:r>
    </w:p>
    <w:p w14:paraId="40A3EC8E" w14:textId="57337D45" w:rsidR="001C4E5E" w:rsidRPr="00C040B3"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5</w:t>
      </w:r>
      <w:r w:rsidRPr="00A8049D">
        <w:rPr>
          <w:rFonts w:eastAsia="Times New Roman"/>
          <w:b/>
          <w:bCs/>
        </w:rPr>
        <w:t xml:space="preserve"> do </w:t>
      </w:r>
      <w:r w:rsidR="000F5D43" w:rsidRPr="00A8049D">
        <w:rPr>
          <w:rFonts w:eastAsia="Times New Roman"/>
          <w:b/>
          <w:bCs/>
        </w:rPr>
        <w:t>15</w:t>
      </w:r>
      <w:r w:rsidRPr="00A8049D">
        <w:rPr>
          <w:rFonts w:eastAsia="Times New Roman"/>
          <w:b/>
          <w:bCs/>
        </w:rPr>
        <w:t xml:space="preserve"> dni</w:t>
      </w:r>
      <w:r w:rsidRPr="00C040B3">
        <w:rPr>
          <w:rFonts w:eastAsia="Times New Roman"/>
        </w:rPr>
        <w:t xml:space="preserve"> kalendarzowych od dnia podpisania umowy  - </w:t>
      </w:r>
      <w:r w:rsidRPr="00A8049D">
        <w:rPr>
          <w:rFonts w:eastAsia="Times New Roman"/>
          <w:b/>
          <w:bCs/>
        </w:rPr>
        <w:t>40 pkt</w:t>
      </w:r>
      <w:r w:rsidRPr="00C040B3">
        <w:rPr>
          <w:rFonts w:eastAsia="Times New Roman"/>
        </w:rPr>
        <w:t>.</w:t>
      </w:r>
    </w:p>
    <w:p w14:paraId="6BB6CF90" w14:textId="4E2EEF5E" w:rsidR="001C4E5E"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16</w:t>
      </w:r>
      <w:r w:rsidRPr="00A8049D">
        <w:rPr>
          <w:rFonts w:eastAsia="Times New Roman"/>
          <w:b/>
          <w:bCs/>
        </w:rPr>
        <w:t xml:space="preserve"> do </w:t>
      </w:r>
      <w:r w:rsidR="000F5D43" w:rsidRPr="00A8049D">
        <w:rPr>
          <w:rFonts w:eastAsia="Times New Roman"/>
          <w:b/>
          <w:bCs/>
        </w:rPr>
        <w:t>35</w:t>
      </w:r>
      <w:r w:rsidRPr="00A8049D">
        <w:rPr>
          <w:rFonts w:eastAsia="Times New Roman"/>
          <w:b/>
          <w:bCs/>
        </w:rPr>
        <w:t xml:space="preserve"> dni</w:t>
      </w:r>
      <w:r w:rsidRPr="00C040B3">
        <w:rPr>
          <w:rFonts w:eastAsia="Times New Roman"/>
        </w:rPr>
        <w:t xml:space="preserve"> kalendarzowych od dnia podpisania umowy  - </w:t>
      </w:r>
      <w:r w:rsidR="000F5D43" w:rsidRPr="00A8049D">
        <w:rPr>
          <w:rFonts w:eastAsia="Times New Roman"/>
          <w:b/>
          <w:bCs/>
        </w:rPr>
        <w:t>3</w:t>
      </w:r>
      <w:r w:rsidRPr="00A8049D">
        <w:rPr>
          <w:rFonts w:eastAsia="Times New Roman"/>
          <w:b/>
          <w:bCs/>
        </w:rPr>
        <w:t>0 pkt</w:t>
      </w:r>
      <w:r w:rsidRPr="00C040B3">
        <w:rPr>
          <w:rFonts w:eastAsia="Times New Roman"/>
        </w:rPr>
        <w:t>.</w:t>
      </w:r>
    </w:p>
    <w:p w14:paraId="4F7CE1AA" w14:textId="23BE832B" w:rsidR="000F5D43" w:rsidRPr="00C040B3" w:rsidRDefault="000F5D43" w:rsidP="000F5D43">
      <w:pPr>
        <w:spacing w:line="360" w:lineRule="auto"/>
        <w:jc w:val="both"/>
        <w:rPr>
          <w:rFonts w:eastAsia="Times New Roman"/>
        </w:rPr>
      </w:pPr>
      <w:r w:rsidRPr="00C040B3">
        <w:rPr>
          <w:rFonts w:eastAsia="Times New Roman"/>
        </w:rPr>
        <w:t xml:space="preserve">- Wykonawca deklaruje termin dostawy od </w:t>
      </w:r>
      <w:r w:rsidRPr="00A8049D">
        <w:rPr>
          <w:rFonts w:eastAsia="Times New Roman"/>
          <w:b/>
          <w:bCs/>
        </w:rPr>
        <w:t>36 do 59</w:t>
      </w:r>
      <w:r w:rsidRPr="00C040B3">
        <w:rPr>
          <w:rFonts w:eastAsia="Times New Roman"/>
        </w:rPr>
        <w:t xml:space="preserve"> dni kalendarzowych od dnia podpisania umowy  - </w:t>
      </w:r>
      <w:r w:rsidRPr="00A8049D">
        <w:rPr>
          <w:rFonts w:eastAsia="Times New Roman"/>
          <w:b/>
          <w:bCs/>
        </w:rPr>
        <w:t>20 pkt.</w:t>
      </w:r>
    </w:p>
    <w:p w14:paraId="5F45A831" w14:textId="6C9E5067" w:rsidR="001C4E5E" w:rsidRPr="00A8049D" w:rsidRDefault="001C4E5E" w:rsidP="001C4E5E">
      <w:pPr>
        <w:spacing w:line="360" w:lineRule="auto"/>
        <w:jc w:val="both"/>
        <w:rPr>
          <w:rFonts w:eastAsia="Times New Roman"/>
        </w:rPr>
      </w:pPr>
      <w:r w:rsidRPr="00A8049D">
        <w:rPr>
          <w:rFonts w:eastAsia="Times New Roman"/>
        </w:rPr>
        <w:t xml:space="preserve">- Wykonawca nie deklaruje określonego terminu stosownie do części zamówienia lub deklaruje jego wykonanie w terminie </w:t>
      </w:r>
      <w:r w:rsidRPr="00A8049D">
        <w:rPr>
          <w:rFonts w:eastAsia="Times New Roman"/>
          <w:b/>
          <w:bCs/>
        </w:rPr>
        <w:t>60 dni</w:t>
      </w:r>
      <w:r w:rsidRPr="00A8049D">
        <w:rPr>
          <w:rFonts w:eastAsia="Times New Roman"/>
        </w:rPr>
        <w:t xml:space="preserve"> kalendarzowych od dnia podpisania umowy (oznacza wykonanie przedmiotu zamówienia w maksymalnie określonym terminie) - </w:t>
      </w:r>
      <w:r w:rsidRPr="00A8049D">
        <w:rPr>
          <w:rFonts w:eastAsia="Times New Roman"/>
          <w:b/>
          <w:bCs/>
        </w:rPr>
        <w:t>0 pkt</w:t>
      </w:r>
      <w:r w:rsidRPr="00A8049D">
        <w:rPr>
          <w:rFonts w:eastAsia="Times New Roman"/>
        </w:rPr>
        <w:t xml:space="preserve">. </w:t>
      </w:r>
    </w:p>
    <w:p w14:paraId="3EF6C3EC" w14:textId="0B565C8D" w:rsidR="000F5D43" w:rsidRPr="000F5D43" w:rsidRDefault="000F5D43" w:rsidP="000F5D43">
      <w:pPr>
        <w:spacing w:line="360" w:lineRule="auto"/>
        <w:jc w:val="both"/>
        <w:rPr>
          <w:rFonts w:eastAsia="Times New Roman"/>
        </w:rPr>
      </w:pPr>
      <w:r w:rsidRPr="00A8049D">
        <w:rPr>
          <w:rFonts w:eastAsia="Times New Roman"/>
        </w:rPr>
        <w:t xml:space="preserve">W przypadku gdy Wykonawca deklaruje krótszy od minimalnego termin dostawy (tj. od 1 do 4 dni  kalendarzowych lub powyżej 60 dni) Zamawiający odrzuca ofertę na podstawie art. </w:t>
      </w:r>
      <w:r w:rsidR="00497921" w:rsidRPr="00A8049D">
        <w:rPr>
          <w:rFonts w:eastAsia="Times New Roman"/>
        </w:rPr>
        <w:t xml:space="preserve">226 </w:t>
      </w:r>
      <w:r w:rsidRPr="00A8049D">
        <w:rPr>
          <w:rFonts w:eastAsia="Times New Roman"/>
        </w:rPr>
        <w:t xml:space="preserve">ust.1 pkt. </w:t>
      </w:r>
      <w:r w:rsidR="00497921" w:rsidRPr="00A8049D">
        <w:rPr>
          <w:rFonts w:eastAsia="Times New Roman"/>
        </w:rPr>
        <w:t>5</w:t>
      </w:r>
      <w:r w:rsidRPr="00A8049D">
        <w:rPr>
          <w:rFonts w:eastAsia="Times New Roman"/>
        </w:rPr>
        <w:t xml:space="preserve"> ustawy Prawo zamówień publicznych (Dz. U. z </w:t>
      </w:r>
      <w:r w:rsidR="00497921" w:rsidRPr="00A8049D">
        <w:rPr>
          <w:rFonts w:eastAsia="Times New Roman"/>
        </w:rPr>
        <w:t>2021</w:t>
      </w:r>
      <w:r w:rsidRPr="00A8049D">
        <w:rPr>
          <w:rFonts w:eastAsia="Times New Roman"/>
        </w:rPr>
        <w:t xml:space="preserve"> r. poz. </w:t>
      </w:r>
      <w:r w:rsidR="00497921" w:rsidRPr="00A8049D">
        <w:rPr>
          <w:rFonts w:eastAsia="Times New Roman"/>
        </w:rPr>
        <w:t>1129</w:t>
      </w:r>
      <w:r w:rsidRPr="00A8049D">
        <w:rPr>
          <w:rFonts w:eastAsia="Times New Roman"/>
        </w:rPr>
        <w:t>.)</w:t>
      </w:r>
    </w:p>
    <w:p w14:paraId="0E525AC3" w14:textId="5EBACA7B"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0870A117" w14:textId="77777777" w:rsidR="001C4E5E" w:rsidRPr="00C040B3" w:rsidRDefault="001C4E5E" w:rsidP="001C4E5E">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E0B650" w14:textId="77777777" w:rsidR="001C4E5E" w:rsidRPr="00C040B3" w:rsidRDefault="001C4E5E" w:rsidP="001C4E5E">
      <w:pPr>
        <w:spacing w:line="360" w:lineRule="auto"/>
        <w:jc w:val="both"/>
        <w:rPr>
          <w:rFonts w:eastAsia="Times New Roman"/>
        </w:rPr>
      </w:pPr>
      <w:r w:rsidRPr="00C040B3">
        <w:rPr>
          <w:rFonts w:eastAsia="Times New Roman"/>
        </w:rPr>
        <w:t>Ocena ogólna poszczególnych ofert dokonywana będzie w oparciu o poniższy wzór:</w:t>
      </w:r>
    </w:p>
    <w:p w14:paraId="3EBEF56D" w14:textId="77777777"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EDA32AF" w14:textId="77777777" w:rsidR="001C4E5E" w:rsidRPr="00C040B3" w:rsidRDefault="001C4E5E" w:rsidP="001C4E5E">
      <w:pPr>
        <w:spacing w:line="360" w:lineRule="auto"/>
        <w:jc w:val="both"/>
        <w:rPr>
          <w:rFonts w:eastAsia="Times New Roman"/>
        </w:rPr>
      </w:pPr>
      <w:r w:rsidRPr="00C040B3">
        <w:rPr>
          <w:rFonts w:eastAsia="Times New Roman"/>
        </w:rPr>
        <w:t>gdzie:</w:t>
      </w:r>
    </w:p>
    <w:p w14:paraId="53D7467B" w14:textId="77777777" w:rsidR="001C4E5E" w:rsidRPr="00C040B3" w:rsidRDefault="001C4E5E" w:rsidP="001C4E5E">
      <w:pPr>
        <w:spacing w:line="360" w:lineRule="auto"/>
        <w:jc w:val="both"/>
        <w:rPr>
          <w:rFonts w:eastAsia="Times New Roman"/>
        </w:rPr>
      </w:pPr>
      <w:r w:rsidRPr="00C040B3">
        <w:rPr>
          <w:rFonts w:eastAsia="Times New Roman"/>
        </w:rPr>
        <w:t>O – oznacza łączną ocenę, jako sumę punktów w poszczególnych kryteriach</w:t>
      </w:r>
    </w:p>
    <w:p w14:paraId="04B7AD89" w14:textId="77777777" w:rsidR="001C4E5E" w:rsidRPr="00C040B3" w:rsidRDefault="001C4E5E" w:rsidP="001C4E5E">
      <w:pPr>
        <w:spacing w:line="360" w:lineRule="auto"/>
        <w:jc w:val="both"/>
        <w:rPr>
          <w:rFonts w:eastAsia="Times New Roman"/>
        </w:rPr>
      </w:pPr>
      <w:r w:rsidRPr="00C040B3">
        <w:rPr>
          <w:rFonts w:eastAsia="Times New Roman"/>
        </w:rPr>
        <w:t>K1 – liczba punktów uzyskanych w kryterium „Cena”</w:t>
      </w:r>
    </w:p>
    <w:p w14:paraId="158913E0" w14:textId="77777777" w:rsidR="001C4E5E" w:rsidRPr="00C040B3" w:rsidRDefault="001C4E5E" w:rsidP="001C4E5E">
      <w:pPr>
        <w:spacing w:line="360" w:lineRule="auto"/>
        <w:jc w:val="both"/>
        <w:rPr>
          <w:rFonts w:eastAsia="Times New Roman"/>
        </w:rPr>
      </w:pPr>
      <w:r w:rsidRPr="00C040B3">
        <w:rPr>
          <w:rFonts w:eastAsia="Times New Roman"/>
        </w:rPr>
        <w:t>K2 – liczba punktów uzyskanych w kryterium – „Termin dostawy”</w:t>
      </w:r>
    </w:p>
    <w:p w14:paraId="46CC2735" w14:textId="77777777" w:rsidR="001C4E5E" w:rsidRDefault="001C4E5E" w:rsidP="001C4E5E">
      <w:pPr>
        <w:spacing w:line="360" w:lineRule="auto"/>
        <w:jc w:val="both"/>
      </w:pPr>
      <w:r w:rsidRPr="00C040B3">
        <w:rPr>
          <w:rFonts w:eastAsia="Times New Roman"/>
        </w:rPr>
        <w:t>Punktacja przyznawana ofertom w poszczególnych kryteriach</w:t>
      </w:r>
      <w:r w:rsidRPr="0001366E">
        <w:t xml:space="preserve"> oceny ofert będzie liczona z dokładnością do dwóch miejsc po przecinku, zgodnie z zasadami arytmetyki.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4" w:name="_8o16t0j5rcy" w:colFirst="0" w:colLast="0"/>
      <w:bookmarkEnd w:id="24"/>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5" w:name="_n1rtepxw0unn" w:colFirst="0" w:colLast="0"/>
      <w:bookmarkEnd w:id="25"/>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6" w:name="_kmfqfyi30wag" w:colFirst="0" w:colLast="0"/>
      <w:bookmarkEnd w:id="26"/>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7" w:name="_uarrfy5kozla" w:colFirst="0" w:colLast="0"/>
      <w:bookmarkEnd w:id="27"/>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22AA0242"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r w:rsidR="00412E6F">
        <w:t xml:space="preserve"> ( </w:t>
      </w:r>
      <w:r w:rsidR="00412E6F" w:rsidRPr="004F4101">
        <w:rPr>
          <w:color w:val="000000"/>
        </w:rPr>
        <w:t>art. 125 ust. 1 ustawy z dnia 11 września 2019 r</w:t>
      </w:r>
      <w:r w:rsidR="00412E6F">
        <w:rPr>
          <w:color w:val="000000"/>
        </w:rPr>
        <w:t xml:space="preserve"> </w:t>
      </w:r>
      <w:proofErr w:type="spellStart"/>
      <w:r w:rsidR="00412E6F">
        <w:rPr>
          <w:color w:val="000000"/>
        </w:rPr>
        <w:t>Pzp</w:t>
      </w:r>
      <w:proofErr w:type="spellEnd"/>
      <w:r w:rsidR="00412E6F">
        <w:rPr>
          <w:color w:val="000000"/>
        </w:rPr>
        <w:t>)</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footerReference w:type="default" r:id="rId35"/>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DBF6" w14:textId="77777777" w:rsidR="00105C97" w:rsidRDefault="00105C97">
      <w:pPr>
        <w:spacing w:line="240" w:lineRule="auto"/>
      </w:pPr>
      <w:r>
        <w:separator/>
      </w:r>
    </w:p>
  </w:endnote>
  <w:endnote w:type="continuationSeparator" w:id="0">
    <w:p w14:paraId="26EB1219" w14:textId="77777777" w:rsidR="00105C97" w:rsidRDefault="00105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0A15B2B4" w:rsidR="00602D33" w:rsidRDefault="006041E4" w:rsidP="006041E4">
    <w:pPr>
      <w:tabs>
        <w:tab w:val="right" w:pos="9029"/>
      </w:tabs>
    </w:pP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7680" w14:textId="77777777" w:rsidR="00105C97" w:rsidRDefault="00105C97">
      <w:pPr>
        <w:spacing w:line="240" w:lineRule="auto"/>
      </w:pPr>
      <w:r>
        <w:separator/>
      </w:r>
    </w:p>
  </w:footnote>
  <w:footnote w:type="continuationSeparator" w:id="0">
    <w:p w14:paraId="7D3E7AFA" w14:textId="77777777" w:rsidR="00105C97" w:rsidRDefault="00105C97">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6"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8"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0"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3"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20"/>
  </w:num>
  <w:num w:numId="4">
    <w:abstractNumId w:val="27"/>
  </w:num>
  <w:num w:numId="5">
    <w:abstractNumId w:val="11"/>
  </w:num>
  <w:num w:numId="6">
    <w:abstractNumId w:val="24"/>
  </w:num>
  <w:num w:numId="7">
    <w:abstractNumId w:val="19"/>
  </w:num>
  <w:num w:numId="8">
    <w:abstractNumId w:val="37"/>
  </w:num>
  <w:num w:numId="9">
    <w:abstractNumId w:val="31"/>
  </w:num>
  <w:num w:numId="10">
    <w:abstractNumId w:val="21"/>
  </w:num>
  <w:num w:numId="11">
    <w:abstractNumId w:val="28"/>
  </w:num>
  <w:num w:numId="12">
    <w:abstractNumId w:val="30"/>
  </w:num>
  <w:num w:numId="13">
    <w:abstractNumId w:val="45"/>
  </w:num>
  <w:num w:numId="14">
    <w:abstractNumId w:val="44"/>
  </w:num>
  <w:num w:numId="15">
    <w:abstractNumId w:val="41"/>
  </w:num>
  <w:num w:numId="16">
    <w:abstractNumId w:val="38"/>
  </w:num>
  <w:num w:numId="17">
    <w:abstractNumId w:val="8"/>
  </w:num>
  <w:num w:numId="18">
    <w:abstractNumId w:val="12"/>
  </w:num>
  <w:num w:numId="19">
    <w:abstractNumId w:val="32"/>
  </w:num>
  <w:num w:numId="20">
    <w:abstractNumId w:val="25"/>
  </w:num>
  <w:num w:numId="21">
    <w:abstractNumId w:val="17"/>
  </w:num>
  <w:num w:numId="22">
    <w:abstractNumId w:val="6"/>
  </w:num>
  <w:num w:numId="23">
    <w:abstractNumId w:val="16"/>
  </w:num>
  <w:num w:numId="24">
    <w:abstractNumId w:val="33"/>
  </w:num>
  <w:num w:numId="25">
    <w:abstractNumId w:val="29"/>
  </w:num>
  <w:num w:numId="26">
    <w:abstractNumId w:val="43"/>
  </w:num>
  <w:num w:numId="27">
    <w:abstractNumId w:val="26"/>
  </w:num>
  <w:num w:numId="28">
    <w:abstractNumId w:val="7"/>
  </w:num>
  <w:num w:numId="29">
    <w:abstractNumId w:val="39"/>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2"/>
  </w:num>
  <w:num w:numId="40">
    <w:abstractNumId w:val="40"/>
  </w:num>
  <w:num w:numId="41">
    <w:abstractNumId w:val="15"/>
  </w:num>
  <w:num w:numId="42">
    <w:abstractNumId w:val="36"/>
  </w:num>
  <w:num w:numId="43">
    <w:abstractNumId w:val="34"/>
  </w:num>
  <w:num w:numId="44">
    <w:abstractNumId w:val="35"/>
  </w:num>
  <w:num w:numId="45">
    <w:abstractNumId w:val="2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A17F6"/>
    <w:rsid w:val="000A567E"/>
    <w:rsid w:val="000B0C3E"/>
    <w:rsid w:val="000B5B50"/>
    <w:rsid w:val="000E3604"/>
    <w:rsid w:val="000F5D43"/>
    <w:rsid w:val="000F7E13"/>
    <w:rsid w:val="00105C97"/>
    <w:rsid w:val="00115286"/>
    <w:rsid w:val="001201D0"/>
    <w:rsid w:val="00120954"/>
    <w:rsid w:val="00120FEB"/>
    <w:rsid w:val="00121DAC"/>
    <w:rsid w:val="00122FC2"/>
    <w:rsid w:val="001442D6"/>
    <w:rsid w:val="001646A8"/>
    <w:rsid w:val="00173B7C"/>
    <w:rsid w:val="00186A03"/>
    <w:rsid w:val="001870C6"/>
    <w:rsid w:val="001A7E5C"/>
    <w:rsid w:val="001B2F11"/>
    <w:rsid w:val="001C4E5E"/>
    <w:rsid w:val="001F0B75"/>
    <w:rsid w:val="001F65C3"/>
    <w:rsid w:val="00217887"/>
    <w:rsid w:val="0022498F"/>
    <w:rsid w:val="00226467"/>
    <w:rsid w:val="00226E29"/>
    <w:rsid w:val="00236F08"/>
    <w:rsid w:val="0027666D"/>
    <w:rsid w:val="002938D1"/>
    <w:rsid w:val="002C42F9"/>
    <w:rsid w:val="00301B90"/>
    <w:rsid w:val="00331AAF"/>
    <w:rsid w:val="00332753"/>
    <w:rsid w:val="003A414D"/>
    <w:rsid w:val="003B35F6"/>
    <w:rsid w:val="003C2EC1"/>
    <w:rsid w:val="003C58DA"/>
    <w:rsid w:val="003D5E2C"/>
    <w:rsid w:val="003E3B74"/>
    <w:rsid w:val="00410AF0"/>
    <w:rsid w:val="00412E6F"/>
    <w:rsid w:val="00417F35"/>
    <w:rsid w:val="004238B8"/>
    <w:rsid w:val="00433A51"/>
    <w:rsid w:val="00440150"/>
    <w:rsid w:val="00442EE2"/>
    <w:rsid w:val="00446324"/>
    <w:rsid w:val="00450E1E"/>
    <w:rsid w:val="00460D78"/>
    <w:rsid w:val="004741FE"/>
    <w:rsid w:val="00495FEF"/>
    <w:rsid w:val="00497921"/>
    <w:rsid w:val="004A270D"/>
    <w:rsid w:val="004A2C0A"/>
    <w:rsid w:val="004A3645"/>
    <w:rsid w:val="004B1522"/>
    <w:rsid w:val="004B20A4"/>
    <w:rsid w:val="004D25CC"/>
    <w:rsid w:val="004D776C"/>
    <w:rsid w:val="004F4242"/>
    <w:rsid w:val="00511ECA"/>
    <w:rsid w:val="00530616"/>
    <w:rsid w:val="00574633"/>
    <w:rsid w:val="00577EE4"/>
    <w:rsid w:val="00580BDF"/>
    <w:rsid w:val="005A22FB"/>
    <w:rsid w:val="005C2F6D"/>
    <w:rsid w:val="00602D33"/>
    <w:rsid w:val="0060369B"/>
    <w:rsid w:val="006041E4"/>
    <w:rsid w:val="006330BF"/>
    <w:rsid w:val="00633112"/>
    <w:rsid w:val="0063510A"/>
    <w:rsid w:val="006512AB"/>
    <w:rsid w:val="00653243"/>
    <w:rsid w:val="00657BDD"/>
    <w:rsid w:val="006770EA"/>
    <w:rsid w:val="006B3DBC"/>
    <w:rsid w:val="006C7ECE"/>
    <w:rsid w:val="006F3CB3"/>
    <w:rsid w:val="0071091D"/>
    <w:rsid w:val="00722A24"/>
    <w:rsid w:val="00735D49"/>
    <w:rsid w:val="00793E19"/>
    <w:rsid w:val="007A7C96"/>
    <w:rsid w:val="007B44B4"/>
    <w:rsid w:val="007B6363"/>
    <w:rsid w:val="007E4BD1"/>
    <w:rsid w:val="007F1AE0"/>
    <w:rsid w:val="00802DB8"/>
    <w:rsid w:val="008175E0"/>
    <w:rsid w:val="0083601C"/>
    <w:rsid w:val="00870087"/>
    <w:rsid w:val="00873FA8"/>
    <w:rsid w:val="00883F9D"/>
    <w:rsid w:val="0088791F"/>
    <w:rsid w:val="008A345D"/>
    <w:rsid w:val="008B14CE"/>
    <w:rsid w:val="008B428B"/>
    <w:rsid w:val="00914292"/>
    <w:rsid w:val="009813BC"/>
    <w:rsid w:val="00986373"/>
    <w:rsid w:val="00995413"/>
    <w:rsid w:val="009C7833"/>
    <w:rsid w:val="009D0342"/>
    <w:rsid w:val="009D291A"/>
    <w:rsid w:val="009F4F76"/>
    <w:rsid w:val="009F71B5"/>
    <w:rsid w:val="00A42DC6"/>
    <w:rsid w:val="00A43C60"/>
    <w:rsid w:val="00A8049D"/>
    <w:rsid w:val="00A82E93"/>
    <w:rsid w:val="00AB3A22"/>
    <w:rsid w:val="00AC3F5C"/>
    <w:rsid w:val="00AD07A0"/>
    <w:rsid w:val="00AE48C6"/>
    <w:rsid w:val="00AF77BF"/>
    <w:rsid w:val="00B2140F"/>
    <w:rsid w:val="00B257DF"/>
    <w:rsid w:val="00B314B8"/>
    <w:rsid w:val="00B449FC"/>
    <w:rsid w:val="00B475FC"/>
    <w:rsid w:val="00B52BEE"/>
    <w:rsid w:val="00B53AA0"/>
    <w:rsid w:val="00B64A4A"/>
    <w:rsid w:val="00B73822"/>
    <w:rsid w:val="00BA58E6"/>
    <w:rsid w:val="00BA5F44"/>
    <w:rsid w:val="00BA6960"/>
    <w:rsid w:val="00BD09F2"/>
    <w:rsid w:val="00BE1F6D"/>
    <w:rsid w:val="00C16173"/>
    <w:rsid w:val="00C3373C"/>
    <w:rsid w:val="00C76C8A"/>
    <w:rsid w:val="00C9153C"/>
    <w:rsid w:val="00C946BF"/>
    <w:rsid w:val="00C97889"/>
    <w:rsid w:val="00CB0907"/>
    <w:rsid w:val="00CB2C11"/>
    <w:rsid w:val="00CB7298"/>
    <w:rsid w:val="00CC6CCE"/>
    <w:rsid w:val="00CD50BB"/>
    <w:rsid w:val="00CE03D8"/>
    <w:rsid w:val="00CE4717"/>
    <w:rsid w:val="00CE75B0"/>
    <w:rsid w:val="00CF53BB"/>
    <w:rsid w:val="00D55E7F"/>
    <w:rsid w:val="00D5635C"/>
    <w:rsid w:val="00D67C4C"/>
    <w:rsid w:val="00D91A9E"/>
    <w:rsid w:val="00DA10F2"/>
    <w:rsid w:val="00DA627F"/>
    <w:rsid w:val="00E20FF1"/>
    <w:rsid w:val="00E279FA"/>
    <w:rsid w:val="00E371C3"/>
    <w:rsid w:val="00E55756"/>
    <w:rsid w:val="00E6323B"/>
    <w:rsid w:val="00E76DAC"/>
    <w:rsid w:val="00E84F14"/>
    <w:rsid w:val="00E95A8E"/>
    <w:rsid w:val="00EA5BB1"/>
    <w:rsid w:val="00EB32AB"/>
    <w:rsid w:val="00EB6193"/>
    <w:rsid w:val="00EC4071"/>
    <w:rsid w:val="00F0484E"/>
    <w:rsid w:val="00F14095"/>
    <w:rsid w:val="00F37A4E"/>
    <w:rsid w:val="00F63D17"/>
    <w:rsid w:val="00F737FB"/>
    <w:rsid w:val="00FA0CDE"/>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character" w:styleId="Odwoaniedokomentarza">
    <w:name w:val="annotation reference"/>
    <w:basedOn w:val="Domylnaczcionkaakapitu"/>
    <w:uiPriority w:val="99"/>
    <w:semiHidden/>
    <w:unhideWhenUsed/>
    <w:rsid w:val="00FA0CDE"/>
    <w:rPr>
      <w:sz w:val="16"/>
      <w:szCs w:val="16"/>
    </w:rPr>
  </w:style>
  <w:style w:type="paragraph" w:styleId="Tekstkomentarza">
    <w:name w:val="annotation text"/>
    <w:basedOn w:val="Normalny"/>
    <w:link w:val="TekstkomentarzaZnak"/>
    <w:uiPriority w:val="99"/>
    <w:semiHidden/>
    <w:unhideWhenUsed/>
    <w:rsid w:val="00FA0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CDE"/>
    <w:rPr>
      <w:sz w:val="20"/>
      <w:szCs w:val="20"/>
    </w:rPr>
  </w:style>
  <w:style w:type="paragraph" w:styleId="Tematkomentarza">
    <w:name w:val="annotation subject"/>
    <w:basedOn w:val="Tekstkomentarza"/>
    <w:next w:val="Tekstkomentarza"/>
    <w:link w:val="TematkomentarzaZnak"/>
    <w:uiPriority w:val="99"/>
    <w:semiHidden/>
    <w:unhideWhenUsed/>
    <w:rsid w:val="00FA0CDE"/>
    <w:rPr>
      <w:b/>
      <w:bCs/>
    </w:rPr>
  </w:style>
  <w:style w:type="character" w:customStyle="1" w:styleId="TematkomentarzaZnak">
    <w:name w:val="Temat komentarza Znak"/>
    <w:basedOn w:val="TekstkomentarzaZnak"/>
    <w:link w:val="Tematkomentarza"/>
    <w:uiPriority w:val="99"/>
    <w:semiHidden/>
    <w:rsid w:val="00FA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6910</Words>
  <Characters>41462</Characters>
  <Application>Microsoft Office Word</Application>
  <DocSecurity>0</DocSecurity>
  <Lines>345</Lines>
  <Paragraphs>96</Paragraphs>
  <ScaleCrop>false</ScaleCrop>
  <HeadingPairs>
    <vt:vector size="4" baseType="variant">
      <vt:variant>
        <vt:lpstr>Tytuł</vt:lpstr>
      </vt:variant>
      <vt:variant>
        <vt:i4>1</vt:i4>
      </vt:variant>
      <vt:variant>
        <vt:lpstr>Nagłówki</vt:lpstr>
      </vt:variant>
      <vt:variant>
        <vt:i4>49</vt:i4>
      </vt:variant>
    </vt:vector>
  </HeadingPairs>
  <TitlesOfParts>
    <vt:vector size="50" baseType="lpstr">
      <vt:lpstr/>
      <vt:lpstr>    I. Nazwa oraz adres Zamawiającego</vt:lpstr>
      <vt:lpstr>    II. Ochrona danych osobowych</vt:lpstr>
      <vt:lpstr>    1.	Administratorem Państwa danych osobowych jest Starostwo Powiatowe w Lęborku r</vt:lpstr>
      <vt:lpstr>    2.	Nadzór nad prawidłowym przetwarzaniem danych osobowych w Starostwie Powiatowy</vt:lpstr>
      <vt:lpstr>    - e-mail: iodo@starostwolebork.pl lub korespondencyjnie na adres Administratora </vt:lpstr>
      <vt:lpstr>    3.	Państwa dane osobowe są przetwarzane w formie papierowej oraz elektronicznej.</vt:lpstr>
      <vt:lpstr>    4.	Państwa dane osobowe zostały pozyskane w związku z zawarciem lub zamiarem zaw</vt:lpstr>
      <vt:lpstr>    5.	Administrator będzie przetwarzał Państwa dane osobowe, które są niezbędne do </vt:lpstr>
      <vt:lpstr>    a.	Przeprowadzenie postępowania o udzielenie zamówienia publicznego  na podstawi</vt:lpstr>
      <vt:lpstr>    b.	spełnienia obowiązków prawnych Zleceniodawcy/Zamawiającego wynikających z wła</vt:lpstr>
      <vt:lpstr>    c.	spełnienie obowiązków prawnych wynikających z właściwych przepisów prawa np. </vt:lpstr>
      <vt:lpstr>    d.	ustalenie, dochodzenie lub obrona roszczeń na podstawie art. 6 ust. 1 lit. f)</vt:lpstr>
      <vt:lpstr>    e.	zawarcie i wykonanie umowy na podstawie art. 6 ust. 1 lit. b) RODO;</vt:lpstr>
      <vt:lpstr>    f.	zapewnienie bezpieczeństwa osób i mienia poprzez monitoring wizyjny na podsta</vt:lpstr>
      <vt:lpstr>    g.	spełnienie obowiązku prawnego związanego z możliwością nadania uprawnienia do</vt:lpstr>
      <vt:lpstr>    h.	spełnienie obowiązków podatkowych oraz rachunkowości na podstawie art. 6 ust.</vt:lpstr>
      <vt:lpstr>    i.	spełnienie obowiązków BHP na podstawie art. 6 ust. 1 lit. c) RODO. </vt:lpstr>
      <vt:lpstr>    j.	bieżąca komunikacja wewnątrz i na zewnątrz Starostwa Powiatowego  na podstawi</vt:lpstr>
      <vt:lpstr>    6.	Państwa dane osobowe będą przechowywane przez okres wynikający z przepisów pr</vt:lpstr>
      <vt:lpstr>    7.	Państwa dane osobowe mogą być udostępniane właściwym organom uprawnionym na p</vt:lpstr>
      <vt:lpstr>    8.	Państwa dane osobowe nie będą przekazywane do państwa trzeciego ani do organi</vt:lpstr>
      <vt:lpstr>    9.	Państwa dane osobowe nie będą przetwarzane w sposób zautomatyzowany.</vt:lpstr>
      <vt:lpstr>    10.	Posiadają Państwo prawo dostępu do treści swoich danych osobowych oraz prawo</vt:lpstr>
      <vt:lpstr>    11.	Posiadają Państwo prawo do wniesienia skargi do Prezesa Urzędu Ochrony Danyc</vt:lpstr>
      <vt:lpstr>    12.	Podanie danych osobowych jest wymogiem umownym, a konsekwencją ich nie podan</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 (jeśli dotyczy)</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Zamawiający informuje, że nie wymaga od wykonawców wniesienia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7</cp:revision>
  <cp:lastPrinted>2021-07-21T05:54:00Z</cp:lastPrinted>
  <dcterms:created xsi:type="dcterms:W3CDTF">2021-07-13T07:58:00Z</dcterms:created>
  <dcterms:modified xsi:type="dcterms:W3CDTF">2021-07-21T06:03:00Z</dcterms:modified>
</cp:coreProperties>
</file>