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81700F">
        <w:rPr>
          <w:rFonts w:ascii="Times New Roman" w:eastAsia="Times New Roman" w:hAnsi="Times New Roman" w:cs="Times New Roman"/>
          <w:bCs/>
          <w:sz w:val="24"/>
          <w:szCs w:val="24"/>
        </w:rPr>
        <w:t>ROIX.271.17</w:t>
      </w:r>
      <w:r w:rsidR="00792FC1">
        <w:rPr>
          <w:rFonts w:ascii="Times New Roman" w:eastAsia="Times New Roman" w:hAnsi="Times New Roman" w:cs="Times New Roman"/>
          <w:bCs/>
          <w:sz w:val="24"/>
          <w:szCs w:val="24"/>
        </w:rPr>
        <w:t>.2024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81700F" w:rsidRDefault="0081700F" w:rsidP="0081700F">
      <w:pPr>
        <w:widowControl/>
        <w:autoSpaceDE/>
        <w:autoSpaceDN/>
        <w:adjustRightInd/>
        <w:spacing w:line="276" w:lineRule="auto"/>
        <w:jc w:val="center"/>
        <w:rPr>
          <w:rFonts w:ascii="Times New Roman" w:eastAsia="Times New Roman" w:hAnsi="Times New Roman" w:cs="Times New Roman"/>
          <w:b/>
          <w:bCs/>
          <w:sz w:val="26"/>
          <w:szCs w:val="26"/>
          <w:u w:val="single"/>
        </w:rPr>
      </w:pPr>
      <w:bookmarkStart w:id="0" w:name="_Hlk98328913"/>
      <w:r w:rsidRPr="0081700F">
        <w:rPr>
          <w:rFonts w:ascii="Times New Roman" w:eastAsia="Calibri" w:hAnsi="Times New Roman" w:cs="Times New Roman"/>
          <w:b/>
          <w:bCs/>
          <w:iCs/>
          <w:color w:val="2F5496" w:themeColor="accent5" w:themeShade="BF"/>
          <w:sz w:val="26"/>
          <w:szCs w:val="26"/>
          <w:lang w:eastAsia="zh-CN"/>
        </w:rPr>
        <w:t>Modernizacja i przebudowa dróg na terenie Gminy Przeworsk</w:t>
      </w:r>
      <w:bookmarkEnd w:id="0"/>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A05786">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F75609" w:rsidRPr="005A7676" w:rsidRDefault="0081700F"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Zastępca Wójta Gminy Przeworsk</w:t>
      </w:r>
      <w:r w:rsidR="005A7676">
        <w:rPr>
          <w:rFonts w:ascii="Times New Roman" w:eastAsia="Times New Roman" w:hAnsi="Times New Roman" w:cs="Times New Roman"/>
          <w:b/>
          <w:bCs/>
          <w:sz w:val="24"/>
          <w:szCs w:val="24"/>
        </w:rPr>
        <w:t xml:space="preserve"> </w:t>
      </w:r>
      <w:r w:rsidR="005A7676" w:rsidRPr="005A767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Teresa Wielgos</w:t>
      </w:r>
    </w:p>
    <w:p w:rsidR="00031E15" w:rsidRPr="005A7676" w:rsidRDefault="00031E15" w:rsidP="000D2E8E">
      <w:pPr>
        <w:widowControl/>
        <w:autoSpaceDE/>
        <w:autoSpaceDN/>
        <w:adjustRightInd/>
        <w:spacing w:line="276" w:lineRule="auto"/>
        <w:rPr>
          <w:rFonts w:ascii="Times New Roman" w:eastAsia="Times New Roman" w:hAnsi="Times New Roman" w:cs="Times New Roman"/>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81700F">
        <w:rPr>
          <w:rFonts w:ascii="Times New Roman" w:eastAsia="Times New Roman" w:hAnsi="Times New Roman" w:cs="Times New Roman"/>
          <w:bCs/>
          <w:sz w:val="24"/>
          <w:szCs w:val="24"/>
        </w:rPr>
        <w:t>17.09</w:t>
      </w:r>
      <w:r w:rsidR="00792FC1">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81700F" w:rsidRPr="00031E15" w:rsidRDefault="0081700F"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F75609" w:rsidRPr="0081700F" w:rsidRDefault="00C842D0" w:rsidP="00B22DDE">
      <w:pPr>
        <w:pStyle w:val="Akapitzlist"/>
        <w:numPr>
          <w:ilvl w:val="0"/>
          <w:numId w:val="37"/>
        </w:numPr>
        <w:ind w:left="360"/>
        <w:jc w:val="both"/>
        <w:rPr>
          <w:rFonts w:ascii="Times New Roman" w:hAnsi="Times New Roman" w:cs="Times New Roman"/>
          <w:b/>
          <w:iCs/>
          <w:sz w:val="24"/>
          <w:szCs w:val="24"/>
        </w:rPr>
      </w:pPr>
      <w:r w:rsidRPr="0081700F">
        <w:rPr>
          <w:rFonts w:ascii="Times New Roman" w:hAnsi="Times New Roman" w:cs="Times New Roman"/>
          <w:sz w:val="24"/>
          <w:szCs w:val="24"/>
        </w:rPr>
        <w:t xml:space="preserve">Przedmiot zamówienia pn. </w:t>
      </w:r>
      <w:r w:rsidR="0081700F" w:rsidRPr="0081700F">
        <w:rPr>
          <w:rFonts w:ascii="Times New Roman" w:hAnsi="Times New Roman" w:cs="Times New Roman"/>
          <w:b/>
          <w:bCs/>
          <w:iCs/>
          <w:sz w:val="24"/>
          <w:szCs w:val="24"/>
        </w:rPr>
        <w:t>Modernizacja i przebudowa dróg na terenie Gminy Przeworsk</w:t>
      </w:r>
    </w:p>
    <w:p w:rsidR="00B20D31" w:rsidRPr="00F02AFE" w:rsidRDefault="00B20D31" w:rsidP="00B20D31">
      <w:pPr>
        <w:pStyle w:val="Akapitzlist"/>
        <w:jc w:val="both"/>
        <w:rPr>
          <w:rFonts w:ascii="Times New Roman" w:hAnsi="Times New Roman" w:cs="Times New Roman"/>
          <w:b/>
          <w:iCs/>
          <w:sz w:val="24"/>
          <w:szCs w:val="24"/>
        </w:rPr>
      </w:pPr>
    </w:p>
    <w:p w:rsidR="0081700F" w:rsidRPr="0081700F" w:rsidRDefault="0081700F" w:rsidP="0081700F">
      <w:pPr>
        <w:widowControl/>
        <w:autoSpaceDE/>
        <w:adjustRightInd/>
        <w:ind w:left="567"/>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Przedmiot zamówienia obejmuje niżej wymienione drogi gminne:</w:t>
      </w:r>
    </w:p>
    <w:p w:rsidR="0081700F" w:rsidRPr="0081700F" w:rsidRDefault="0081700F" w:rsidP="0081700F">
      <w:pPr>
        <w:widowControl/>
        <w:autoSpaceDE/>
        <w:adjustRightInd/>
        <w:ind w:left="567"/>
        <w:rPr>
          <w:rFonts w:ascii="Times New Roman" w:eastAsia="Times New Roman" w:hAnsi="Times New Roman" w:cs="Times New Roman"/>
          <w:sz w:val="24"/>
          <w:szCs w:val="24"/>
        </w:rPr>
      </w:pPr>
    </w:p>
    <w:p w:rsidR="0081700F" w:rsidRPr="0081700F" w:rsidRDefault="0081700F" w:rsidP="0081700F">
      <w:pPr>
        <w:ind w:left="567"/>
        <w:rPr>
          <w:rFonts w:ascii="Times New Roman" w:eastAsia="Times New Roman" w:hAnsi="Times New Roman" w:cs="Times New Roman"/>
          <w:sz w:val="24"/>
          <w:szCs w:val="24"/>
        </w:rPr>
      </w:pPr>
      <w:bookmarkStart w:id="1" w:name="_Hlk98328861"/>
      <w:r w:rsidRPr="0081700F">
        <w:rPr>
          <w:rFonts w:ascii="Times New Roman" w:eastAsia="Times New Roman" w:hAnsi="Times New Roman" w:cs="Times New Roman"/>
          <w:sz w:val="24"/>
          <w:szCs w:val="24"/>
        </w:rPr>
        <w:t>Przebudowa drogi gminnej działka nr ewid.:2576 w miejscowości Grzęska</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Przebudowa drogi gminnej działka nr ewid.:1669/6 w miejscowości Gorliczyna</w:t>
      </w:r>
    </w:p>
    <w:p w:rsidR="0081700F" w:rsidRPr="0081700F" w:rsidRDefault="00221E39" w:rsidP="0081700F">
      <w:pPr>
        <w:widowControl/>
        <w:autoSpaceDE/>
        <w:adjustRightInd/>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Przebudowa drogi gminnej</w:t>
      </w:r>
      <w:r w:rsidR="00A32340">
        <w:rPr>
          <w:rFonts w:ascii="Times New Roman" w:eastAsia="Times New Roman" w:hAnsi="Times New Roman" w:cs="Times New Roman"/>
          <w:sz w:val="24"/>
          <w:szCs w:val="24"/>
        </w:rPr>
        <w:t xml:space="preserve"> </w:t>
      </w:r>
      <w:r w:rsidR="0081700F" w:rsidRPr="0081700F">
        <w:rPr>
          <w:rFonts w:ascii="Times New Roman" w:eastAsia="Times New Roman" w:hAnsi="Times New Roman" w:cs="Times New Roman"/>
          <w:sz w:val="24"/>
          <w:szCs w:val="24"/>
        </w:rPr>
        <w:t>działka nr ewid.:543/48 w miejscowości Świętoniowa</w:t>
      </w:r>
    </w:p>
    <w:bookmarkEnd w:id="1"/>
    <w:p w:rsidR="0081700F" w:rsidRPr="0081700F" w:rsidRDefault="0081700F" w:rsidP="0081700F">
      <w:pPr>
        <w:widowControl/>
        <w:autoSpaceDE/>
        <w:adjustRightInd/>
        <w:ind w:left="567"/>
        <w:rPr>
          <w:rFonts w:ascii="Times New Roman" w:eastAsia="Times New Roman" w:hAnsi="Times New Roman" w:cs="Times New Roman"/>
          <w:sz w:val="24"/>
          <w:szCs w:val="24"/>
        </w:rPr>
      </w:pP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bookmarkStart w:id="2" w:name="_Hlk73521374"/>
      <w:r w:rsidRPr="0081700F">
        <w:rPr>
          <w:rFonts w:ascii="Times New Roman" w:eastAsia="Times New Roman" w:hAnsi="Times New Roman" w:cs="Times New Roman"/>
          <w:sz w:val="24"/>
          <w:szCs w:val="24"/>
        </w:rPr>
        <w:t xml:space="preserve">Zakres robót dla </w:t>
      </w:r>
      <w:proofErr w:type="spellStart"/>
      <w:r w:rsidRPr="0081700F">
        <w:rPr>
          <w:rFonts w:ascii="Times New Roman" w:eastAsia="Times New Roman" w:hAnsi="Times New Roman" w:cs="Times New Roman"/>
          <w:sz w:val="24"/>
          <w:szCs w:val="24"/>
        </w:rPr>
        <w:t>ww</w:t>
      </w:r>
      <w:proofErr w:type="spellEnd"/>
      <w:r w:rsidRPr="0081700F">
        <w:rPr>
          <w:rFonts w:ascii="Times New Roman" w:eastAsia="Times New Roman" w:hAnsi="Times New Roman" w:cs="Times New Roman"/>
          <w:sz w:val="24"/>
          <w:szCs w:val="24"/>
        </w:rPr>
        <w:t xml:space="preserve"> zadania obejmuje m.in. odtworzenie trasy w terenie, korytowanie wraz z profilowaniem i zagęszczanie podłoża,  stabilizację gruntu cementem, wykonanie podbudowy, wykonanie nawierzchni z betonu asfaltowego,  uzupełnienie poboczy, umocnienie skarp płytami ażurowymi. Szczegółowy zakres robót określony został w załączonych formularzach kosztorysów ofertowych.</w:t>
      </w:r>
    </w:p>
    <w:bookmarkEnd w:id="2"/>
    <w:p w:rsidR="0081700F" w:rsidRPr="0081700F" w:rsidRDefault="0081700F" w:rsidP="0081700F">
      <w:pPr>
        <w:widowControl/>
        <w:autoSpaceDE/>
        <w:adjustRightInd/>
        <w:ind w:left="567"/>
        <w:rPr>
          <w:rFonts w:ascii="Times New Roman" w:eastAsia="Times New Roman" w:hAnsi="Times New Roman" w:cs="Times New Roman"/>
          <w:sz w:val="24"/>
          <w:szCs w:val="24"/>
        </w:rPr>
      </w:pP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 xml:space="preserve">Przed przystąpieniem do realizacji zamierzenia inwestycyjnego należy wyznaczyć w terenie przebieg trasy pasa drogowego. </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 xml:space="preserve">Na istniejącej jezdni tłuczniowej należy wykonać koryto pod projektowane warstwy drogowe. Istniejące podłoże należy wyprofilować i zagęścić. Po wykonaniu profilowania należy wykonać warstwy konstrukcyjne </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Konstrukcja jezdni bitumicznej:</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 xml:space="preserve">ulepszenie podłoża z gruntu stabilizowanego cementem z uprzednim </w:t>
      </w:r>
      <w:proofErr w:type="spellStart"/>
      <w:r w:rsidRPr="0081700F">
        <w:rPr>
          <w:rFonts w:ascii="Times New Roman" w:eastAsia="Times New Roman" w:hAnsi="Times New Roman" w:cs="Times New Roman"/>
          <w:sz w:val="24"/>
          <w:szCs w:val="24"/>
        </w:rPr>
        <w:t>doziarnieniem</w:t>
      </w:r>
      <w:proofErr w:type="spellEnd"/>
      <w:r w:rsidRPr="0081700F">
        <w:rPr>
          <w:rFonts w:ascii="Times New Roman" w:eastAsia="Times New Roman" w:hAnsi="Times New Roman" w:cs="Times New Roman"/>
          <w:sz w:val="24"/>
          <w:szCs w:val="24"/>
        </w:rPr>
        <w:t xml:space="preserve">  gr.15cm</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podbudowa z mieszanki niezwiązanej frakcji 0/31,5 zagęszczona mechanicznie  gr.15cm</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warstwę wiążącą z betonu asfaltowego AC 11 W grubości 4 cm,</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warstwę ścieralną z betonu asfaltowego AC 8 S grubości 3 cm.</w:t>
      </w:r>
    </w:p>
    <w:p w:rsidR="0081700F" w:rsidRPr="0081700F" w:rsidRDefault="0081700F" w:rsidP="0081700F">
      <w:pPr>
        <w:ind w:left="927"/>
        <w:rPr>
          <w:rFonts w:ascii="Times New Roman" w:eastAsia="Times New Roman" w:hAnsi="Times New Roman" w:cs="Times New Roman"/>
          <w:sz w:val="24"/>
          <w:szCs w:val="24"/>
        </w:rPr>
      </w:pPr>
    </w:p>
    <w:p w:rsidR="0081700F" w:rsidRPr="0081700F" w:rsidRDefault="0081700F" w:rsidP="0081700F">
      <w:pPr>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Przygotowanie istniejącej nawierzchni bitumicznej polegać będzie na frezowaniu istniejącej nawierzchni, wykonaniu koryta na poszerzeniach, profilowaniu zagęszczeniu podłoża, ulepszenie podłoża gruntem stabilizowanym cementem z wykorzystaniem materiału z frezowania na poszerzeniach, wykonanie podbudowy z mieszanki niezwiązanej. Na przygotowanym podłożu należy ułożyć warstwę wiążącą z betonu asfaltowego AC 11 W a następnie warstwę ścieralna z betonu asfaltowego AC 8S.</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p>
    <w:p w:rsidR="0081700F" w:rsidRPr="0081700F" w:rsidRDefault="0081700F" w:rsidP="0081700F">
      <w:pPr>
        <w:widowControl/>
        <w:autoSpaceDE/>
        <w:adjustRightInd/>
        <w:ind w:left="567"/>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Na szerokości istniejącej jezdni bitumicznej wykonać należy:</w:t>
      </w:r>
    </w:p>
    <w:p w:rsidR="0081700F" w:rsidRPr="0081700F" w:rsidRDefault="0081700F" w:rsidP="0081700F">
      <w:pPr>
        <w:widowControl/>
        <w:numPr>
          <w:ilvl w:val="0"/>
          <w:numId w:val="39"/>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wykonanie frezowania nawierzchni asfaltowej</w:t>
      </w:r>
    </w:p>
    <w:p w:rsidR="0081700F" w:rsidRPr="0081700F" w:rsidRDefault="0081700F" w:rsidP="0081700F">
      <w:pPr>
        <w:widowControl/>
        <w:numPr>
          <w:ilvl w:val="0"/>
          <w:numId w:val="39"/>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stabilizacja gruntu cementem z wykorzystaniem materiału z frezowania na poszerzeniach</w:t>
      </w:r>
    </w:p>
    <w:p w:rsidR="0081700F" w:rsidRPr="0081700F" w:rsidRDefault="0081700F" w:rsidP="0081700F">
      <w:pPr>
        <w:widowControl/>
        <w:numPr>
          <w:ilvl w:val="0"/>
          <w:numId w:val="39"/>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wykonanie podbudowy z mieszanki niezwiązanej gr. 15cm</w:t>
      </w:r>
    </w:p>
    <w:p w:rsidR="0081700F" w:rsidRPr="0081700F" w:rsidRDefault="0081700F" w:rsidP="0081700F">
      <w:pPr>
        <w:widowControl/>
        <w:numPr>
          <w:ilvl w:val="0"/>
          <w:numId w:val="39"/>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warstwa wiążąca z betonu asfaltowego AC 11 W grubości 4cm</w:t>
      </w:r>
    </w:p>
    <w:p w:rsidR="0081700F" w:rsidRPr="0081700F" w:rsidRDefault="0081700F" w:rsidP="0081700F">
      <w:pPr>
        <w:widowControl/>
        <w:numPr>
          <w:ilvl w:val="0"/>
          <w:numId w:val="39"/>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warstwa ścieralna AC 8S grubości 3cm</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p>
    <w:p w:rsidR="0081700F" w:rsidRPr="0081700F" w:rsidRDefault="0081700F" w:rsidP="0081700F">
      <w:pPr>
        <w:widowControl/>
        <w:autoSpaceDE/>
        <w:adjustRightInd/>
        <w:ind w:left="567"/>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Projektuje się obustronne utwardzenie wzdłuż krawędzi jezdni poboczy o szerokości 0,25;0,5m.</w:t>
      </w:r>
    </w:p>
    <w:p w:rsidR="0081700F" w:rsidRPr="0081700F" w:rsidRDefault="0081700F" w:rsidP="0081700F">
      <w:pPr>
        <w:widowControl/>
        <w:autoSpaceDE/>
        <w:adjustRightInd/>
        <w:ind w:left="567"/>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Należy wykonać nawierzchnie poboczy umocnione klińcem (kruszywem łamanym 0/31,5) o grubości śr. 7cm</w:t>
      </w:r>
    </w:p>
    <w:p w:rsidR="0081700F" w:rsidRPr="0081700F" w:rsidRDefault="0081700F" w:rsidP="0081700F">
      <w:pPr>
        <w:widowControl/>
        <w:autoSpaceDE/>
        <w:adjustRightInd/>
        <w:ind w:left="567"/>
        <w:rPr>
          <w:rFonts w:ascii="Times New Roman" w:eastAsia="Times New Roman" w:hAnsi="Times New Roman" w:cs="Times New Roman"/>
          <w:sz w:val="24"/>
          <w:szCs w:val="24"/>
        </w:rPr>
      </w:pP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 xml:space="preserve">Na istniejącej nawierzchni tłuczniowej, gruntowej  należy wykonać koryto pod projektowane warstwy drogowe. Istniejące podłoże należy wyprofilować i zagęścić. Po wykonaniu profilowania należy wykonać warstwy konstrukcyjne </w:t>
      </w:r>
    </w:p>
    <w:p w:rsidR="0081700F" w:rsidRPr="0081700F" w:rsidRDefault="0081700F" w:rsidP="0081700F">
      <w:pPr>
        <w:widowControl/>
        <w:autoSpaceDE/>
        <w:adjustRightInd/>
        <w:ind w:left="567"/>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Konstrukcja jezdni bitumicznej:</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lastRenderedPageBreak/>
        <w:t>podbudowa warstwa dolna z mieszanki niezwiązanej frakcji 0/63 zagęszczona mechanicznie  gr.15cm</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podbudowa warstwa górna z mieszanki niezwiązanej frakcji 0/31 zagęszczona mechanicznie  gr.10cm</w:t>
      </w:r>
    </w:p>
    <w:p w:rsidR="0081700F" w:rsidRPr="0081700F" w:rsidRDefault="0081700F" w:rsidP="0081700F">
      <w:pPr>
        <w:widowControl/>
        <w:numPr>
          <w:ilvl w:val="0"/>
          <w:numId w:val="38"/>
        </w:numPr>
        <w:autoSpaceDE/>
        <w:autoSpaceDN/>
        <w:adjustRightInd/>
        <w:contextualSpacing/>
        <w:jc w:val="both"/>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warstwę wiążącą z betonu asfaltowego AC 11 W grubości 5 cm,</w:t>
      </w:r>
    </w:p>
    <w:p w:rsidR="0081700F" w:rsidRPr="0081700F" w:rsidRDefault="0081700F" w:rsidP="0081700F">
      <w:pPr>
        <w:widowControl/>
        <w:autoSpaceDE/>
        <w:adjustRightInd/>
        <w:ind w:left="567"/>
        <w:rPr>
          <w:rFonts w:ascii="Times New Roman" w:eastAsia="Times New Roman" w:hAnsi="Times New Roman" w:cs="Times New Roman"/>
          <w:sz w:val="24"/>
          <w:szCs w:val="24"/>
        </w:rPr>
      </w:pPr>
      <w:r w:rsidRPr="0081700F">
        <w:rPr>
          <w:rFonts w:ascii="Times New Roman" w:eastAsia="Times New Roman" w:hAnsi="Times New Roman" w:cs="Times New Roman"/>
          <w:sz w:val="24"/>
          <w:szCs w:val="24"/>
        </w:rPr>
        <w:t>Należy wykonać nawierzchnie poboczy umocnione klińcem (kruszywem łamanym 0/31,5) o grubości śr. 7cm</w:t>
      </w:r>
    </w:p>
    <w:p w:rsidR="00F75609" w:rsidRDefault="00F75609" w:rsidP="00B20D31">
      <w:pPr>
        <w:jc w:val="both"/>
        <w:rPr>
          <w:rFonts w:ascii="Times New Roman" w:hAnsi="Times New Roman" w:cs="Times New Roman"/>
          <w:iCs/>
          <w:sz w:val="24"/>
          <w:szCs w:val="24"/>
          <w:u w:val="single"/>
        </w:rPr>
      </w:pPr>
    </w:p>
    <w:p w:rsidR="00B20D31" w:rsidRPr="00B20D31" w:rsidRDefault="00B20D31" w:rsidP="00B20D31">
      <w:pPr>
        <w:jc w:val="both"/>
        <w:rPr>
          <w:rFonts w:ascii="Times New Roman" w:hAnsi="Times New Roman" w:cs="Times New Roman"/>
          <w:iCs/>
          <w:sz w:val="24"/>
          <w:szCs w:val="24"/>
          <w:u w:val="single"/>
        </w:rPr>
      </w:pP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Szczegółowy zakres rob</w:t>
      </w:r>
      <w:r w:rsidR="0081700F">
        <w:rPr>
          <w:rFonts w:ascii="Times New Roman" w:hAnsi="Times New Roman" w:cs="Times New Roman"/>
          <w:bCs/>
          <w:iCs/>
          <w:sz w:val="24"/>
          <w:szCs w:val="24"/>
        </w:rPr>
        <w:t>ót określony został w formularzach kosztorysów ofertowych</w:t>
      </w:r>
      <w:r>
        <w:rPr>
          <w:rFonts w:ascii="Times New Roman" w:hAnsi="Times New Roman" w:cs="Times New Roman"/>
          <w:bCs/>
          <w:iCs/>
          <w:sz w:val="24"/>
          <w:szCs w:val="24"/>
        </w:rPr>
        <w:t xml:space="preserve"> stanowiący</w:t>
      </w:r>
      <w:r w:rsidR="0081700F">
        <w:rPr>
          <w:rFonts w:ascii="Times New Roman" w:hAnsi="Times New Roman" w:cs="Times New Roman"/>
          <w:bCs/>
          <w:iCs/>
          <w:sz w:val="24"/>
          <w:szCs w:val="24"/>
        </w:rPr>
        <w:t>ch</w:t>
      </w:r>
      <w:r>
        <w:rPr>
          <w:rFonts w:ascii="Times New Roman" w:hAnsi="Times New Roman" w:cs="Times New Roman"/>
          <w:bCs/>
          <w:iCs/>
          <w:sz w:val="24"/>
          <w:szCs w:val="24"/>
        </w:rPr>
        <w:t xml:space="preserve"> załącznik nr 5 do SWZ.</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p>
    <w:p w:rsidR="00E91AE2" w:rsidRPr="00E91AE2" w:rsidRDefault="00E91AE2" w:rsidP="00E91AE2">
      <w:pPr>
        <w:numPr>
          <w:ilvl w:val="0"/>
          <w:numId w:val="44"/>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Kod ze Wspólnego Słownika Zamówień (CPV) wraz opisem:</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45100000-8 Przygotowanie terenu pod budowę</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45111200-0 Roboty w zakresie przygotowania terenu pod budowę i roboty ziemne</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45110000-1 Roboty w zakresie burzenia i rozbiórki obiektów budowlanych: roboty ziemne</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45233300-2 Fundamentowanie autostrad, dróg, ulic i ścieżek ruchu pieszego</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45233220-7 Roboty w zakresie nawierzchni dróg</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45112700-2 Roboty w zakresie kształtowania terenu </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45233140-2 Roboty drogowe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w:t>
      </w:r>
      <w:r w:rsidRPr="00F63D83">
        <w:rPr>
          <w:rFonts w:ascii="Times New Roman" w:eastAsia="Times New Roman" w:hAnsi="Times New Roman" w:cs="Times New Roman"/>
          <w:sz w:val="24"/>
          <w:szCs w:val="24"/>
        </w:rPr>
        <w:lastRenderedPageBreak/>
        <w:t xml:space="preserve">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B22DDE">
        <w:rPr>
          <w:rFonts w:ascii="Times New Roman" w:eastAsia="Times New Roman" w:hAnsi="Times New Roman" w:cs="Times New Roman"/>
          <w:sz w:val="24"/>
          <w:szCs w:val="24"/>
        </w:rPr>
        <w:t xml:space="preserve"> </w:t>
      </w:r>
      <w:r w:rsidR="00B22DDE" w:rsidRPr="00B22DDE">
        <w:rPr>
          <w:rFonts w:ascii="Times New Roman" w:eastAsia="Times New Roman" w:hAnsi="Times New Roman" w:cs="Times New Roman"/>
          <w:b/>
          <w:sz w:val="24"/>
          <w:szCs w:val="24"/>
        </w:rPr>
        <w:t>4</w:t>
      </w:r>
      <w:r w:rsidR="0081700F">
        <w:rPr>
          <w:rFonts w:ascii="Times New Roman" w:eastAsia="Times New Roman" w:hAnsi="Times New Roman" w:cs="Times New Roman"/>
          <w:b/>
          <w:sz w:val="24"/>
          <w:szCs w:val="24"/>
        </w:rPr>
        <w:t>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finansowania przestępstwa o charakterze terrorystycznym, o którym mowa w art. 165a Kodeksu </w:t>
      </w:r>
      <w:r w:rsidRPr="005E7411">
        <w:rPr>
          <w:rFonts w:ascii="Times New Roman" w:eastAsia="Times New Roman" w:hAnsi="Times New Roman" w:cs="Times New Roman"/>
          <w:sz w:val="24"/>
          <w:szCs w:val="24"/>
        </w:rPr>
        <w:lastRenderedPageBreak/>
        <w:t>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sidRPr="005E7411">
        <w:rPr>
          <w:rFonts w:ascii="Times New Roman" w:eastAsia="Times New Roman" w:hAnsi="Times New Roman" w:cs="Times New Roman"/>
          <w:bCs/>
          <w:sz w:val="24"/>
          <w:szCs w:val="24"/>
        </w:rPr>
        <w:lastRenderedPageBreak/>
        <w:t>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 przypadku, o którym mowa w pkt 2.4, na okres, na jaki został prawomocnie orzeczony zakaz </w:t>
      </w:r>
      <w:r w:rsidRPr="005E7411">
        <w:rPr>
          <w:rFonts w:ascii="Times New Roman" w:eastAsia="Times New Roman" w:hAnsi="Times New Roman" w:cs="Times New Roman"/>
          <w:sz w:val="24"/>
          <w:szCs w:val="24"/>
        </w:rPr>
        <w:lastRenderedPageBreak/>
        <w:t>ubiegania się o zamówienia publiczne;</w:t>
      </w:r>
    </w:p>
    <w:p w:rsidR="00103311" w:rsidRPr="00FF3669" w:rsidRDefault="005E7411" w:rsidP="00E53D9F">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E91AE2" w:rsidRDefault="004867A5" w:rsidP="00E91AE2">
      <w:pPr>
        <w:pStyle w:val="Akapitzlist"/>
        <w:shd w:val="clear" w:color="auto" w:fill="FFFFFF"/>
        <w:spacing w:line="276" w:lineRule="auto"/>
        <w:ind w:left="360"/>
        <w:jc w:val="both"/>
        <w:rPr>
          <w:rFonts w:ascii="Times New Roman" w:eastAsia="Times New Roman" w:hAnsi="Times New Roman" w:cs="Times New Roman"/>
          <w:b/>
          <w:bCs/>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81700F">
        <w:rPr>
          <w:rFonts w:ascii="Times New Roman" w:eastAsia="Times New Roman" w:hAnsi="Times New Roman" w:cs="Times New Roman"/>
          <w:b/>
          <w:bCs/>
          <w:sz w:val="24"/>
          <w:szCs w:val="24"/>
        </w:rPr>
        <w:t> 3</w:t>
      </w:r>
      <w:r w:rsidR="007D02EF" w:rsidRPr="00E91AE2">
        <w:rPr>
          <w:rFonts w:ascii="Times New Roman" w:eastAsia="Times New Roman" w:hAnsi="Times New Roman" w:cs="Times New Roman"/>
          <w:b/>
          <w:bCs/>
          <w:sz w:val="24"/>
          <w:szCs w:val="24"/>
        </w:rPr>
        <w:t>00 000,00 zł</w:t>
      </w:r>
      <w:r w:rsidR="004655EC" w:rsidRPr="00E91AE2">
        <w:rPr>
          <w:rFonts w:ascii="Times New Roman" w:eastAsia="Times New Roman" w:hAnsi="Times New Roman" w:cs="Times New Roman"/>
          <w:bCs/>
          <w:sz w:val="24"/>
          <w:szCs w:val="24"/>
        </w:rPr>
        <w:t xml:space="preserve"> /</w:t>
      </w:r>
      <w:r w:rsidR="0081700F">
        <w:rPr>
          <w:rFonts w:ascii="Times New Roman" w:eastAsia="Times New Roman" w:hAnsi="Times New Roman" w:cs="Times New Roman"/>
          <w:bCs/>
          <w:sz w:val="24"/>
          <w:szCs w:val="24"/>
        </w:rPr>
        <w:t>trzysta</w:t>
      </w:r>
      <w:r w:rsidR="0005258E" w:rsidRPr="00E91AE2">
        <w:rPr>
          <w:rFonts w:ascii="Times New Roman" w:eastAsia="Times New Roman" w:hAnsi="Times New Roman" w:cs="Times New Roman"/>
          <w:bCs/>
          <w:sz w:val="24"/>
          <w:szCs w:val="24"/>
        </w:rPr>
        <w:t xml:space="preserve"> tysięcy</w:t>
      </w:r>
      <w:r w:rsidR="004655EC" w:rsidRPr="00E91AE2">
        <w:rPr>
          <w:rFonts w:ascii="Times New Roman" w:eastAsia="Times New Roman" w:hAnsi="Times New Roman" w:cs="Times New Roman"/>
          <w:bCs/>
          <w:sz w:val="24"/>
          <w:szCs w:val="24"/>
        </w:rPr>
        <w:t xml:space="preserve"> złotych/</w:t>
      </w:r>
      <w:r w:rsidRPr="00E91AE2">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81700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00 000,00</w:t>
      </w:r>
      <w:r w:rsidR="003E63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81700F">
        <w:rPr>
          <w:rFonts w:ascii="Times New Roman" w:eastAsia="Times New Roman" w:hAnsi="Times New Roman" w:cs="Times New Roman"/>
          <w:b/>
          <w:sz w:val="24"/>
          <w:szCs w:val="24"/>
        </w:rPr>
        <w:t>trzysta</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w:t>
      </w:r>
      <w:r w:rsidR="00451549">
        <w:rPr>
          <w:rFonts w:ascii="Times New Roman" w:eastAsia="Times New Roman" w:hAnsi="Times New Roman" w:cs="Times New Roman"/>
          <w:sz w:val="24"/>
          <w:szCs w:val="24"/>
        </w:rPr>
        <w:t>robót drogowych</w:t>
      </w:r>
      <w:r w:rsidRPr="00E82B60">
        <w:rPr>
          <w:rFonts w:ascii="Times New Roman" w:eastAsia="Times New Roman" w:hAnsi="Times New Roman" w:cs="Times New Roman"/>
          <w:sz w:val="24"/>
          <w:szCs w:val="24"/>
        </w:rPr>
        <w:t xml:space="preserve">,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 xml:space="preserve">Kierownik </w:t>
      </w:r>
      <w:r w:rsidR="00451549">
        <w:rPr>
          <w:rFonts w:ascii="Times New Roman" w:eastAsia="Times New Roman" w:hAnsi="Times New Roman" w:cs="Times New Roman"/>
          <w:color w:val="000000"/>
          <w:sz w:val="24"/>
          <w:szCs w:val="24"/>
        </w:rPr>
        <w:t>robót</w:t>
      </w:r>
      <w:r w:rsidRPr="001C0363">
        <w:rPr>
          <w:rFonts w:ascii="Times New Roman" w:eastAsia="Times New Roman" w:hAnsi="Times New Roman" w:cs="Times New Roman"/>
          <w:color w:val="000000"/>
          <w:sz w:val="24"/>
          <w:szCs w:val="24"/>
        </w:rPr>
        <w:t xml:space="preserve">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xml:space="preserve">. Dz. U. z 2020 r., poz. 1333 z późn.zm) oraz ustawy o zasadach uznawania kwalifikacji zawodowych </w:t>
      </w:r>
      <w:r w:rsidRPr="001E575F">
        <w:rPr>
          <w:rFonts w:ascii="Times New Roman" w:eastAsia="Times New Roman" w:hAnsi="Times New Roman" w:cs="Times New Roman"/>
          <w:color w:val="000000"/>
          <w:sz w:val="24"/>
          <w:szCs w:val="24"/>
        </w:rPr>
        <w:lastRenderedPageBreak/>
        <w:t>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BE6AAF"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BE6AAF" w:rsidRPr="007D3FD5"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 xml:space="preserve">z podmiotami udostępniającymi zasoby gwarantuje rzeczywisty dostęp do tych </w:t>
      </w:r>
      <w:r w:rsidRPr="00CA0E85">
        <w:rPr>
          <w:rFonts w:ascii="Times New Roman" w:eastAsia="Times New Roman" w:hAnsi="Times New Roman" w:cs="Times New Roman"/>
          <w:sz w:val="24"/>
          <w:szCs w:val="24"/>
        </w:rPr>
        <w:lastRenderedPageBreak/>
        <w:t>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Default="00B65872" w:rsidP="00E53D9F">
      <w:pPr>
        <w:shd w:val="clear" w:color="auto" w:fill="FFFFFF"/>
        <w:tabs>
          <w:tab w:val="left" w:pos="360"/>
        </w:tabs>
        <w:spacing w:line="276" w:lineRule="auto"/>
        <w:jc w:val="both"/>
        <w:rPr>
          <w:rFonts w:ascii="Times New Roman" w:hAnsi="Times New Roman" w:cs="Times New Roman"/>
        </w:rPr>
      </w:pPr>
    </w:p>
    <w:p w:rsidR="00BE6AAF" w:rsidRDefault="00BE6AAF" w:rsidP="00E53D9F">
      <w:pPr>
        <w:shd w:val="clear" w:color="auto" w:fill="FFFFFF"/>
        <w:tabs>
          <w:tab w:val="left" w:pos="360"/>
        </w:tabs>
        <w:spacing w:line="276" w:lineRule="auto"/>
        <w:jc w:val="both"/>
        <w:rPr>
          <w:rFonts w:ascii="Times New Roman" w:hAnsi="Times New Roman" w:cs="Times New Roman"/>
        </w:rPr>
      </w:pPr>
    </w:p>
    <w:p w:rsidR="00BE6AAF" w:rsidRPr="002A0082" w:rsidRDefault="00BE6AAF"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2A0082">
        <w:rPr>
          <w:rFonts w:ascii="Times New Roman" w:eastAsia="Times New Roman" w:hAnsi="Times New Roman" w:cs="Times New Roman"/>
          <w:sz w:val="24"/>
          <w:szCs w:val="24"/>
        </w:rPr>
        <w:lastRenderedPageBreak/>
        <w:t>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81700F">
        <w:rPr>
          <w:rFonts w:ascii="Times New Roman" w:hAnsi="Times New Roman" w:cs="Times New Roman"/>
          <w:bCs/>
          <w:sz w:val="24"/>
          <w:szCs w:val="24"/>
        </w:rPr>
        <w:t>3</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lastRenderedPageBreak/>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lastRenderedPageBreak/>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3" w:name="bookmark11"/>
    </w:p>
    <w:bookmarkEnd w:id="3"/>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AC3EA4">
        <w:rPr>
          <w:rFonts w:ascii="Times New Roman" w:hAnsi="Times New Roman" w:cs="Times New Roman"/>
          <w:bCs/>
          <w:sz w:val="24"/>
          <w:szCs w:val="24"/>
        </w:rPr>
        <w:t xml:space="preserve"> 73 97 wew. 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C3EA4">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81700F">
        <w:rPr>
          <w:rFonts w:ascii="Times New Roman" w:hAnsi="Times New Roman" w:cs="Times New Roman"/>
          <w:b/>
          <w:sz w:val="24"/>
          <w:szCs w:val="24"/>
          <w:u w:val="single"/>
        </w:rPr>
        <w:t>6</w:t>
      </w:r>
      <w:r w:rsidR="00B904B0">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81700F">
        <w:rPr>
          <w:rFonts w:ascii="Times New Roman" w:hAnsi="Times New Roman" w:cs="Times New Roman"/>
          <w:i/>
          <w:sz w:val="24"/>
          <w:szCs w:val="24"/>
        </w:rPr>
        <w:t>sześć</w:t>
      </w:r>
      <w:r w:rsidR="00FD5B9F">
        <w:rPr>
          <w:rFonts w:ascii="Times New Roman" w:hAnsi="Times New Roman" w:cs="Times New Roman"/>
          <w:i/>
          <w:sz w:val="24"/>
          <w:szCs w:val="24"/>
        </w:rPr>
        <w:t xml:space="preserve"> </w:t>
      </w:r>
      <w:r w:rsidR="00B904B0">
        <w:rPr>
          <w:rFonts w:ascii="Times New Roman" w:hAnsi="Times New Roman" w:cs="Times New Roman"/>
          <w:i/>
          <w:sz w:val="24"/>
          <w:szCs w:val="24"/>
        </w:rPr>
        <w:t>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81700F" w:rsidRPr="0081700F" w:rsidRDefault="00E76FF8" w:rsidP="0081700F">
      <w:pPr>
        <w:shd w:val="clear" w:color="auto" w:fill="FFFFFF"/>
        <w:tabs>
          <w:tab w:val="left" w:pos="360"/>
        </w:tabs>
        <w:spacing w:line="276" w:lineRule="auto"/>
        <w:ind w:right="461"/>
        <w:rPr>
          <w:rFonts w:ascii="Times New Roman" w:hAnsi="Times New Roman" w:cs="Times New Roman"/>
          <w:b/>
          <w:bCs/>
          <w:iCs/>
          <w:sz w:val="24"/>
          <w:szCs w:val="24"/>
          <w:u w:val="single"/>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81700F">
        <w:rPr>
          <w:rFonts w:ascii="Times New Roman" w:hAnsi="Times New Roman" w:cs="Times New Roman"/>
          <w:b/>
          <w:sz w:val="24"/>
          <w:szCs w:val="24"/>
        </w:rPr>
        <w:t>17</w:t>
      </w:r>
      <w:r w:rsidR="005B4DFC">
        <w:rPr>
          <w:rFonts w:ascii="Times New Roman" w:hAnsi="Times New Roman" w:cs="Times New Roman"/>
          <w:b/>
          <w:sz w:val="24"/>
          <w:szCs w:val="24"/>
        </w:rPr>
        <w:t>.2024</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81700F" w:rsidRPr="0081700F">
        <w:rPr>
          <w:rFonts w:ascii="Times New Roman" w:hAnsi="Times New Roman" w:cs="Times New Roman"/>
          <w:b/>
          <w:bCs/>
          <w:iCs/>
          <w:sz w:val="24"/>
          <w:szCs w:val="24"/>
        </w:rPr>
        <w:t>Modernizacja i przebudowa dróg na terenie Gminy Przeworsk</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BB3287">
        <w:rPr>
          <w:rFonts w:ascii="Times New Roman" w:eastAsia="Times New Roman" w:hAnsi="Times New Roman" w:cs="Times New Roman"/>
          <w:bCs/>
          <w:color w:val="FF0000"/>
          <w:sz w:val="24"/>
          <w:szCs w:val="24"/>
        </w:rPr>
        <w:t xml:space="preserve"> 31.10</w:t>
      </w:r>
      <w:bookmarkStart w:id="4" w:name="_GoBack"/>
      <w:bookmarkEnd w:id="4"/>
      <w:r w:rsidR="005B4DFC">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sz w:val="24"/>
          <w:szCs w:val="24"/>
        </w:rPr>
        <w:lastRenderedPageBreak/>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5"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5"/>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3613FD"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02</w:t>
      </w:r>
      <w:r w:rsidR="00C920DC">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10</w:t>
      </w:r>
      <w:r w:rsidR="005B4DFC">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3613FD">
        <w:rPr>
          <w:rFonts w:ascii="Times New Roman" w:hAnsi="Times New Roman" w:cs="Times New Roman"/>
          <w:b/>
          <w:color w:val="FF0000"/>
          <w:sz w:val="24"/>
          <w:szCs w:val="24"/>
        </w:rPr>
        <w:t>02.10</w:t>
      </w:r>
      <w:r w:rsidR="005B4DFC">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DA5DDE" w:rsidRDefault="00DA5DDE"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3613FD">
        <w:rPr>
          <w:rFonts w:ascii="Times New Roman" w:hAnsi="Times New Roman" w:cs="Times New Roman"/>
          <w:sz w:val="24"/>
          <w:szCs w:val="24"/>
        </w:rPr>
        <w:t>u ofertowym wynika z kosztorysów ofertowych</w:t>
      </w:r>
      <w:r w:rsidRPr="00D63E98">
        <w:rPr>
          <w:rFonts w:ascii="Times New Roman" w:hAnsi="Times New Roman" w:cs="Times New Roman"/>
          <w:sz w:val="24"/>
          <w:szCs w:val="24"/>
        </w:rPr>
        <w:t xml:space="preserve"> i jest wynagrodzeniem kosztorysowym. Kosztorys</w:t>
      </w:r>
      <w:r w:rsidR="003613FD">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lastRenderedPageBreak/>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B904B0" w:rsidRPr="00B904B0" w:rsidRDefault="00B904B0" w:rsidP="00B904B0">
      <w:pPr>
        <w:widowControl/>
        <w:autoSpaceDE/>
        <w:autoSpaceDN/>
        <w:adjustRightInd/>
        <w:spacing w:after="200" w:line="276" w:lineRule="auto"/>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lastRenderedPageBreak/>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Obowiązek podania przez Panią/Pana danych osobowych bezpośrednio Pani/Pana dotyczących jest </w:t>
      </w:r>
      <w:r w:rsidRPr="002C7797">
        <w:rPr>
          <w:rFonts w:ascii="Times New Roman" w:hAnsi="Times New Roman" w:cs="Times New Roman"/>
          <w:bCs/>
          <w:sz w:val="24"/>
          <w:szCs w:val="24"/>
        </w:rPr>
        <w:lastRenderedPageBreak/>
        <w:t>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C61AE3">
        <w:rPr>
          <w:rFonts w:ascii="Times New Roman" w:eastAsia="Times New Roman" w:hAnsi="Times New Roman" w:cs="Times New Roman"/>
          <w:sz w:val="24"/>
          <w:szCs w:val="24"/>
        </w:rPr>
        <w:t xml:space="preserve"> K</w:t>
      </w:r>
      <w:r w:rsidR="00C40FD6">
        <w:rPr>
          <w:rFonts w:ascii="Times New Roman" w:eastAsia="Times New Roman" w:hAnsi="Times New Roman" w:cs="Times New Roman"/>
          <w:sz w:val="24"/>
          <w:szCs w:val="24"/>
        </w:rPr>
        <w:t>osztorys</w:t>
      </w:r>
      <w:r w:rsidR="003613FD">
        <w:rPr>
          <w:rFonts w:ascii="Times New Roman" w:eastAsia="Times New Roman" w:hAnsi="Times New Roman" w:cs="Times New Roman"/>
          <w:sz w:val="24"/>
          <w:szCs w:val="24"/>
        </w:rPr>
        <w:t>y ofertowe, plany sytuacyjne</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F4" w:rsidRDefault="00F464F4">
      <w:r>
        <w:separator/>
      </w:r>
    </w:p>
  </w:endnote>
  <w:endnote w:type="continuationSeparator" w:id="0">
    <w:p w:rsidR="00F464F4" w:rsidRDefault="00F4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B22DDE" w:rsidRDefault="00B22DDE"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BB3287">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B22DDE" w:rsidRDefault="00B22D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F4" w:rsidRDefault="00F464F4">
      <w:r>
        <w:separator/>
      </w:r>
    </w:p>
  </w:footnote>
  <w:footnote w:type="continuationSeparator" w:id="0">
    <w:p w:rsidR="00F464F4" w:rsidRDefault="00F46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E" w:rsidRDefault="00B22DDE" w:rsidP="000D2E8E">
    <w:pPr>
      <w:pStyle w:val="Nagwek"/>
      <w:jc w:val="right"/>
    </w:pPr>
  </w:p>
  <w:p w:rsidR="00B22DDE" w:rsidRDefault="00B22DDE"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0106B5F6"/>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5"/>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0"/>
  </w:num>
  <w:num w:numId="6">
    <w:abstractNumId w:val="7"/>
  </w:num>
  <w:num w:numId="7">
    <w:abstractNumId w:val="18"/>
  </w:num>
  <w:num w:numId="8">
    <w:abstractNumId w:val="27"/>
  </w:num>
  <w:num w:numId="9">
    <w:abstractNumId w:val="29"/>
  </w:num>
  <w:num w:numId="10">
    <w:abstractNumId w:val="24"/>
  </w:num>
  <w:num w:numId="11">
    <w:abstractNumId w:val="33"/>
  </w:num>
  <w:num w:numId="12">
    <w:abstractNumId w:val="9"/>
  </w:num>
  <w:num w:numId="13">
    <w:abstractNumId w:val="39"/>
  </w:num>
  <w:num w:numId="14">
    <w:abstractNumId w:val="32"/>
  </w:num>
  <w:num w:numId="15">
    <w:abstractNumId w:val="8"/>
  </w:num>
  <w:num w:numId="16">
    <w:abstractNumId w:val="23"/>
  </w:num>
  <w:num w:numId="17">
    <w:abstractNumId w:val="36"/>
  </w:num>
  <w:num w:numId="18">
    <w:abstractNumId w:val="31"/>
  </w:num>
  <w:num w:numId="19">
    <w:abstractNumId w:val="3"/>
  </w:num>
  <w:num w:numId="20">
    <w:abstractNumId w:val="26"/>
  </w:num>
  <w:num w:numId="21">
    <w:abstractNumId w:val="34"/>
  </w:num>
  <w:num w:numId="22">
    <w:abstractNumId w:val="6"/>
  </w:num>
  <w:num w:numId="23">
    <w:abstractNumId w:val="15"/>
  </w:num>
  <w:num w:numId="24">
    <w:abstractNumId w:val="13"/>
  </w:num>
  <w:num w:numId="25">
    <w:abstractNumId w:val="21"/>
  </w:num>
  <w:num w:numId="26">
    <w:abstractNumId w:val="28"/>
  </w:num>
  <w:num w:numId="27">
    <w:abstractNumId w:val="40"/>
  </w:num>
  <w:num w:numId="28">
    <w:abstractNumId w:val="19"/>
  </w:num>
  <w:num w:numId="29">
    <w:abstractNumId w:val="10"/>
  </w:num>
  <w:num w:numId="30">
    <w:abstractNumId w:val="12"/>
  </w:num>
  <w:num w:numId="31">
    <w:abstractNumId w:val="11"/>
  </w:num>
  <w:num w:numId="32">
    <w:abstractNumId w:val="35"/>
  </w:num>
  <w:num w:numId="33">
    <w:abstractNumId w:val="38"/>
  </w:num>
  <w:num w:numId="34">
    <w:abstractNumId w:val="1"/>
  </w:num>
  <w:num w:numId="35">
    <w:abstractNumId w:val="22"/>
  </w:num>
  <w:num w:numId="36">
    <w:abstractNumId w:val="0"/>
  </w:num>
  <w:num w:numId="37">
    <w:abstractNumId w:val="37"/>
  </w:num>
  <w:num w:numId="38">
    <w:abstractNumId w:val="30"/>
  </w:num>
  <w:num w:numId="39">
    <w:abstractNumId w:val="41"/>
  </w:num>
  <w:num w:numId="40">
    <w:abstractNumId w:val="25"/>
  </w:num>
  <w:num w:numId="41">
    <w:abstractNumId w:val="17"/>
  </w:num>
  <w:num w:numId="42">
    <w:abstractNumId w:val="16"/>
  </w:num>
  <w:num w:numId="43">
    <w:abstractNumId w:val="4"/>
  </w:num>
  <w:num w:numId="44">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231A"/>
    <w:rsid w:val="000154BF"/>
    <w:rsid w:val="000162C7"/>
    <w:rsid w:val="000214AD"/>
    <w:rsid w:val="00023760"/>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0B73"/>
    <w:rsid w:val="000D1164"/>
    <w:rsid w:val="000D2E8E"/>
    <w:rsid w:val="000E3751"/>
    <w:rsid w:val="000E6B07"/>
    <w:rsid w:val="000F0767"/>
    <w:rsid w:val="00100E38"/>
    <w:rsid w:val="00103311"/>
    <w:rsid w:val="00111DE8"/>
    <w:rsid w:val="00112E89"/>
    <w:rsid w:val="001131BF"/>
    <w:rsid w:val="001160D7"/>
    <w:rsid w:val="001168A6"/>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24F3"/>
    <w:rsid w:val="00204E02"/>
    <w:rsid w:val="002070BC"/>
    <w:rsid w:val="00212A0A"/>
    <w:rsid w:val="00221E39"/>
    <w:rsid w:val="00225167"/>
    <w:rsid w:val="00226F03"/>
    <w:rsid w:val="002305D1"/>
    <w:rsid w:val="00232B35"/>
    <w:rsid w:val="0023556B"/>
    <w:rsid w:val="00240271"/>
    <w:rsid w:val="00240A9E"/>
    <w:rsid w:val="00240D53"/>
    <w:rsid w:val="00242169"/>
    <w:rsid w:val="0024494E"/>
    <w:rsid w:val="00245DFA"/>
    <w:rsid w:val="002464CB"/>
    <w:rsid w:val="00253801"/>
    <w:rsid w:val="0026657F"/>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D7390"/>
    <w:rsid w:val="002E035E"/>
    <w:rsid w:val="002E284B"/>
    <w:rsid w:val="002E5E19"/>
    <w:rsid w:val="002E6E49"/>
    <w:rsid w:val="00301030"/>
    <w:rsid w:val="00301C1A"/>
    <w:rsid w:val="003101BD"/>
    <w:rsid w:val="003109FA"/>
    <w:rsid w:val="00310BFA"/>
    <w:rsid w:val="00316FCB"/>
    <w:rsid w:val="003241BA"/>
    <w:rsid w:val="0033736D"/>
    <w:rsid w:val="003417BD"/>
    <w:rsid w:val="003425EF"/>
    <w:rsid w:val="0034270A"/>
    <w:rsid w:val="00346C44"/>
    <w:rsid w:val="003546FF"/>
    <w:rsid w:val="00354BB1"/>
    <w:rsid w:val="003613FD"/>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14FE"/>
    <w:rsid w:val="003D5757"/>
    <w:rsid w:val="003D6741"/>
    <w:rsid w:val="003D7789"/>
    <w:rsid w:val="003E0828"/>
    <w:rsid w:val="003E12AB"/>
    <w:rsid w:val="003E2B7D"/>
    <w:rsid w:val="003E553D"/>
    <w:rsid w:val="003E606A"/>
    <w:rsid w:val="003E63A8"/>
    <w:rsid w:val="003E78D9"/>
    <w:rsid w:val="003F4700"/>
    <w:rsid w:val="003F4798"/>
    <w:rsid w:val="004041F9"/>
    <w:rsid w:val="00411307"/>
    <w:rsid w:val="004166C7"/>
    <w:rsid w:val="00420579"/>
    <w:rsid w:val="00430BEF"/>
    <w:rsid w:val="004373E9"/>
    <w:rsid w:val="004413AA"/>
    <w:rsid w:val="00444EF9"/>
    <w:rsid w:val="00446450"/>
    <w:rsid w:val="00451549"/>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4A2B"/>
    <w:rsid w:val="00531589"/>
    <w:rsid w:val="0053200B"/>
    <w:rsid w:val="00533102"/>
    <w:rsid w:val="00540A21"/>
    <w:rsid w:val="00540F7E"/>
    <w:rsid w:val="005412BB"/>
    <w:rsid w:val="00551E75"/>
    <w:rsid w:val="00553EEC"/>
    <w:rsid w:val="00556518"/>
    <w:rsid w:val="005577A4"/>
    <w:rsid w:val="00557A4E"/>
    <w:rsid w:val="0056368B"/>
    <w:rsid w:val="0056756B"/>
    <w:rsid w:val="005715EC"/>
    <w:rsid w:val="00573955"/>
    <w:rsid w:val="00573EAB"/>
    <w:rsid w:val="00583A4B"/>
    <w:rsid w:val="0058716F"/>
    <w:rsid w:val="005910BC"/>
    <w:rsid w:val="005A586B"/>
    <w:rsid w:val="005A5DCC"/>
    <w:rsid w:val="005A7676"/>
    <w:rsid w:val="005B2D77"/>
    <w:rsid w:val="005B4DFC"/>
    <w:rsid w:val="005B5C3C"/>
    <w:rsid w:val="005B60AB"/>
    <w:rsid w:val="005B6DBD"/>
    <w:rsid w:val="005C21F0"/>
    <w:rsid w:val="005C3473"/>
    <w:rsid w:val="005D5C54"/>
    <w:rsid w:val="005D5FFD"/>
    <w:rsid w:val="005D68BA"/>
    <w:rsid w:val="005D7500"/>
    <w:rsid w:val="005E3992"/>
    <w:rsid w:val="005E548D"/>
    <w:rsid w:val="005E7411"/>
    <w:rsid w:val="005F21B9"/>
    <w:rsid w:val="005F2528"/>
    <w:rsid w:val="005F6E5A"/>
    <w:rsid w:val="00601C8D"/>
    <w:rsid w:val="00601CD0"/>
    <w:rsid w:val="006133CD"/>
    <w:rsid w:val="00616C29"/>
    <w:rsid w:val="00621628"/>
    <w:rsid w:val="00622756"/>
    <w:rsid w:val="00622B49"/>
    <w:rsid w:val="0062478A"/>
    <w:rsid w:val="0064097B"/>
    <w:rsid w:val="006423E5"/>
    <w:rsid w:val="00647110"/>
    <w:rsid w:val="00647BF5"/>
    <w:rsid w:val="00651792"/>
    <w:rsid w:val="00664F04"/>
    <w:rsid w:val="00694330"/>
    <w:rsid w:val="00694880"/>
    <w:rsid w:val="006955A6"/>
    <w:rsid w:val="006B4DF6"/>
    <w:rsid w:val="006C55C3"/>
    <w:rsid w:val="006C6ED7"/>
    <w:rsid w:val="006D0B58"/>
    <w:rsid w:val="006D233D"/>
    <w:rsid w:val="006D3D28"/>
    <w:rsid w:val="006E040D"/>
    <w:rsid w:val="006E493A"/>
    <w:rsid w:val="006E69A8"/>
    <w:rsid w:val="006E71DA"/>
    <w:rsid w:val="006F3751"/>
    <w:rsid w:val="006F3F9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2FC1"/>
    <w:rsid w:val="007937B5"/>
    <w:rsid w:val="00794F13"/>
    <w:rsid w:val="00796DC6"/>
    <w:rsid w:val="007A117E"/>
    <w:rsid w:val="007A17A9"/>
    <w:rsid w:val="007A2160"/>
    <w:rsid w:val="007B6272"/>
    <w:rsid w:val="007C050E"/>
    <w:rsid w:val="007C4E89"/>
    <w:rsid w:val="007C777F"/>
    <w:rsid w:val="007C7C40"/>
    <w:rsid w:val="007D02EF"/>
    <w:rsid w:val="007D086C"/>
    <w:rsid w:val="007D3FD5"/>
    <w:rsid w:val="007E129E"/>
    <w:rsid w:val="007E5AA4"/>
    <w:rsid w:val="007F0334"/>
    <w:rsid w:val="007F7E71"/>
    <w:rsid w:val="00807A32"/>
    <w:rsid w:val="00815D3B"/>
    <w:rsid w:val="0081700F"/>
    <w:rsid w:val="008202B0"/>
    <w:rsid w:val="00826609"/>
    <w:rsid w:val="00826960"/>
    <w:rsid w:val="00827B06"/>
    <w:rsid w:val="00830444"/>
    <w:rsid w:val="008356B3"/>
    <w:rsid w:val="00841390"/>
    <w:rsid w:val="00854690"/>
    <w:rsid w:val="008567C7"/>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134"/>
    <w:rsid w:val="008E1A7A"/>
    <w:rsid w:val="008E21E8"/>
    <w:rsid w:val="008E4133"/>
    <w:rsid w:val="008E4C17"/>
    <w:rsid w:val="008E62CE"/>
    <w:rsid w:val="00900D8C"/>
    <w:rsid w:val="00906316"/>
    <w:rsid w:val="009066BC"/>
    <w:rsid w:val="0090779A"/>
    <w:rsid w:val="009215C7"/>
    <w:rsid w:val="00930666"/>
    <w:rsid w:val="00934FD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85EAE"/>
    <w:rsid w:val="009956C9"/>
    <w:rsid w:val="00996D1B"/>
    <w:rsid w:val="009A5ABA"/>
    <w:rsid w:val="009B4A42"/>
    <w:rsid w:val="009B771A"/>
    <w:rsid w:val="009C1E33"/>
    <w:rsid w:val="009D00A8"/>
    <w:rsid w:val="009D3588"/>
    <w:rsid w:val="009D7CE6"/>
    <w:rsid w:val="009E28D6"/>
    <w:rsid w:val="009E58DE"/>
    <w:rsid w:val="009F1586"/>
    <w:rsid w:val="009F3EE2"/>
    <w:rsid w:val="009F41CE"/>
    <w:rsid w:val="009F44DA"/>
    <w:rsid w:val="009F4C9F"/>
    <w:rsid w:val="009F6257"/>
    <w:rsid w:val="00A00CCB"/>
    <w:rsid w:val="00A05786"/>
    <w:rsid w:val="00A113A5"/>
    <w:rsid w:val="00A115AE"/>
    <w:rsid w:val="00A26388"/>
    <w:rsid w:val="00A27A4E"/>
    <w:rsid w:val="00A315BD"/>
    <w:rsid w:val="00A32340"/>
    <w:rsid w:val="00A37D0E"/>
    <w:rsid w:val="00A4754F"/>
    <w:rsid w:val="00A5010B"/>
    <w:rsid w:val="00A52B84"/>
    <w:rsid w:val="00A53736"/>
    <w:rsid w:val="00A53D43"/>
    <w:rsid w:val="00A649D0"/>
    <w:rsid w:val="00A64DC4"/>
    <w:rsid w:val="00A66CC9"/>
    <w:rsid w:val="00A76356"/>
    <w:rsid w:val="00A7764C"/>
    <w:rsid w:val="00A91227"/>
    <w:rsid w:val="00A91E65"/>
    <w:rsid w:val="00A92DAB"/>
    <w:rsid w:val="00A94542"/>
    <w:rsid w:val="00A9605F"/>
    <w:rsid w:val="00AA1FB6"/>
    <w:rsid w:val="00AA3102"/>
    <w:rsid w:val="00AB231A"/>
    <w:rsid w:val="00AB4702"/>
    <w:rsid w:val="00AC1FDD"/>
    <w:rsid w:val="00AC3EA4"/>
    <w:rsid w:val="00AD4068"/>
    <w:rsid w:val="00AD589F"/>
    <w:rsid w:val="00AD73DD"/>
    <w:rsid w:val="00AE041B"/>
    <w:rsid w:val="00AE5569"/>
    <w:rsid w:val="00AE647F"/>
    <w:rsid w:val="00AF0483"/>
    <w:rsid w:val="00AF21B3"/>
    <w:rsid w:val="00AF3E91"/>
    <w:rsid w:val="00B0215B"/>
    <w:rsid w:val="00B028FE"/>
    <w:rsid w:val="00B046E4"/>
    <w:rsid w:val="00B15987"/>
    <w:rsid w:val="00B20D31"/>
    <w:rsid w:val="00B22DDE"/>
    <w:rsid w:val="00B24383"/>
    <w:rsid w:val="00B268BD"/>
    <w:rsid w:val="00B27050"/>
    <w:rsid w:val="00B37E71"/>
    <w:rsid w:val="00B42EBC"/>
    <w:rsid w:val="00B4344C"/>
    <w:rsid w:val="00B447EA"/>
    <w:rsid w:val="00B47204"/>
    <w:rsid w:val="00B47B19"/>
    <w:rsid w:val="00B54617"/>
    <w:rsid w:val="00B557F9"/>
    <w:rsid w:val="00B622F3"/>
    <w:rsid w:val="00B62661"/>
    <w:rsid w:val="00B651AE"/>
    <w:rsid w:val="00B65872"/>
    <w:rsid w:val="00B75EC8"/>
    <w:rsid w:val="00B76216"/>
    <w:rsid w:val="00B80896"/>
    <w:rsid w:val="00B80A80"/>
    <w:rsid w:val="00B80F4B"/>
    <w:rsid w:val="00B823EF"/>
    <w:rsid w:val="00B904B0"/>
    <w:rsid w:val="00BA07E6"/>
    <w:rsid w:val="00BA304C"/>
    <w:rsid w:val="00BA4A14"/>
    <w:rsid w:val="00BA57E4"/>
    <w:rsid w:val="00BA63D6"/>
    <w:rsid w:val="00BA73DE"/>
    <w:rsid w:val="00BB3287"/>
    <w:rsid w:val="00BB4259"/>
    <w:rsid w:val="00BB644F"/>
    <w:rsid w:val="00BC0E53"/>
    <w:rsid w:val="00BC3718"/>
    <w:rsid w:val="00BC454F"/>
    <w:rsid w:val="00BD6233"/>
    <w:rsid w:val="00BD76DE"/>
    <w:rsid w:val="00BE3EF4"/>
    <w:rsid w:val="00BE4F06"/>
    <w:rsid w:val="00BE6AAF"/>
    <w:rsid w:val="00BE74A3"/>
    <w:rsid w:val="00C01BB9"/>
    <w:rsid w:val="00C034A1"/>
    <w:rsid w:val="00C10F15"/>
    <w:rsid w:val="00C150B2"/>
    <w:rsid w:val="00C16006"/>
    <w:rsid w:val="00C21427"/>
    <w:rsid w:val="00C226EA"/>
    <w:rsid w:val="00C23FBA"/>
    <w:rsid w:val="00C3182D"/>
    <w:rsid w:val="00C352DC"/>
    <w:rsid w:val="00C35D49"/>
    <w:rsid w:val="00C36729"/>
    <w:rsid w:val="00C36953"/>
    <w:rsid w:val="00C40FD6"/>
    <w:rsid w:val="00C43C9C"/>
    <w:rsid w:val="00C468BA"/>
    <w:rsid w:val="00C51C1B"/>
    <w:rsid w:val="00C5593B"/>
    <w:rsid w:val="00C609BB"/>
    <w:rsid w:val="00C61AE3"/>
    <w:rsid w:val="00C62B75"/>
    <w:rsid w:val="00C64562"/>
    <w:rsid w:val="00C64612"/>
    <w:rsid w:val="00C67488"/>
    <w:rsid w:val="00C72E6C"/>
    <w:rsid w:val="00C76485"/>
    <w:rsid w:val="00C77179"/>
    <w:rsid w:val="00C832D1"/>
    <w:rsid w:val="00C842D0"/>
    <w:rsid w:val="00C84BB9"/>
    <w:rsid w:val="00C877CA"/>
    <w:rsid w:val="00C90621"/>
    <w:rsid w:val="00C920DC"/>
    <w:rsid w:val="00CA0E85"/>
    <w:rsid w:val="00CA0FB6"/>
    <w:rsid w:val="00CB107D"/>
    <w:rsid w:val="00CB2023"/>
    <w:rsid w:val="00CB240A"/>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169CA"/>
    <w:rsid w:val="00D219CE"/>
    <w:rsid w:val="00D23E04"/>
    <w:rsid w:val="00D24E26"/>
    <w:rsid w:val="00D24FE6"/>
    <w:rsid w:val="00D35EE5"/>
    <w:rsid w:val="00D3608E"/>
    <w:rsid w:val="00D37A62"/>
    <w:rsid w:val="00D408C3"/>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5DDE"/>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91AE2"/>
    <w:rsid w:val="00EA3C9E"/>
    <w:rsid w:val="00EA6DA5"/>
    <w:rsid w:val="00EB17A5"/>
    <w:rsid w:val="00EB5E0C"/>
    <w:rsid w:val="00EB7F43"/>
    <w:rsid w:val="00ED5D26"/>
    <w:rsid w:val="00EE68E6"/>
    <w:rsid w:val="00EF0EC0"/>
    <w:rsid w:val="00EF29E0"/>
    <w:rsid w:val="00F02AFE"/>
    <w:rsid w:val="00F10E88"/>
    <w:rsid w:val="00F2017D"/>
    <w:rsid w:val="00F26D52"/>
    <w:rsid w:val="00F35B58"/>
    <w:rsid w:val="00F464F4"/>
    <w:rsid w:val="00F46D98"/>
    <w:rsid w:val="00F51CAC"/>
    <w:rsid w:val="00F55C59"/>
    <w:rsid w:val="00F60AF2"/>
    <w:rsid w:val="00F62F4E"/>
    <w:rsid w:val="00F63D83"/>
    <w:rsid w:val="00F719D6"/>
    <w:rsid w:val="00F75609"/>
    <w:rsid w:val="00F87F25"/>
    <w:rsid w:val="00F92BBA"/>
    <w:rsid w:val="00F968D4"/>
    <w:rsid w:val="00FA2853"/>
    <w:rsid w:val="00FB0911"/>
    <w:rsid w:val="00FB2965"/>
    <w:rsid w:val="00FB5E37"/>
    <w:rsid w:val="00FC612E"/>
    <w:rsid w:val="00FC6461"/>
    <w:rsid w:val="00FD2DFC"/>
    <w:rsid w:val="00FD309D"/>
    <w:rsid w:val="00FD5B9F"/>
    <w:rsid w:val="00FE18F3"/>
    <w:rsid w:val="00FF1534"/>
    <w:rsid w:val="00FF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DDA8-D391-4CCF-A14E-84009FBD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9982</Words>
  <Characters>59894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2024-02-15T10:28:00Z</cp:lastPrinted>
  <dcterms:created xsi:type="dcterms:W3CDTF">2024-09-17T09:26:00Z</dcterms:created>
  <dcterms:modified xsi:type="dcterms:W3CDTF">2024-09-17T11:42:00Z</dcterms:modified>
</cp:coreProperties>
</file>