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ED" w:rsidRDefault="003C6AF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>Opis przedmiotu umowy.</w:t>
      </w: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35DED" w:rsidRDefault="003C6AF1">
      <w:pPr>
        <w:tabs>
          <w:tab w:val="left" w:pos="180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Mięso wieprzowe i wołowe</w:t>
      </w:r>
    </w:p>
    <w:p w:rsidR="00635DED" w:rsidRDefault="00635DED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8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19"/>
        <w:gridCol w:w="1295"/>
        <w:gridCol w:w="6076"/>
      </w:tblGrid>
      <w:tr w:rsidR="00635DE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Kod CPV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Wymagania</w:t>
            </w:r>
          </w:p>
        </w:tc>
      </w:tr>
      <w:tr w:rsidR="00635DE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mięso wieprzowe II klasy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15113000-3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80/20, nie mrożone,  świeże, bez ścięgien, chrząstek, kości, zapach charakterystyczny dla mięsa świeżego, barwa mięsa wskazująca na </w:t>
            </w:r>
            <w:r>
              <w:rPr>
                <w:rFonts w:cs="Arial"/>
                <w:sz w:val="20"/>
                <w:szCs w:val="20"/>
              </w:rPr>
              <w:t>świeżość, mięso nie poddawane dodatkowym procesom technologicznym typu: uplastycznienie, masowanie, nastrzykiwanie.</w:t>
            </w:r>
          </w:p>
        </w:tc>
      </w:tr>
      <w:tr w:rsidR="00635DED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poddawana d</w:t>
            </w:r>
            <w:r>
              <w:rPr>
                <w:rFonts w:cs="Arial"/>
                <w:color w:val="000000"/>
                <w:sz w:val="20"/>
                <w:szCs w:val="20"/>
              </w:rPr>
              <w:t>odatkowym procesom technologicznym typu: uplastycznienie, masowanie, nastrzykiwanie.</w:t>
            </w:r>
          </w:p>
        </w:tc>
      </w:tr>
      <w:tr w:rsidR="00635DE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świeża, biała, surowa, w płatach</w:t>
            </w:r>
          </w:p>
        </w:tc>
      </w:tr>
      <w:tr w:rsidR="00635DE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nogi wieprzowe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świeże, zapach charakterystyczny dla mięsa świeżego</w:t>
            </w:r>
          </w:p>
        </w:tc>
      </w:tr>
      <w:tr w:rsidR="00635DED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kości wieprzowe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karkowe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15131400-9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wędzone, nie mrożone</w:t>
            </w:r>
          </w:p>
        </w:tc>
      </w:tr>
      <w:tr w:rsidR="00635DE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płuca wieprzowe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poddawana dodatkowym procesom technologicznym typu: uplastycznienie, masowanie, </w:t>
            </w:r>
            <w:r>
              <w:rPr>
                <w:rFonts w:cs="Arial"/>
                <w:color w:val="000000"/>
                <w:sz w:val="20"/>
                <w:szCs w:val="20"/>
              </w:rPr>
              <w:t>nastrzykiwanie.</w:t>
            </w:r>
          </w:p>
        </w:tc>
      </w:tr>
      <w:tr w:rsidR="00635DED">
        <w:trPr>
          <w:trHeight w:val="23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smalec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15131700-2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zawartość tłuszczu minimum 95%, bez dodatków smakowych, osłonka sztuczna pergaminowa lub folia, bez dodatku</w:t>
            </w:r>
            <w:r>
              <w:rPr>
                <w:rFonts w:cs="Arial"/>
                <w:sz w:val="20"/>
                <w:szCs w:val="20"/>
              </w:rPr>
              <w:br/>
              <w:t>konserwantów</w:t>
            </w:r>
          </w:p>
        </w:tc>
      </w:tr>
      <w:tr w:rsidR="00635DED">
        <w:trPr>
          <w:trHeight w:val="23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serca wieprzowe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świeże, czyste, zapach charakterystyczny dla </w:t>
            </w:r>
            <w:proofErr w:type="spellStart"/>
            <w:r>
              <w:rPr>
                <w:rFonts w:cs="Arial"/>
                <w:sz w:val="20"/>
                <w:szCs w:val="20"/>
              </w:rPr>
              <w:t>podrobu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świeżego, barwa</w:t>
            </w:r>
            <w:r>
              <w:rPr>
                <w:rFonts w:cs="Arial"/>
                <w:sz w:val="20"/>
                <w:szCs w:val="20"/>
              </w:rPr>
              <w:t xml:space="preserve"> wskazując na świeżość, nie </w:t>
            </w:r>
            <w:proofErr w:type="spellStart"/>
            <w:r>
              <w:rPr>
                <w:rFonts w:cs="Arial"/>
                <w:sz w:val="20"/>
                <w:szCs w:val="20"/>
              </w:rPr>
              <w:t>poddawan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 dodatkowym procesom technologicznym typu: uplastycznienie, masowanie, nastrzykiwanie.</w:t>
            </w:r>
          </w:p>
        </w:tc>
      </w:tr>
      <w:tr w:rsidR="00635DED">
        <w:trPr>
          <w:trHeight w:val="23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łopatka wieprzowa b/k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15113000-3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mięso świeże, surowe bez fałd, skóry i tłuszczu pachowego i śródmięśniowego, nienastrzykiwane. </w:t>
            </w:r>
            <w:r>
              <w:rPr>
                <w:rFonts w:cs="Arial"/>
                <w:sz w:val="20"/>
                <w:szCs w:val="20"/>
              </w:rPr>
              <w:t>Powierzchnia gładka, niezakrwawiona, niepostrzępiona, bez opiłków kości, bez pomiażdżonych kości i przekrwień. Niedopuszczalne mięso galaretowate, oślizgłe, z nalotem pleśni lub z zanieczyszczeniami mechanicznymi bądź organicznymi. Barwa mięśni: jasnoróżow</w:t>
            </w:r>
            <w:r>
              <w:rPr>
                <w:rFonts w:cs="Arial"/>
                <w:sz w:val="20"/>
                <w:szCs w:val="20"/>
              </w:rPr>
              <w:t>a do czerwonej, dopuszczalne zmatowienie, niedopuszczalny odcień szary lub zielonkawy. Barwa tłuszczu: biała z odcieniem kremowym lub lekko różowym. Konsystencja jędrna i elastyczna, niedopuszczalne mięso galaretowate. Zapach swoisty, charakterystyczny dla</w:t>
            </w:r>
            <w:r>
              <w:rPr>
                <w:rFonts w:cs="Arial"/>
                <w:sz w:val="20"/>
                <w:szCs w:val="20"/>
              </w:rPr>
              <w:t xml:space="preserve"> mięsa świeżego, bez oznak zaparzenia i rozpoczynającego się psucia; niedopuszczalny zapach obcy .</w:t>
            </w:r>
          </w:p>
        </w:tc>
      </w:tr>
    </w:tbl>
    <w:p w:rsidR="00635DED" w:rsidRDefault="00635DED">
      <w:pPr>
        <w:rPr>
          <w:rFonts w:ascii="Calibri" w:eastAsia="Calibri" w:hAnsi="Calibri" w:cs="Calibri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3C6AF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3C6AF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Wędliny wieprzowe i wołowe</w:t>
      </w: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370"/>
        <w:gridCol w:w="1239"/>
        <w:gridCol w:w="5984"/>
      </w:tblGrid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kaszanka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15131134-3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wędlina podrobowa, wyprodukowana z mięsa </w:t>
            </w:r>
            <w:r>
              <w:rPr>
                <w:rFonts w:cs="Arial"/>
                <w:sz w:val="20"/>
                <w:szCs w:val="20"/>
              </w:rPr>
              <w:t>wieprzowego, surowców podrobowych, skórek wieprzowych, tłuszczu wieprzowego, kaszy jęczmiennej z dodatkiem krwi spożywczej, parzona, wygląd ogólny – wyrób w osłonce naturalnej lub sztucznej, powierzchnia czysta, lekko wilgotna, niedopuszczalne zabrudzenia,</w:t>
            </w:r>
            <w:r>
              <w:rPr>
                <w:rFonts w:cs="Arial"/>
                <w:sz w:val="20"/>
                <w:szCs w:val="20"/>
              </w:rPr>
              <w:t xml:space="preserve"> oślizłość i naloty pleśni, konsystencja – dość ścisła, niedopuszczalne skupiska nie wymieszanych składników, barwa na powierzchni szara do brunatnej, na przekroju – brunatna, niedopuszczalny smak i zapach świadczący o nieświeżości lub inny obcy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wędlina podrobowa parzona w osłonce sztucznej lub naturalnej, barwa kremowa do jasnobrązowej, konsystencja jędrna, skład min.: mięso wieprzowe minimum 50%, zapach charakterystyczny dla wyrobów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podrobowych, niepodwędzana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</w:t>
            </w:r>
            <w:r>
              <w:rPr>
                <w:rFonts w:cs="Arial"/>
                <w:color w:val="000000"/>
                <w:sz w:val="20"/>
                <w:szCs w:val="20"/>
              </w:rPr>
              <w:t>tkiem podrobów wieprzowych w osłonce sztucznej lub naturalnej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wieprzowa lub wieprzowo-wołowa, wędzona, parzona, średnio rozdrobniona, wygląd ogólny: batony w osłonkach naturalnych o długości 35 – 40 cm powierzchnie batonu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barwie od jasnobrązowej do ciemnobrązowej, osłonka równomiernie ściśle przylegająca do farszu, barwa mięsa – różowa do ciemnoróżowej, konsystencja – ścisła, niedopuszczalny smak i zapach świadczący o nieświeżości lub inny obcy. Zawartości mięsa minimum 40</w:t>
            </w: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wyrób o zawartości mięsa nie mniej niż 50%, homogenizowany, parzony. Batony w osłonkach naturalnych lub sztucznych, pozostawione w zwojach, powierzchnia batonu barwy różowej do jasnobrązowej o smaku i zapachu </w:t>
            </w:r>
            <w:r>
              <w:rPr>
                <w:rFonts w:cs="Arial"/>
                <w:color w:val="000000"/>
                <w:sz w:val="20"/>
                <w:szCs w:val="20"/>
              </w:rPr>
              <w:t>charakterystycznym dla danego asortymentu. Osłonka ściśle przylegająca do farszu, niedopuszczalna barwa szarozielona, plamy na powierzchni wynikające z nie dowędzenia w miejscu styku z innymi batonami. Wygląd na przekroju: barwa różowa do jasnobrązowej, ko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nsystencja dość ścisła, elastyczna, dopuszczalne pojedyncze otwory powietrza niepołączone ze zmianą barwy. Cechy dyskwalifikujące: obce posmaki, zapachy, oślizgłość, nalot pleśni, barwa szarozielona, zawilgocenie powierzchni, parówki uszkodzone, składniki </w:t>
            </w:r>
            <w:r>
              <w:rPr>
                <w:rFonts w:cs="Arial"/>
                <w:color w:val="000000"/>
                <w:sz w:val="20"/>
                <w:szCs w:val="20"/>
              </w:rPr>
              <w:t>użyte do produkcji pozaklasowe lub z chrząstkami, ścięgnami itp.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parówki wieprzowe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kiełbasa drobno rozdrobniona wieprzowa parzona w osłonce naturalnej lub sztucznej. Skład: mięso wieprzowe min. 30%, inne drobno rozdrobnione surowce mięsno tłu</w:t>
            </w:r>
            <w:r>
              <w:rPr>
                <w:rFonts w:cs="Arial"/>
                <w:sz w:val="20"/>
                <w:szCs w:val="20"/>
              </w:rPr>
              <w:t>szczowe, inne dodatki i</w:t>
            </w:r>
            <w:r>
              <w:rPr>
                <w:rFonts w:cs="Arial"/>
                <w:sz w:val="20"/>
                <w:szCs w:val="20"/>
              </w:rPr>
              <w:br/>
              <w:t>przyprawy. W odcinkach prostych o długości 14-20cm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średnio rozdrobniona, w osłonce jadalnej, zawartość mięsa minimum 50%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635DED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635DED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kiełbasa typu krajana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635DED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kiełbasa czysto wieprzowa,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wędzona, parzona, średnio rozdrobniona, wygląd ogólny- batony w osłonkach naturalnych (jelitach wieprzowych cienkich) o długości 35 - 40 cm, powierzchnia batonu o barwie od jasnobrązowej do brązowej z lekkim połyskiem i prześwitami składników pod osłonką, </w:t>
            </w:r>
            <w:r>
              <w:rPr>
                <w:rFonts w:cs="Arial"/>
                <w:color w:val="000000"/>
                <w:sz w:val="20"/>
                <w:szCs w:val="20"/>
              </w:rPr>
              <w:t>osłonka ściśle przylegająca do masy mięsnej, niedopuszczalne zawilgocenie powierzchni osłonki, bez zawartości glutenu, białek mleka oraz laktozy, barwa mięsa różowa do ciemnoróżowej, konsystencja ścisła, dość krucha, smak i zapach – charakterystyczny dla k</w:t>
            </w:r>
            <w:r>
              <w:rPr>
                <w:rFonts w:cs="Arial"/>
                <w:color w:val="000000"/>
                <w:sz w:val="20"/>
                <w:szCs w:val="20"/>
              </w:rPr>
              <w:t>iełbasy z mięsa peklowanego, wędzonej, parzonej i podsuszanej z wyraźnym wyczuciem wędzenia, z wyczuwalnymi przyprawami, niedopuszczalny smak i zapach świadczący o nieświeżości lub inny obcy. Zawartość mięsa minimum 50%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kiełbasa </w:t>
            </w:r>
            <w:r>
              <w:rPr>
                <w:rFonts w:cs="Arial"/>
                <w:color w:val="000000"/>
                <w:sz w:val="20"/>
                <w:szCs w:val="20"/>
              </w:rPr>
              <w:t>homogenizowana wieprzowa parzona lub wędzona parzona, w osłonce sztucznej, o zawartości mięsa minimum 20%. Dopuszczalne wykorzystanie w produkcie MOM do 40%, kiełbasa wygląd ogólny – batony w osłonkach sztucznych lub białkowych o średnicy 70-90 mm, powierz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chnia batonu o barwie jasnobrązowej do ciemnobrązowej lub o barwie użytej osłonki, osłonka gładka ściśle przylegająca do farszu, barwa mięsa – jasnoróżowa, konsystencja – dość ścisła, elastyczna, niedopuszczalny smak i zapach świadczący o nieświeżości lub </w:t>
            </w:r>
            <w:r>
              <w:rPr>
                <w:rFonts w:cs="Arial"/>
                <w:color w:val="000000"/>
                <w:sz w:val="20"/>
                <w:szCs w:val="20"/>
              </w:rPr>
              <w:t>inny obcy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pasztet wieprzowy borowikowy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15132220-2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wędlina podrobowa, parzona z dodatkiem białek mleka, w osłonce sztucznej niejadalnej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szynka tyrolska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wędlina zapakowana w baton. Produkt średnio rozdrobiony z mięsa wieprzowego w </w:t>
            </w:r>
            <w:r>
              <w:rPr>
                <w:rFonts w:cs="Arial"/>
                <w:sz w:val="20"/>
                <w:szCs w:val="20"/>
              </w:rPr>
              <w:t>osłonkach o dużej średnicy, parzona, w osłonach sztucznych, powierzchnia batonu gładka o barwie jasnobrązowej do brązowej, osłonka gładka ściśle przylegająca do farszu. Barwa przekroju od jasno różowej do ciemno różowej. Zawartość mięsa min. 30%</w:t>
            </w:r>
          </w:p>
        </w:tc>
      </w:tr>
      <w:tr w:rsidR="00635DE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homogenizowana wieprzowa  parzona lub wędzona parzona, w osłonce sztucznej lub jadalnej, o zawartości mięsa minimum 50%.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sz w:val="20"/>
                <w:szCs w:val="20"/>
              </w:rPr>
              <w:t>15130000-8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produkt średnio rozdrobniony z mięsa wieprzowego lub wieprzowego </w:t>
            </w:r>
            <w:r>
              <w:rPr>
                <w:rFonts w:cs="Arial"/>
                <w:color w:val="000000"/>
                <w:sz w:val="20"/>
                <w:szCs w:val="20"/>
              </w:rPr>
              <w:t>i wołowego, parzona, batony w osłonkach sztucznych, powierzchnia batonu gładka o barwie jasnobrązowej do brązowej, osłonka ściśle przylegająca do farszu, wygląd na przekroju –  barwa mięsa jasnoróżowa do ciemnoróżowej, składniki równomiernie rozmieszczone,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niedopuszczalne skupiska jednego ze składników, niedopuszczalny smak i zapach świadczący o nieświeżości lub inny obcy. Zawartość mięsa minimum 40%.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kiełbasa średnio rozdrobniona wieprzowa lub wieprzowo- wołowa   </w:t>
            </w:r>
            <w:r>
              <w:rPr>
                <w:rFonts w:cs="Arial"/>
                <w:color w:val="000000"/>
                <w:sz w:val="20"/>
                <w:szCs w:val="20"/>
              </w:rPr>
              <w:t>parzona, w osłonce jadalnej, o zawartości mięsa minimum 40%. Dopuszczalne wykorzystanie w produkcie  MOM  do 15%, opakowania do 5 kg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kiełbasa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golonkowa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grubo lub średnio rozdrobniona wieprzowa lub wieprzowo- wołowa parzona lub wędzo</w:t>
            </w:r>
            <w:r>
              <w:rPr>
                <w:rFonts w:cs="Arial"/>
                <w:color w:val="000000"/>
                <w:sz w:val="20"/>
                <w:szCs w:val="20"/>
              </w:rPr>
              <w:t>na parzona, w osłonce sztucznej, o zawartości mięsa minimum 40%. Dopuszczalne wykorzystanie w produkcie  MOM  do 15%, opakowania do 5 kg</w:t>
            </w:r>
          </w:p>
        </w:tc>
      </w:tr>
      <w:tr w:rsidR="00635DED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szynka wieprzowa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szynka wieprzowa szynka grubo rozdrobniona wieprzowa lub wieprzowo-wołowa   parzona, w </w:t>
            </w:r>
            <w:r>
              <w:rPr>
                <w:rFonts w:cs="Arial"/>
                <w:color w:val="000000"/>
                <w:sz w:val="20"/>
                <w:szCs w:val="20"/>
              </w:rPr>
              <w:t>osłonce jadalnej lub sztucznej, o zawartości mięsa minimum 50%. Bez zawartości glutenu, białek mleka oraz laktozy. Dopuszczalne wykorzystanie w produkcie  MOM  do 10%,  pakowana próżniowo, opakowania do 5 kg</w:t>
            </w:r>
          </w:p>
        </w:tc>
      </w:tr>
    </w:tbl>
    <w:p w:rsidR="00635DED" w:rsidRDefault="00635D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3C6AF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Mięso drobiowe</w:t>
      </w: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45"/>
        <w:gridCol w:w="1304"/>
        <w:gridCol w:w="6042"/>
      </w:tblGrid>
      <w:tr w:rsidR="00635DE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Kod </w:t>
            </w:r>
            <w:r>
              <w:rPr>
                <w:rFonts w:eastAsia="Calibri" w:cstheme="minorHAnsi"/>
                <w:sz w:val="20"/>
                <w:szCs w:val="20"/>
              </w:rPr>
              <w:t>CPV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635DE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ćwiartka z kurczaka tylna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15112000-6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 w:rsidR="00635DE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korpusy z kurczaka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porcje rosołowe, niemrożone</w:t>
            </w:r>
          </w:p>
        </w:tc>
      </w:tr>
      <w:tr w:rsidR="00635DED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mięso mielone drobiowe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15119000-5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 w:rsidP="005D6CE4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niemrożone, świeże, bez ścięgien, chrząstek, kości, zapach charakterystyczny dla </w:t>
            </w:r>
            <w:r>
              <w:rPr>
                <w:rFonts w:cs="Arial"/>
                <w:sz w:val="20"/>
                <w:szCs w:val="20"/>
              </w:rPr>
              <w:t>mięsa świe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żego, barwa mięsa wskazująca na świeżość, mięso nie poddawane dodatkowym procesom technologicznym typu: uplastycznienie, masowanie, nastrzykiwanie.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D6CE4">
              <w:rPr>
                <w:rFonts w:eastAsia="Calibri" w:cstheme="minorHAnsi"/>
                <w:sz w:val="20"/>
                <w:szCs w:val="20"/>
                <w:highlight w:val="cyan"/>
              </w:rPr>
              <w:t xml:space="preserve">Nie dopuszcza się dodatku </w:t>
            </w:r>
            <w:r w:rsidRPr="005D6CE4">
              <w:rPr>
                <w:rFonts w:eastAsia="Calibri" w:cs="Arial"/>
                <w:sz w:val="20"/>
                <w:szCs w:val="20"/>
                <w:highlight w:val="cyan"/>
              </w:rPr>
              <w:t>mięsa oddzielonego mechanicznie</w:t>
            </w:r>
            <w:r w:rsidR="005D6CE4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635DE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wątroba drobiowa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świeża,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czysta, zapach charakterystyczny dla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poddawana dodatkowym procesom technologicznym typu: uplastycznienie, masowanie, nastrzykiwanie</w:t>
            </w:r>
          </w:p>
        </w:tc>
      </w:tr>
      <w:tr w:rsidR="00635DED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świeże, barwa jasnoczerwona do </w:t>
            </w:r>
            <w:r>
              <w:rPr>
                <w:rFonts w:cs="Arial"/>
                <w:color w:val="000000"/>
                <w:sz w:val="20"/>
                <w:szCs w:val="20"/>
              </w:rPr>
              <w:t>ciemnoczerwonej, zapach charakterystyczny dla mięsa świeżego,</w:t>
            </w:r>
          </w:p>
        </w:tc>
      </w:tr>
      <w:tr w:rsidR="00635DED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serca drobiowe, świeże, czyste, zapach charakterystyczny dla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poddawane dodatkowym procesom technologicznym typu: </w:t>
            </w:r>
            <w:r>
              <w:rPr>
                <w:rFonts w:cs="Arial"/>
                <w:color w:val="000000"/>
                <w:sz w:val="20"/>
                <w:szCs w:val="20"/>
              </w:rPr>
              <w:t>uplastycznienie, masowanie, nastrzykiwanie.</w:t>
            </w:r>
          </w:p>
        </w:tc>
      </w:tr>
      <w:tr w:rsidR="00635DED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filet z piersi kurczaka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element tuszki z kurczaka obejmujący mięsień piersiowo powierzchniowy i/lub głęboki bez przylegającej skóry i bez kości, w całości lub podzielony na części, świeży, zapach ch</w:t>
            </w:r>
            <w:r>
              <w:rPr>
                <w:rFonts w:cs="Arial"/>
                <w:sz w:val="20"/>
                <w:szCs w:val="20"/>
              </w:rPr>
              <w:t xml:space="preserve">arakterystyczny dla świeżego mięsa, </w:t>
            </w:r>
            <w:r>
              <w:rPr>
                <w:rFonts w:cs="Arial"/>
                <w:color w:val="000000"/>
                <w:sz w:val="20"/>
                <w:szCs w:val="20"/>
              </w:rPr>
              <w:t>nie poddawane dodatkowym procesom technologicznym typu: uplastycznienie, masowanie, nastrzykiwanie.</w:t>
            </w:r>
          </w:p>
        </w:tc>
      </w:tr>
      <w:tr w:rsidR="00635DED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mięso gulaszowe drobiowe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nie mrożone, drobne, świeże, bez ścięgien, chrząstek, kości, skórek, krwawych </w:t>
            </w:r>
            <w:r>
              <w:rPr>
                <w:rFonts w:cs="Arial"/>
                <w:sz w:val="20"/>
                <w:szCs w:val="20"/>
              </w:rPr>
              <w:t xml:space="preserve">pozostałości, zawartość tłuszczu nie więcej niż 10%, zapach charakterystyczny dla mięsa świeżego, barwa mięsa jasnoróżowa , mięso nie poddawane dodatkowym procesom technologicznym typu: uplastycznienie, masowanie, nastrzykiwanie. Pakowane próżniowo max do </w:t>
            </w:r>
            <w:r>
              <w:rPr>
                <w:rFonts w:cs="Arial"/>
                <w:sz w:val="20"/>
                <w:szCs w:val="20"/>
              </w:rPr>
              <w:t>5 kg.</w:t>
            </w:r>
          </w:p>
        </w:tc>
      </w:tr>
    </w:tbl>
    <w:p w:rsidR="00635DED" w:rsidRDefault="00635D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35DED" w:rsidRDefault="003C6AF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Wędliny drobiowe</w:t>
      </w:r>
    </w:p>
    <w:p w:rsidR="00635DED" w:rsidRDefault="00635DE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23"/>
        <w:gridCol w:w="1445"/>
        <w:gridCol w:w="5624"/>
      </w:tblGrid>
      <w:tr w:rsidR="00635D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635DED" w:rsidTr="00B930CA">
        <w:trPr>
          <w:trHeight w:val="10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pasztet drobiowy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15131310-1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 w:rsidP="00B930CA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pasztet drobiowy drobno rozdrobniony produkt garmażeryjny, pieczony, skład min.: mięso</w:t>
            </w:r>
            <w:r w:rsidR="00B930CA">
              <w:rPr>
                <w:rFonts w:cs="Arial"/>
                <w:sz w:val="20"/>
                <w:szCs w:val="20"/>
              </w:rPr>
              <w:t xml:space="preserve"> </w:t>
            </w:r>
            <w:r w:rsidRPr="00B930CA">
              <w:rPr>
                <w:rFonts w:cs="Arial"/>
                <w:sz w:val="20"/>
                <w:szCs w:val="20"/>
                <w:highlight w:val="cyan"/>
              </w:rPr>
              <w:t>drobiowe</w:t>
            </w:r>
            <w:r>
              <w:rPr>
                <w:rFonts w:cs="Arial"/>
                <w:sz w:val="20"/>
                <w:szCs w:val="20"/>
              </w:rPr>
              <w:t xml:space="preserve"> 30%, zapach charakterystyczny dla wyrobów p</w:t>
            </w:r>
            <w:r w:rsidR="00155AB6">
              <w:rPr>
                <w:rFonts w:cs="Arial"/>
                <w:sz w:val="20"/>
                <w:szCs w:val="20"/>
              </w:rPr>
              <w:t>ieczonych z dodatkiem przypraw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homogenizowana drobiowa  parzona lub wędzona parzona, w osłonce sztucznej lub jadalnej, o zawartości mięsa minimum 50%.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wyrób otrzymany z grubo rozdrobnionych peklowanych mięśni piersiowych drobiowych, bez udziału innych drobno rozdrobnionych surowców mięsno – tłuszczowych, zawartość mięsa drobiowego min. 50%, niewędzony, parzony, produkt w sztucznej osłonce, ści</w:t>
            </w:r>
            <w:r>
              <w:rPr>
                <w:rFonts w:cs="Arial"/>
                <w:color w:val="000000"/>
                <w:sz w:val="20"/>
                <w:szCs w:val="20"/>
              </w:rPr>
              <w:t>śle przylegającej do powierzchni wyrobu, struktura i konsystencja dość ścisła, soczysta, krucha z niską zawartością tłuszczu i soli, barwa mięsa na przekroju jasnoróżowa do różowej, typowa dla użytego mięsa drobiowego, smak i zapach charakterystyczny dla s</w:t>
            </w:r>
            <w:r>
              <w:rPr>
                <w:rFonts w:cs="Arial"/>
                <w:color w:val="000000"/>
                <w:sz w:val="20"/>
                <w:szCs w:val="20"/>
              </w:rPr>
              <w:t>zynki z mięsa drobiowego, z wyczuwalnymi użytymi przyprawami, bez udziału mięsa wieprzowego oraz żelatyny wieprzowej.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polędwica drobiowa (z kurczaka/z indyka) - wyrób parzony, nie wędzony, otrzymany ze średnio rozdrobionego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mięsa drobiowego, bez udziału innych drobno rozdrobnionych surowców mięsno – tłuszczowych, zawartość mięsa drobiowego min. 40%, dodatkowo dopuszcza się mięso oddzielone mechanicznie, konsystencja dość ścisła, soczysta, krucha z niską zawartością tłuszczu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 soli. Barwa mięsa na przekroju jasnoróżowa, typowa dla użytego mięsa drobiowego, smak i zapach charakterystyczny dla polędwicy z mięsa drobiowego, z wyczuwalnymi użytymi przyprawami, wędlina przeznaczona na wyżywienie osób z dietą leczniczą, bez udziału </w:t>
            </w:r>
            <w:r>
              <w:rPr>
                <w:rFonts w:cs="Arial"/>
                <w:color w:val="000000"/>
                <w:sz w:val="20"/>
                <w:szCs w:val="20"/>
              </w:rPr>
              <w:t>mięsa wieprzowego oraz żelatyny wieprzowej.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wyrób drobiowy homogenizowany, kiełbasa drobno rozdrobniona, poddawane procesowi parzenia, osłonka sztuczna lub naturalna, pakowane w atmosferze ochronnej, powierzchnia czysta, suc</w:t>
            </w:r>
            <w:r>
              <w:rPr>
                <w:rFonts w:cs="Arial"/>
                <w:color w:val="000000"/>
                <w:sz w:val="20"/>
                <w:szCs w:val="20"/>
              </w:rPr>
              <w:t>ha, osłonka ściśle przylegająca do farszu niedopuszczalne skupiska jednego ze składników, konsystencja soczysta, wyczuwalny smak i zapach użytych przypraw, niedopuszczalny smak i zapach świadczący o nieświeżości lub inny obcy, zawartość mięsa drobiowego mi</w:t>
            </w:r>
            <w:r>
              <w:rPr>
                <w:rFonts w:cs="Arial"/>
                <w:color w:val="000000"/>
                <w:sz w:val="20"/>
                <w:szCs w:val="20"/>
              </w:rPr>
              <w:t>n. 30%, bez udziału mięsa wieprzowego oraz żelatyny wieprzowej.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parówki drobiowe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kiełbasa drobno rozdrobniona drobiowa parzona w osłonce naturalnej lub sztucznej. Skład: mięso drobiowe min. 30%, inne drobno rozdrobnione surowce mięsno </w:t>
            </w:r>
            <w:r>
              <w:rPr>
                <w:rFonts w:cs="Arial"/>
                <w:sz w:val="20"/>
                <w:szCs w:val="20"/>
              </w:rPr>
              <w:t>tłuszczowe, inne dodatki i przyprawy. W odcinkach prostych o długości 14-20cm</w:t>
            </w:r>
          </w:p>
        </w:tc>
      </w:tr>
      <w:tr w:rsidR="00635D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kiełbasa kanapkowa drobiowa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wędlina drobiowa, średnio rozdrobniona, parzona, zawartość mięsa drobiowego min.25%, ogółem zawartość mięsa min. 40%, bez udziału mięsa </w:t>
            </w:r>
            <w:r>
              <w:rPr>
                <w:rFonts w:cs="Arial"/>
                <w:sz w:val="20"/>
                <w:szCs w:val="20"/>
              </w:rPr>
              <w:t>wieprzowego oraz żelatyny wieprzowej</w:t>
            </w:r>
          </w:p>
        </w:tc>
      </w:tr>
      <w:tr w:rsidR="00635D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kiełbasa szynkowa drobiowa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kiełbasa drobiowa, średnio rozdrobniona,  parzona, w odcinkach prostych o długości 30-50cm, zawartość mięsa drobiowego min. 50%,  dodatkowo dopuszcza się mięso oddzielone </w:t>
            </w:r>
            <w:r>
              <w:rPr>
                <w:rFonts w:cs="Arial"/>
                <w:sz w:val="20"/>
                <w:szCs w:val="20"/>
              </w:rPr>
              <w:t>mechanicznie do 20%, ogółem zawartość mięsa min. 50%, bez  udziału mięsa wieprzowego oraz żelatyny wieprzowej. Opakowania do 5kg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635DED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635DED">
            <w:pPr>
              <w:spacing w:after="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 xml:space="preserve">kiełbasa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żywiecka drobiowa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635DED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kiełbasa drobiowa, średnio rozdrobniona,  wędzona i parzona, w odcinkach prostych o</w:t>
            </w:r>
            <w:r>
              <w:rPr>
                <w:rFonts w:cs="Arial"/>
                <w:sz w:val="20"/>
                <w:szCs w:val="20"/>
              </w:rPr>
              <w:t xml:space="preserve"> długości 30-50cm, średnica 40-60mm, </w:t>
            </w:r>
            <w:r>
              <w:rPr>
                <w:rFonts w:cs="Arial"/>
                <w:sz w:val="20"/>
                <w:szCs w:val="20"/>
              </w:rPr>
              <w:lastRenderedPageBreak/>
              <w:t>zawartość mięsa drobiowego min. 50%, dodatkowo dopuszcza się mięso oddzielone mechanicznie do 20%, bez  udziału mięsa wieprzowego oraz żelatyny wieprzowej. Opakowania do 5kg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baleron drobiowy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wyrób w osłon</w:t>
            </w:r>
            <w:r>
              <w:rPr>
                <w:rFonts w:cs="Arial"/>
                <w:sz w:val="20"/>
                <w:szCs w:val="20"/>
              </w:rPr>
              <w:t>ce barierowej, parzony. Powierzchnia czysta, sucha. Konsystencja soczysta, krucha, powierzchnia przekroju lekko wilgotna, niedopuszczalne są skupiska galarety na przekroju. Wyczuwalny smak i zapach użytych przypraw, niedopuszczalny jest smak i zapach świad</w:t>
            </w:r>
            <w:r>
              <w:rPr>
                <w:rFonts w:cs="Arial"/>
                <w:sz w:val="20"/>
                <w:szCs w:val="20"/>
              </w:rPr>
              <w:t>czący o nieświeżości lub inny obcy.  Zawartości mięsa minimum 50%,   Opakowanie do 5kg</w:t>
            </w:r>
          </w:p>
        </w:tc>
      </w:tr>
      <w:tr w:rsidR="00635DED">
        <w:trPr>
          <w:trHeight w:val="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</w:pPr>
            <w:r>
              <w:rPr>
                <w:rFonts w:cs="Arial"/>
                <w:b/>
                <w:sz w:val="20"/>
                <w:szCs w:val="20"/>
              </w:rPr>
              <w:t>blok drobiowy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5DED" w:rsidRDefault="003C6AF1">
            <w:pPr>
              <w:spacing w:after="0" w:line="240" w:lineRule="exact"/>
              <w:jc w:val="center"/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ED" w:rsidRDefault="003C6AF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wyrób blokowy, drobno rozdrobniony, parzony, w batonach prostokątnych o średnicy 80-100 mm, zawartość mięsa drobiowego min. 30%, dodatkowo d</w:t>
            </w:r>
            <w:r>
              <w:rPr>
                <w:rFonts w:cs="Arial"/>
                <w:sz w:val="20"/>
                <w:szCs w:val="20"/>
              </w:rPr>
              <w:t>opuszcza się mięso oddzielone mechanicznie do 40%, ogółem zawartość mięsa min. 50%, konsystencja zwarta, dość krucha,  na przekroju barwa jasnoróżowa, smak typowy dla  użytych surowców i przypraw, wyrób w osłonce barierowej, bez udziału mięsa wieprzowego o</w:t>
            </w:r>
            <w:r>
              <w:rPr>
                <w:rFonts w:cs="Arial"/>
                <w:sz w:val="20"/>
                <w:szCs w:val="20"/>
              </w:rPr>
              <w:t>raz żelatyny wieprzowej. Opakowania do 5kg</w:t>
            </w:r>
          </w:p>
        </w:tc>
      </w:tr>
    </w:tbl>
    <w:p w:rsidR="00635DED" w:rsidRDefault="00635DED">
      <w:pPr>
        <w:spacing w:after="0" w:line="240" w:lineRule="auto"/>
        <w:rPr>
          <w:rFonts w:ascii="Calibri" w:eastAsia="Calibri" w:hAnsi="Calibri" w:cs="Calibri"/>
        </w:rPr>
      </w:pPr>
    </w:p>
    <w:p w:rsidR="00635DED" w:rsidRDefault="00635DED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35DED" w:rsidRDefault="00635DED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35DED" w:rsidRDefault="003C6AF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eastAsia="Calibri" w:cs="Calibri"/>
          <w:b/>
          <w:u w:val="single"/>
        </w:rPr>
        <w:t>Informacje dodatkowe:</w:t>
      </w:r>
    </w:p>
    <w:p w:rsidR="00635DED" w:rsidRDefault="00635DED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35DED" w:rsidRDefault="003C6AF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Towar powinien być dostarczany bez  zanieczyszczeń  oraz  obcych  zapachów i  smaków,  bez  fizycznych  uszkodzeń  dyskwalifikujących  produkty  (tzn. ubytki, uszkodzone opakowanie). </w:t>
      </w:r>
      <w:r>
        <w:rPr>
          <w:rFonts w:eastAsia="Calibri" w:cs="Calibri"/>
        </w:rPr>
        <w:t>Niedopuszczalne jest wystąpienie objawów psucia, zjełczenia, zapleśnienia,  wystąpienie rozwarstwienia produktu, zmiana zabarwienia i jej niejednolitość, obce posmaki i zapachy, opakowania uszkodzone mechanicznie, nieoznakowane, zabrudzone; zanieczyszczeni</w:t>
      </w:r>
      <w:r>
        <w:rPr>
          <w:rFonts w:eastAsia="Calibri" w:cs="Calibri"/>
        </w:rPr>
        <w:t>a mechaniczne; zdeformowane kształty, oznaki psucia, trwałe zbrylenia, obce zapachy i posmaki.</w:t>
      </w:r>
    </w:p>
    <w:p w:rsidR="00635DED" w:rsidRDefault="003C6AF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Oferowane artykuły spożywcze muszą spełniać parametry jakościowe dla danego asortymentu, spełniać wymogi sanitarno-epidemiologiczne i zasady systemu HACCP.</w:t>
      </w:r>
    </w:p>
    <w:p w:rsidR="00635DED" w:rsidRDefault="003C6AF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t>Wykon</w:t>
      </w:r>
      <w:r>
        <w:t xml:space="preserve">awca wymieni lub uzupełni reklamowany towar w terminie do </w:t>
      </w:r>
      <w:r>
        <w:rPr>
          <w:b/>
        </w:rPr>
        <w:t>24 godzin</w:t>
      </w:r>
      <w:r>
        <w:t xml:space="preserve"> od momentu zgłoszenia reklamacji.</w:t>
      </w:r>
    </w:p>
    <w:p w:rsidR="00635DED" w:rsidRDefault="003C6AF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Okres przydatności do spożycia dostarczanego przedmiotu zamówienia:</w:t>
      </w:r>
    </w:p>
    <w:p w:rsidR="00635DED" w:rsidRDefault="003C6AF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Część 1 - mięso wieprzowe i wołowe: nie mniej niż 7 dni;</w:t>
      </w:r>
    </w:p>
    <w:p w:rsidR="00635DED" w:rsidRDefault="003C6AF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Część 2 - wędliny wieprzowe i</w:t>
      </w:r>
      <w:r>
        <w:rPr>
          <w:rFonts w:eastAsia="Calibri"/>
        </w:rPr>
        <w:t xml:space="preserve"> wołowe: nie mniej niż 7 dni;</w:t>
      </w:r>
    </w:p>
    <w:p w:rsidR="00635DED" w:rsidRDefault="003C6AF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Część 3 - mięso drobiowe: nie mniej niż 7 dni;</w:t>
      </w:r>
    </w:p>
    <w:p w:rsidR="00635DED" w:rsidRDefault="003C6AF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Część 4 - wędliny drobiowe: nie mniej niż 7 dni.</w:t>
      </w:r>
    </w:p>
    <w:p w:rsidR="00635DED" w:rsidRDefault="003C6AF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Dostawy realizowane będą w sposób higieniczny i bezpieczny dla produktu, pojazdami przeznaczonymi do przewozu żywności stanowiącej</w:t>
      </w:r>
      <w:r>
        <w:rPr>
          <w:rFonts w:eastAsia="Calibri" w:cs="Calibri"/>
        </w:rPr>
        <w:t xml:space="preserve"> przedmiot zamówienia, zgodnie z obowiązującymi przepisami prawa.</w:t>
      </w:r>
    </w:p>
    <w:p w:rsidR="00635DED" w:rsidRDefault="003C6AF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Mięso dostarczane będzie w pojemnikach plastikowych (materiał opakowaniowy dopuszczony do kontaktu z żywnością), zamkniętych pokrywą. Każdy asortyment produktów powinien być dostarczony w od</w:t>
      </w:r>
      <w:r>
        <w:rPr>
          <w:rFonts w:eastAsia="Calibri" w:cs="Calibri"/>
        </w:rPr>
        <w:t xml:space="preserve">dzielnym pojemniku. </w:t>
      </w:r>
      <w:r>
        <w:t xml:space="preserve">Do każdego pojemnika powinna być dołączona etykieta zawierająca co najmniej następujące dane: 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nazwę środka spożywczego;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dane dotyczące procentowej zawartości składników wsadu;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datę minimalnej trwałości albo termin przydatności do spoży</w:t>
      </w:r>
      <w:r>
        <w:t>cia;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Dokument Handlowy Identyfikacyjny;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masę netto środka spożywczego;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warunki przechowywania;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oznaczenie partii produkcyjnej;</w:t>
      </w:r>
    </w:p>
    <w:p w:rsidR="00635DED" w:rsidRDefault="003C6AF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eastAsia="Calibri"/>
        </w:rPr>
      </w:pPr>
      <w:r>
        <w:t>klasę jakości handlowej;</w:t>
      </w:r>
    </w:p>
    <w:p w:rsidR="00635DED" w:rsidRDefault="003C6AF1">
      <w:pPr>
        <w:pStyle w:val="Akapitzlist"/>
        <w:spacing w:after="0" w:line="240" w:lineRule="auto"/>
        <w:ind w:left="357"/>
        <w:jc w:val="both"/>
        <w:rPr>
          <w:rFonts w:eastAsia="Calibri"/>
        </w:rPr>
      </w:pPr>
      <w:r>
        <w:t>oraz pozostałe informacje zgodnie z aktualnie obowiązującym prawem.</w:t>
      </w:r>
    </w:p>
    <w:sectPr w:rsidR="00635DED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E53"/>
    <w:multiLevelType w:val="multilevel"/>
    <w:tmpl w:val="E47267A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" w15:restartNumberingAfterBreak="0">
    <w:nsid w:val="1DA506EA"/>
    <w:multiLevelType w:val="multilevel"/>
    <w:tmpl w:val="D3F619F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" w15:restartNumberingAfterBreak="0">
    <w:nsid w:val="388E6B6E"/>
    <w:multiLevelType w:val="multilevel"/>
    <w:tmpl w:val="5F3C15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5364BC"/>
    <w:multiLevelType w:val="multilevel"/>
    <w:tmpl w:val="7FD8F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ED"/>
    <w:rsid w:val="00155AB6"/>
    <w:rsid w:val="003C6AF1"/>
    <w:rsid w:val="005D6CE4"/>
    <w:rsid w:val="00635DED"/>
    <w:rsid w:val="00B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54CC2-C687-4139-8CC0-C274F7D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1145C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41145C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56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56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56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715ED1"/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qFormat/>
    <w:rsid w:val="00A13954"/>
  </w:style>
  <w:style w:type="character" w:customStyle="1" w:styleId="Nagwek1Znak">
    <w:name w:val="Nagłówek 1 Znak"/>
    <w:basedOn w:val="Domylnaczcionkaakapitu"/>
    <w:link w:val="Nagwek1"/>
    <w:uiPriority w:val="9"/>
    <w:qFormat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0424"/>
  </w:style>
  <w:style w:type="character" w:customStyle="1" w:styleId="StopkaZnak">
    <w:name w:val="Stopka Znak"/>
    <w:basedOn w:val="Domylnaczcionkaakapitu"/>
    <w:link w:val="Stopka"/>
    <w:uiPriority w:val="99"/>
    <w:qFormat/>
    <w:rsid w:val="00A70424"/>
  </w:style>
  <w:style w:type="paragraph" w:styleId="Nagwek">
    <w:name w:val="header"/>
    <w:basedOn w:val="Normalny"/>
    <w:next w:val="Tekstpodstawowy"/>
    <w:link w:val="NagwekZnak"/>
    <w:uiPriority w:val="99"/>
    <w:unhideWhenUsed/>
    <w:rsid w:val="00A704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B244F"/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56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5612"/>
    <w:rPr>
      <w:b/>
      <w:bCs/>
    </w:rPr>
  </w:style>
  <w:style w:type="paragraph" w:styleId="Akapitzlist">
    <w:name w:val="List Paragraph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qFormat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191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704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3B51-ED9A-45F6-BEDD-E881512B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2346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dc:description/>
  <cp:lastModifiedBy>Piotr Laskus</cp:lastModifiedBy>
  <cp:revision>100</cp:revision>
  <cp:lastPrinted>2023-10-20T06:09:00Z</cp:lastPrinted>
  <dcterms:created xsi:type="dcterms:W3CDTF">2021-11-02T10:58:00Z</dcterms:created>
  <dcterms:modified xsi:type="dcterms:W3CDTF">2024-04-11T11:37:00Z</dcterms:modified>
  <dc:language>pl-PL</dc:language>
</cp:coreProperties>
</file>