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72A7067E" w:rsidR="002D5D5E" w:rsidRPr="00BF3193" w:rsidRDefault="002D5D5E" w:rsidP="002A0CBE">
      <w:pPr>
        <w:shd w:val="clear" w:color="auto" w:fill="FFFFFF" w:themeFill="background1"/>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623EC4" w:rsidRPr="00F31496">
        <w:rPr>
          <w:rFonts w:ascii="Cambria" w:hAnsi="Cambria" w:cs="Arial"/>
          <w:b/>
          <w:color w:val="000000"/>
          <w:sz w:val="20"/>
          <w:szCs w:val="20"/>
        </w:rPr>
        <w:t>„</w:t>
      </w:r>
      <w:r w:rsidR="002A0CBE">
        <w:rPr>
          <w:rFonts w:ascii="Cambria" w:hAnsi="Cambria" w:cs="Arial"/>
          <w:bCs/>
          <w:color w:val="000000"/>
          <w:sz w:val="20"/>
          <w:szCs w:val="20"/>
        </w:rPr>
        <w:t xml:space="preserve">Poprawa efektywności energetycznej budynku </w:t>
      </w:r>
      <w:r w:rsidR="005C52D5">
        <w:rPr>
          <w:rFonts w:ascii="Cambria" w:hAnsi="Cambria" w:cs="Arial"/>
          <w:bCs/>
          <w:color w:val="000000"/>
          <w:sz w:val="20"/>
          <w:szCs w:val="20"/>
        </w:rPr>
        <w:t xml:space="preserve">remiza - Świetlica </w:t>
      </w:r>
      <w:r w:rsidR="00367940">
        <w:rPr>
          <w:rFonts w:ascii="Cambria" w:hAnsi="Cambria" w:cs="Arial"/>
          <w:bCs/>
          <w:color w:val="000000"/>
          <w:sz w:val="20"/>
          <w:szCs w:val="20"/>
        </w:rPr>
        <w:t>Marianów</w:t>
      </w:r>
      <w:r w:rsidR="002A0CBE">
        <w:rPr>
          <w:rFonts w:ascii="Cambria" w:hAnsi="Cambria" w:cs="Arial"/>
          <w:sz w:val="20"/>
          <w:szCs w:val="20"/>
        </w:rPr>
        <w:t>”</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57BB5B3"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6B4AB5">
        <w:rPr>
          <w:rFonts w:ascii="Cambria" w:hAnsi="Cambria" w:cs="Calibri"/>
          <w:sz w:val="20"/>
          <w:szCs w:val="20"/>
          <w:u w:val="single"/>
        </w:rPr>
        <w:t>120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57C4AFC4"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F6723">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7D58EB82"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862BEE">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574FDF69"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1B2834E8"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70827A2D"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0D56C1CF"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2C4FD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35389B5A" w:rsidR="002D5D5E" w:rsidRPr="00BA4D40" w:rsidRDefault="002D5D5E" w:rsidP="0037219A">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65639A">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65639A">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0C8C33E8"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9D2803">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7F0AE718" w14:textId="77777777"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60508318" w14:textId="77777777"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5"/>
  </w:num>
  <w:num w:numId="51">
    <w:abstractNumId w:val="30"/>
  </w:num>
  <w:num w:numId="52">
    <w:abstractNumId w:val="31"/>
  </w:num>
  <w:num w:numId="53">
    <w:abstractNumId w:val="8"/>
  </w:num>
  <w:num w:numId="54">
    <w:abstractNumId w:val="2"/>
  </w:num>
  <w:num w:numId="55">
    <w:abstractNumId w:val="36"/>
  </w:num>
  <w:num w:numId="56">
    <w:abstractNumId w:val="28"/>
  </w:num>
  <w:num w:numId="57">
    <w:abstractNumId w:val="54"/>
  </w:num>
  <w:num w:numId="58">
    <w:abstractNumId w:val="35"/>
  </w:num>
  <w:num w:numId="59">
    <w:abstractNumId w:val="1"/>
  </w:num>
  <w:num w:numId="60">
    <w:abstractNumId w:val="10"/>
  </w:num>
  <w:num w:numId="61">
    <w:abstractNumId w:val="12"/>
  </w:num>
  <w:num w:numId="62">
    <w:abstractNumId w:val="33"/>
  </w:num>
  <w:num w:numId="63">
    <w:abstractNumId w:val="27"/>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B3E10"/>
    <w:rsid w:val="000D058E"/>
    <w:rsid w:val="000E60F0"/>
    <w:rsid w:val="00113CDB"/>
    <w:rsid w:val="00133D8F"/>
    <w:rsid w:val="00136CC8"/>
    <w:rsid w:val="00140B8A"/>
    <w:rsid w:val="0014774C"/>
    <w:rsid w:val="00187878"/>
    <w:rsid w:val="001A338B"/>
    <w:rsid w:val="001B10A9"/>
    <w:rsid w:val="001B1BB3"/>
    <w:rsid w:val="001D11AE"/>
    <w:rsid w:val="001F2BE2"/>
    <w:rsid w:val="001F4C53"/>
    <w:rsid w:val="002215CD"/>
    <w:rsid w:val="00244FDB"/>
    <w:rsid w:val="002516A5"/>
    <w:rsid w:val="00286B3E"/>
    <w:rsid w:val="00287A77"/>
    <w:rsid w:val="002A0CBE"/>
    <w:rsid w:val="002C33A9"/>
    <w:rsid w:val="002C4FD4"/>
    <w:rsid w:val="002D32D3"/>
    <w:rsid w:val="002D5D5E"/>
    <w:rsid w:val="002E6841"/>
    <w:rsid w:val="00303DEE"/>
    <w:rsid w:val="00346B76"/>
    <w:rsid w:val="00353DE3"/>
    <w:rsid w:val="00360839"/>
    <w:rsid w:val="003616F6"/>
    <w:rsid w:val="00367940"/>
    <w:rsid w:val="00370293"/>
    <w:rsid w:val="0037219A"/>
    <w:rsid w:val="00377DC7"/>
    <w:rsid w:val="003802C3"/>
    <w:rsid w:val="003A6A88"/>
    <w:rsid w:val="003B1601"/>
    <w:rsid w:val="003F2AFB"/>
    <w:rsid w:val="003F6723"/>
    <w:rsid w:val="003F6930"/>
    <w:rsid w:val="00436E8F"/>
    <w:rsid w:val="004B41D4"/>
    <w:rsid w:val="004E6282"/>
    <w:rsid w:val="004F2A25"/>
    <w:rsid w:val="00514DCD"/>
    <w:rsid w:val="005260E0"/>
    <w:rsid w:val="00541B68"/>
    <w:rsid w:val="00565993"/>
    <w:rsid w:val="005B0947"/>
    <w:rsid w:val="005B3BC9"/>
    <w:rsid w:val="005C52D5"/>
    <w:rsid w:val="006021FC"/>
    <w:rsid w:val="006048DD"/>
    <w:rsid w:val="00623EC4"/>
    <w:rsid w:val="006346A0"/>
    <w:rsid w:val="0065639A"/>
    <w:rsid w:val="00671E9A"/>
    <w:rsid w:val="00683A7A"/>
    <w:rsid w:val="006A1D83"/>
    <w:rsid w:val="006B3FB9"/>
    <w:rsid w:val="006B4AB5"/>
    <w:rsid w:val="00727F08"/>
    <w:rsid w:val="00753F8C"/>
    <w:rsid w:val="007544A0"/>
    <w:rsid w:val="00754DFB"/>
    <w:rsid w:val="00770DA1"/>
    <w:rsid w:val="00773817"/>
    <w:rsid w:val="007C0459"/>
    <w:rsid w:val="007D21EA"/>
    <w:rsid w:val="007D49C1"/>
    <w:rsid w:val="00803AF5"/>
    <w:rsid w:val="00821911"/>
    <w:rsid w:val="008237EF"/>
    <w:rsid w:val="0083682F"/>
    <w:rsid w:val="00846B93"/>
    <w:rsid w:val="00861EA4"/>
    <w:rsid w:val="00862BEE"/>
    <w:rsid w:val="0086440A"/>
    <w:rsid w:val="008B76E9"/>
    <w:rsid w:val="008C4675"/>
    <w:rsid w:val="008E281F"/>
    <w:rsid w:val="008E7297"/>
    <w:rsid w:val="00937C4B"/>
    <w:rsid w:val="00937ED8"/>
    <w:rsid w:val="009676FB"/>
    <w:rsid w:val="00981D2D"/>
    <w:rsid w:val="00996DB6"/>
    <w:rsid w:val="009D2803"/>
    <w:rsid w:val="009E1666"/>
    <w:rsid w:val="009E1D58"/>
    <w:rsid w:val="009F2FDB"/>
    <w:rsid w:val="009F322C"/>
    <w:rsid w:val="009F5DED"/>
    <w:rsid w:val="00AC654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7CD"/>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773">
      <w:bodyDiv w:val="1"/>
      <w:marLeft w:val="0"/>
      <w:marRight w:val="0"/>
      <w:marTop w:val="0"/>
      <w:marBottom w:val="0"/>
      <w:divBdr>
        <w:top w:val="none" w:sz="0" w:space="0" w:color="auto"/>
        <w:left w:val="none" w:sz="0" w:space="0" w:color="auto"/>
        <w:bottom w:val="none" w:sz="0" w:space="0" w:color="auto"/>
        <w:right w:val="none" w:sz="0" w:space="0" w:color="auto"/>
      </w:divBdr>
    </w:div>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6632</Words>
  <Characters>39792</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4</cp:revision>
  <cp:lastPrinted>2021-05-24T08:58:00Z</cp:lastPrinted>
  <dcterms:created xsi:type="dcterms:W3CDTF">2022-02-15T11:44:00Z</dcterms:created>
  <dcterms:modified xsi:type="dcterms:W3CDTF">2022-02-22T10:43:00Z</dcterms:modified>
</cp:coreProperties>
</file>