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23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rPr>
          <w:rFonts w:ascii="Trebuchet MS" w:hAnsi="Trebuchet MS" w:cs="Arial"/>
        </w:rPr>
      </w:pPr>
      <w:bookmarkStart w:id="1" w:name="_GoBack"/>
      <w:bookmarkEnd w:id="1"/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  <w:r>
        <w:rPr>
          <w:rFonts w:ascii="Trebuchet MS" w:hAnsi="Trebuchet MS" w:cs="Arial"/>
          <w:b/>
        </w:rPr>
        <w:br w:type="textWrapping"/>
      </w:r>
      <w:r>
        <w:rPr>
          <w:rFonts w:ascii="Trebuchet MS" w:hAnsi="Trebuchet MS" w:cs="Arial"/>
          <w:b/>
        </w:rPr>
        <w:t>składane na podstawie art. 125 ust.</w:t>
      </w:r>
      <w:r>
        <w:rPr>
          <w:rFonts w:hint="default" w:ascii="Trebuchet MS" w:hAnsi="Trebuchet MS" w:cs="Arial"/>
          <w:b/>
          <w:lang w:val="pl-PL"/>
        </w:rPr>
        <w:t xml:space="preserve"> </w:t>
      </w:r>
      <w:r>
        <w:rPr>
          <w:rFonts w:ascii="Trebuchet MS" w:hAnsi="Trebuchet MS" w:cs="Arial"/>
          <w:b/>
        </w:rPr>
        <w:t>5 ustawy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>
        <w:rPr>
          <w:rFonts w:ascii="Trebuchet MS" w:hAnsi="Trebuchet MS" w:eastAsia="Tahoma" w:cs="Trebuchet MS"/>
          <w:b/>
          <w:bCs/>
          <w:color w:val="00000A"/>
          <w:kern w:val="1"/>
          <w:lang w:eastAsia="zh-CN" w:bidi="hi-IN"/>
        </w:rPr>
        <w:t>Modernizacja dróg gminnych”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 xml:space="preserve">prowadzonego przez </w:t>
      </w:r>
      <w:r>
        <w:rPr>
          <w:rFonts w:hint="default" w:ascii="Trebuchet MS" w:hAnsi="Trebuchet MS" w:cs="Trebuchet MS"/>
          <w:b/>
          <w:bCs/>
          <w:sz w:val="20"/>
          <w:szCs w:val="20"/>
        </w:rPr>
        <w:t>Gminę Wolbrom</w:t>
      </w:r>
      <w:r>
        <w:rPr>
          <w:rFonts w:hint="default" w:ascii="Trebuchet MS" w:hAnsi="Trebuchet MS" w:cs="Trebuchet MS"/>
          <w:sz w:val="20"/>
          <w:szCs w:val="20"/>
        </w:rPr>
        <w:t xml:space="preserve"> z siedzibą w Wolbromiu przy ul. Krakowskiej 1</w:t>
      </w:r>
      <w:r>
        <w:rPr>
          <w:rFonts w:hint="default" w:ascii="Trebuchet MS" w:hAnsi="Trebuchet MS" w:cs="Trebuchet MS"/>
          <w:i/>
          <w:sz w:val="20"/>
          <w:szCs w:val="20"/>
        </w:rPr>
        <w:t xml:space="preserve">, </w:t>
      </w:r>
      <w:r>
        <w:rPr>
          <w:rFonts w:hint="default" w:ascii="Trebuchet MS" w:hAnsi="Trebuchet MS" w:cs="Trebuchet MS"/>
          <w:sz w:val="20"/>
          <w:szCs w:val="20"/>
        </w:rPr>
        <w:t xml:space="preserve">oświadczam, co następuje:  </w:t>
      </w: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 w:val="0"/>
          <w:bCs w:val="0"/>
        </w:rPr>
      </w:pPr>
      <w:r>
        <w:rPr>
          <w:rFonts w:ascii="Trebuchet MS" w:hAnsi="Trebuchet MS" w:eastAsia="Calibri" w:cs="Arial"/>
          <w:b w:val="0"/>
          <w:bCs w:val="0"/>
        </w:rPr>
        <w:t xml:space="preserve">Mając na uwadze </w:t>
      </w:r>
      <w:r>
        <w:rPr>
          <w:rFonts w:ascii="Trebuchet MS" w:hAnsi="Trebuchet MS" w:cs="Arial"/>
          <w:b w:val="0"/>
          <w:bCs w:val="0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  <w:b w:val="0"/>
          <w:bCs w:val="0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tj. Dz.U. z 2023r. poz. </w:t>
      </w:r>
      <w:r>
        <w:rPr>
          <w:rFonts w:ascii="Trebuchet MS" w:hAnsi="Trebuchet MS" w:cs="Arial"/>
          <w:sz w:val="20"/>
          <w:szCs w:val="20"/>
        </w:rPr>
        <w:t>1497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spacing w:line="360" w:lineRule="auto"/>
        <w:ind w:left="720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7656D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77296"/>
    <w:rsid w:val="00EC4586"/>
    <w:rsid w:val="00EF2C58"/>
    <w:rsid w:val="00F15AE9"/>
    <w:rsid w:val="00F93EED"/>
    <w:rsid w:val="00FD5F94"/>
    <w:rsid w:val="00FE058A"/>
    <w:rsid w:val="1E321981"/>
    <w:rsid w:val="5C0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2621</Characters>
  <Lines>21</Lines>
  <Paragraphs>6</Paragraphs>
  <TotalTime>5</TotalTime>
  <ScaleCrop>false</ScaleCrop>
  <LinksUpToDate>false</LinksUpToDate>
  <CharactersWithSpaces>3051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2023-09-18T09:55:57Z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A0597A8F77B54D09A79CED464709CD8E_12</vt:lpwstr>
  </property>
</Properties>
</file>