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25B8" w14:textId="2F48830E" w:rsidR="00CB7E30" w:rsidRPr="006F65F9" w:rsidRDefault="000349B1" w:rsidP="006F65F9">
      <w:pPr>
        <w:widowControl w:val="0"/>
        <w:spacing w:after="0" w:line="271" w:lineRule="auto"/>
        <w:ind w:left="6372"/>
        <w:jc w:val="both"/>
        <w:rPr>
          <w:rFonts w:ascii="Arial" w:eastAsia="Times New Roman" w:hAnsi="Arial" w:cs="Arial"/>
          <w:lang w:eastAsia="pl-PL"/>
        </w:rPr>
      </w:pPr>
      <w:r w:rsidRPr="006F65F9">
        <w:rPr>
          <w:rFonts w:ascii="Arial" w:eastAsia="Times New Roman" w:hAnsi="Arial" w:cs="Arial"/>
          <w:snapToGrid w:val="0"/>
          <w:lang w:eastAsia="pl-PL"/>
        </w:rPr>
        <w:t>Wołomin,</w:t>
      </w:r>
      <w:r w:rsidR="00CB7E30" w:rsidRPr="006F65F9">
        <w:rPr>
          <w:rFonts w:ascii="Arial" w:eastAsia="Times New Roman" w:hAnsi="Arial" w:cs="Arial"/>
          <w:snapToGrid w:val="0"/>
          <w:lang w:eastAsia="pl-PL"/>
        </w:rPr>
        <w:t xml:space="preserve"> </w:t>
      </w:r>
      <w:r w:rsidR="006F65F9" w:rsidRPr="006F65F9">
        <w:rPr>
          <w:rFonts w:ascii="Arial" w:eastAsia="Times New Roman" w:hAnsi="Arial" w:cs="Arial"/>
          <w:snapToGrid w:val="0"/>
          <w:lang w:eastAsia="pl-PL"/>
        </w:rPr>
        <w:t>28</w:t>
      </w:r>
      <w:r w:rsidR="00C723E3" w:rsidRPr="006F65F9">
        <w:rPr>
          <w:rFonts w:ascii="Arial" w:eastAsia="Times New Roman" w:hAnsi="Arial" w:cs="Arial"/>
          <w:snapToGrid w:val="0"/>
          <w:lang w:eastAsia="pl-PL"/>
        </w:rPr>
        <w:t>.11</w:t>
      </w:r>
      <w:r w:rsidR="00332436" w:rsidRPr="006F65F9">
        <w:rPr>
          <w:rFonts w:ascii="Arial" w:eastAsia="Times New Roman" w:hAnsi="Arial" w:cs="Arial"/>
          <w:snapToGrid w:val="0"/>
          <w:lang w:eastAsia="pl-PL"/>
        </w:rPr>
        <w:t>.</w:t>
      </w:r>
      <w:r w:rsidR="00CB7E30" w:rsidRPr="006F65F9">
        <w:rPr>
          <w:rFonts w:ascii="Arial" w:eastAsia="Times New Roman" w:hAnsi="Arial" w:cs="Arial"/>
          <w:snapToGrid w:val="0"/>
          <w:lang w:eastAsia="pl-PL"/>
        </w:rPr>
        <w:t>20</w:t>
      </w:r>
      <w:r w:rsidR="00332436" w:rsidRPr="006F65F9">
        <w:rPr>
          <w:rFonts w:ascii="Arial" w:eastAsia="Times New Roman" w:hAnsi="Arial" w:cs="Arial"/>
          <w:snapToGrid w:val="0"/>
          <w:lang w:eastAsia="pl-PL"/>
        </w:rPr>
        <w:t xml:space="preserve">23 </w:t>
      </w:r>
      <w:r w:rsidR="00CB7E30" w:rsidRPr="006F65F9">
        <w:rPr>
          <w:rFonts w:ascii="Arial" w:eastAsia="Times New Roman" w:hAnsi="Arial" w:cs="Arial"/>
          <w:snapToGrid w:val="0"/>
          <w:lang w:eastAsia="pl-PL"/>
        </w:rPr>
        <w:t>r.</w:t>
      </w:r>
    </w:p>
    <w:p w14:paraId="6AB2E6AC" w14:textId="77777777" w:rsidR="00CB7E30" w:rsidRPr="006F65F9" w:rsidRDefault="00CB7E30" w:rsidP="006F65F9">
      <w:pPr>
        <w:widowControl w:val="0"/>
        <w:spacing w:after="0" w:line="271" w:lineRule="auto"/>
        <w:ind w:left="-284"/>
        <w:jc w:val="both"/>
        <w:rPr>
          <w:rFonts w:ascii="Arial" w:eastAsia="Times New Roman" w:hAnsi="Arial" w:cs="Arial"/>
          <w:lang w:eastAsia="pl-PL"/>
        </w:rPr>
      </w:pPr>
    </w:p>
    <w:p w14:paraId="07EFD24F" w14:textId="77777777" w:rsidR="000349B1" w:rsidRPr="006F65F9" w:rsidRDefault="000349B1" w:rsidP="006F65F9">
      <w:pPr>
        <w:widowControl w:val="0"/>
        <w:spacing w:after="0" w:line="271" w:lineRule="auto"/>
        <w:ind w:left="-284"/>
        <w:jc w:val="both"/>
        <w:rPr>
          <w:rFonts w:ascii="Arial" w:eastAsia="Times New Roman" w:hAnsi="Arial" w:cs="Arial"/>
          <w:lang w:eastAsia="pl-PL"/>
        </w:rPr>
      </w:pPr>
    </w:p>
    <w:p w14:paraId="1663DAD9" w14:textId="77777777" w:rsidR="000349B1" w:rsidRPr="00A03296" w:rsidRDefault="000349B1" w:rsidP="006F65F9">
      <w:pPr>
        <w:spacing w:after="0" w:line="271" w:lineRule="auto"/>
        <w:jc w:val="both"/>
        <w:rPr>
          <w:rFonts w:ascii="Arial" w:eastAsia="Times New Roman" w:hAnsi="Arial" w:cs="Arial"/>
          <w:b/>
          <w:bCs/>
          <w:snapToGrid w:val="0"/>
          <w:lang w:eastAsia="pl-PL"/>
        </w:rPr>
      </w:pPr>
      <w:r w:rsidRPr="00A03296">
        <w:rPr>
          <w:rFonts w:ascii="Arial" w:eastAsia="Times New Roman" w:hAnsi="Arial" w:cs="Arial"/>
          <w:b/>
          <w:bCs/>
          <w:snapToGrid w:val="0"/>
          <w:lang w:eastAsia="pl-PL"/>
        </w:rPr>
        <w:t>Zamawiający:</w:t>
      </w:r>
    </w:p>
    <w:p w14:paraId="0FCF6883" w14:textId="77777777" w:rsidR="000349B1" w:rsidRPr="00A03296" w:rsidRDefault="000349B1" w:rsidP="006F65F9">
      <w:pPr>
        <w:spacing w:after="0" w:line="271" w:lineRule="auto"/>
        <w:jc w:val="both"/>
        <w:rPr>
          <w:rFonts w:ascii="Arial" w:eastAsia="Times New Roman" w:hAnsi="Arial" w:cs="Arial"/>
          <w:b/>
          <w:bCs/>
          <w:snapToGrid w:val="0"/>
          <w:lang w:eastAsia="pl-PL"/>
        </w:rPr>
      </w:pPr>
      <w:r w:rsidRPr="00A03296">
        <w:rPr>
          <w:rFonts w:ascii="Arial" w:eastAsia="Times New Roman" w:hAnsi="Arial" w:cs="Arial"/>
          <w:b/>
          <w:bCs/>
          <w:snapToGrid w:val="0"/>
          <w:lang w:eastAsia="pl-PL"/>
        </w:rPr>
        <w:t>Powiat Wołomiński</w:t>
      </w:r>
    </w:p>
    <w:p w14:paraId="22E92D7A" w14:textId="77777777" w:rsidR="000349B1" w:rsidRPr="00A03296" w:rsidRDefault="000349B1" w:rsidP="006F65F9">
      <w:pPr>
        <w:spacing w:after="0" w:line="271" w:lineRule="auto"/>
        <w:jc w:val="both"/>
        <w:rPr>
          <w:rFonts w:ascii="Arial" w:eastAsia="Times New Roman" w:hAnsi="Arial" w:cs="Arial"/>
          <w:b/>
          <w:bCs/>
          <w:lang w:eastAsia="pl-PL"/>
        </w:rPr>
      </w:pPr>
      <w:r w:rsidRPr="00A03296">
        <w:rPr>
          <w:rFonts w:ascii="Arial" w:eastAsia="Times New Roman" w:hAnsi="Arial" w:cs="Arial"/>
          <w:b/>
          <w:bCs/>
          <w:snapToGrid w:val="0"/>
          <w:lang w:eastAsia="pl-PL"/>
        </w:rPr>
        <w:t xml:space="preserve">ul. Prądzyńskiego 3, 05-200 Wołomin </w:t>
      </w:r>
    </w:p>
    <w:p w14:paraId="66826A86" w14:textId="77777777" w:rsidR="000349B1" w:rsidRPr="006F65F9" w:rsidRDefault="000349B1" w:rsidP="006F65F9">
      <w:pPr>
        <w:spacing w:after="0" w:line="271" w:lineRule="auto"/>
        <w:ind w:left="4956" w:firstLine="708"/>
        <w:jc w:val="both"/>
        <w:rPr>
          <w:rFonts w:ascii="Arial" w:eastAsia="Times New Roman" w:hAnsi="Arial" w:cs="Arial"/>
          <w:snapToGrid w:val="0"/>
          <w:lang w:eastAsia="pl-PL"/>
        </w:rPr>
      </w:pPr>
      <w:r w:rsidRPr="006F65F9">
        <w:rPr>
          <w:rFonts w:ascii="Arial" w:eastAsia="Times New Roman" w:hAnsi="Arial" w:cs="Arial"/>
          <w:snapToGrid w:val="0"/>
          <w:lang w:eastAsia="pl-PL"/>
        </w:rPr>
        <w:tab/>
      </w:r>
    </w:p>
    <w:p w14:paraId="50DB19ED" w14:textId="62560453" w:rsidR="00332436" w:rsidRPr="006F65F9" w:rsidRDefault="00332436" w:rsidP="006F65F9">
      <w:pPr>
        <w:spacing w:after="0" w:line="271" w:lineRule="auto"/>
        <w:jc w:val="both"/>
        <w:rPr>
          <w:rFonts w:ascii="Arial" w:eastAsia="Times New Roman" w:hAnsi="Arial" w:cs="Arial"/>
          <w:lang w:eastAsia="pl-PL"/>
        </w:rPr>
      </w:pPr>
      <w:r w:rsidRPr="006F65F9">
        <w:rPr>
          <w:rFonts w:ascii="Arial" w:eastAsia="Times New Roman" w:hAnsi="Arial" w:cs="Arial"/>
          <w:snapToGrid w:val="0"/>
          <w:lang w:eastAsia="pl-PL"/>
        </w:rPr>
        <w:t>BZP.272.</w:t>
      </w:r>
      <w:r w:rsidR="00C723E3" w:rsidRPr="006F65F9">
        <w:rPr>
          <w:rFonts w:ascii="Arial" w:eastAsia="Times New Roman" w:hAnsi="Arial" w:cs="Arial"/>
          <w:snapToGrid w:val="0"/>
          <w:lang w:eastAsia="pl-PL"/>
        </w:rPr>
        <w:t>1</w:t>
      </w:r>
      <w:r w:rsidR="00213634">
        <w:rPr>
          <w:rFonts w:ascii="Arial" w:eastAsia="Times New Roman" w:hAnsi="Arial" w:cs="Arial"/>
          <w:snapToGrid w:val="0"/>
          <w:lang w:eastAsia="pl-PL"/>
        </w:rPr>
        <w:t>82</w:t>
      </w:r>
      <w:r w:rsidRPr="006F65F9">
        <w:rPr>
          <w:rFonts w:ascii="Arial" w:eastAsia="Times New Roman" w:hAnsi="Arial" w:cs="Arial"/>
          <w:snapToGrid w:val="0"/>
          <w:lang w:eastAsia="pl-PL"/>
        </w:rPr>
        <w:t>.2023</w:t>
      </w:r>
    </w:p>
    <w:p w14:paraId="6ECEBBF0" w14:textId="77777777" w:rsidR="00CB7E30" w:rsidRPr="006F65F9" w:rsidRDefault="00CB7E30" w:rsidP="006F65F9">
      <w:pPr>
        <w:autoSpaceDE w:val="0"/>
        <w:autoSpaceDN w:val="0"/>
        <w:spacing w:after="0" w:line="271" w:lineRule="auto"/>
        <w:jc w:val="both"/>
        <w:rPr>
          <w:rFonts w:ascii="Arial" w:hAnsi="Arial" w:cs="Arial"/>
          <w:lang w:eastAsia="pl-PL"/>
        </w:rPr>
      </w:pPr>
    </w:p>
    <w:p w14:paraId="0C0CD430" w14:textId="298CB6F8" w:rsidR="00CB7E30" w:rsidRPr="006F65F9" w:rsidRDefault="00CB7E30" w:rsidP="006F65F9">
      <w:pPr>
        <w:autoSpaceDE w:val="0"/>
        <w:autoSpaceDN w:val="0"/>
        <w:spacing w:after="0" w:line="271" w:lineRule="auto"/>
        <w:jc w:val="center"/>
        <w:rPr>
          <w:rFonts w:ascii="Arial" w:hAnsi="Arial" w:cs="Arial"/>
          <w:lang w:eastAsia="pl-PL"/>
        </w:rPr>
      </w:pPr>
      <w:r w:rsidRPr="006F65F9">
        <w:rPr>
          <w:rFonts w:ascii="Arial" w:hAnsi="Arial" w:cs="Arial"/>
          <w:lang w:eastAsia="pl-PL"/>
        </w:rPr>
        <w:t>INFORMACJA</w:t>
      </w:r>
    </w:p>
    <w:p w14:paraId="6334DB6D" w14:textId="77777777" w:rsidR="00CB7E30" w:rsidRPr="006F65F9" w:rsidRDefault="00CB7E30" w:rsidP="006F65F9">
      <w:pPr>
        <w:spacing w:after="0" w:line="271" w:lineRule="auto"/>
        <w:jc w:val="both"/>
        <w:rPr>
          <w:rFonts w:ascii="Arial" w:eastAsia="Times New Roman" w:hAnsi="Arial" w:cs="Arial"/>
          <w:lang w:eastAsia="pl-PL"/>
        </w:rPr>
      </w:pPr>
    </w:p>
    <w:p w14:paraId="7C39823F" w14:textId="77777777" w:rsidR="006F65F9" w:rsidRPr="006F65F9" w:rsidRDefault="00332436" w:rsidP="006F65F9">
      <w:pPr>
        <w:autoSpaceDE w:val="0"/>
        <w:autoSpaceDN w:val="0"/>
        <w:adjustRightInd w:val="0"/>
        <w:spacing w:after="0" w:line="271" w:lineRule="auto"/>
        <w:jc w:val="both"/>
        <w:rPr>
          <w:rFonts w:ascii="Arial" w:eastAsia="Calibri" w:hAnsi="Arial" w:cs="Arial"/>
        </w:rPr>
      </w:pPr>
      <w:r w:rsidRPr="006F65F9">
        <w:rPr>
          <w:rFonts w:ascii="Arial" w:eastAsia="Calibri" w:hAnsi="Arial" w:cs="Arial"/>
        </w:rPr>
        <w:t xml:space="preserve">Dotyczy: </w:t>
      </w:r>
      <w:r w:rsidR="006F65F9" w:rsidRPr="006F65F9">
        <w:rPr>
          <w:rFonts w:ascii="Arial" w:eastAsia="Calibri" w:hAnsi="Arial" w:cs="Arial"/>
        </w:rPr>
        <w:t xml:space="preserve">Dostawa materiałów eksploatacyjnych dla potrzeb Starostwa Powiatowego                   w Wołominie oraz bezpłatny odbiór zużytych materiałów eksploatacyjnych do drukarek </w:t>
      </w:r>
    </w:p>
    <w:p w14:paraId="19058606" w14:textId="4546A04D" w:rsidR="00332436" w:rsidRPr="006F65F9" w:rsidRDefault="006F65F9" w:rsidP="006F65F9">
      <w:pPr>
        <w:autoSpaceDE w:val="0"/>
        <w:autoSpaceDN w:val="0"/>
        <w:adjustRightInd w:val="0"/>
        <w:spacing w:after="0" w:line="271" w:lineRule="auto"/>
        <w:jc w:val="both"/>
        <w:rPr>
          <w:rFonts w:ascii="Arial" w:hAnsi="Arial" w:cs="Arial"/>
        </w:rPr>
      </w:pPr>
      <w:r w:rsidRPr="006F65F9">
        <w:rPr>
          <w:rFonts w:ascii="Arial" w:eastAsia="Calibri" w:hAnsi="Arial" w:cs="Arial"/>
        </w:rPr>
        <w:t>laserowych i atramentowych w 2024 r.</w:t>
      </w:r>
    </w:p>
    <w:p w14:paraId="2783C488" w14:textId="77777777" w:rsidR="00332436" w:rsidRPr="006F65F9" w:rsidRDefault="00332436" w:rsidP="006F65F9">
      <w:pPr>
        <w:autoSpaceDE w:val="0"/>
        <w:autoSpaceDN w:val="0"/>
        <w:adjustRightInd w:val="0"/>
        <w:spacing w:after="0" w:line="271" w:lineRule="auto"/>
        <w:jc w:val="both"/>
        <w:rPr>
          <w:rFonts w:ascii="Arial" w:hAnsi="Arial" w:cs="Arial"/>
        </w:rPr>
      </w:pPr>
    </w:p>
    <w:p w14:paraId="3B6233BF" w14:textId="1A780DEF" w:rsidR="00CB7E30" w:rsidRPr="006F65F9" w:rsidRDefault="00CB7E30" w:rsidP="006F65F9">
      <w:pPr>
        <w:widowControl w:val="0"/>
        <w:spacing w:after="0" w:line="271" w:lineRule="auto"/>
        <w:jc w:val="both"/>
        <w:rPr>
          <w:rFonts w:ascii="Arial" w:eastAsia="Calibri" w:hAnsi="Arial" w:cs="Arial"/>
        </w:rPr>
      </w:pPr>
      <w:r w:rsidRPr="006F65F9">
        <w:rPr>
          <w:rFonts w:ascii="Arial" w:eastAsia="Calibri" w:hAnsi="Arial" w:cs="Arial"/>
        </w:rPr>
        <w:t xml:space="preserve">Zamawiający informuje, że w terminie określonym zgodnie z </w:t>
      </w:r>
      <w:r w:rsidR="004B4C39" w:rsidRPr="006F65F9">
        <w:rPr>
          <w:rFonts w:ascii="Arial" w:eastAsia="Calibri" w:hAnsi="Arial" w:cs="Arial"/>
        </w:rPr>
        <w:t>a</w:t>
      </w:r>
      <w:r w:rsidRPr="006F65F9">
        <w:rPr>
          <w:rFonts w:ascii="Arial" w:eastAsia="Calibri" w:hAnsi="Arial" w:cs="Arial"/>
        </w:rPr>
        <w:t xml:space="preserve">rt. </w:t>
      </w:r>
      <w:r w:rsidR="004B4C39" w:rsidRPr="006F65F9">
        <w:rPr>
          <w:rFonts w:ascii="Arial" w:eastAsia="Calibri" w:hAnsi="Arial" w:cs="Arial"/>
        </w:rPr>
        <w:t>284</w:t>
      </w:r>
      <w:r w:rsidRPr="006F65F9">
        <w:rPr>
          <w:rFonts w:ascii="Arial" w:eastAsia="Calibri" w:hAnsi="Arial" w:cs="Arial"/>
        </w:rPr>
        <w:t xml:space="preserve"> ust. 2 ustawy z 11 września 2019 r</w:t>
      </w:r>
      <w:r w:rsidR="00B70DDD" w:rsidRPr="006F65F9">
        <w:rPr>
          <w:rFonts w:ascii="Arial" w:eastAsia="Calibri" w:hAnsi="Arial" w:cs="Arial"/>
        </w:rPr>
        <w:t xml:space="preserve">. – </w:t>
      </w:r>
      <w:r w:rsidRPr="006F65F9">
        <w:rPr>
          <w:rFonts w:ascii="Arial" w:eastAsia="Calibri" w:hAnsi="Arial" w:cs="Arial"/>
        </w:rPr>
        <w:t xml:space="preserve">Prawo zamówień publicznych </w:t>
      </w:r>
      <w:r w:rsidR="00FA7825" w:rsidRPr="006F65F9">
        <w:rPr>
          <w:rFonts w:ascii="Arial" w:eastAsia="Calibri" w:hAnsi="Arial" w:cs="Arial"/>
        </w:rPr>
        <w:t>(</w:t>
      </w:r>
      <w:proofErr w:type="spellStart"/>
      <w:r w:rsidR="00FA7825" w:rsidRPr="006F65F9">
        <w:rPr>
          <w:rFonts w:ascii="Arial" w:eastAsia="Calibri" w:hAnsi="Arial" w:cs="Arial"/>
        </w:rPr>
        <w:t>t.j</w:t>
      </w:r>
      <w:proofErr w:type="spellEnd"/>
      <w:r w:rsidR="00FA7825" w:rsidRPr="006F65F9">
        <w:rPr>
          <w:rFonts w:ascii="Arial" w:eastAsia="Calibri" w:hAnsi="Arial" w:cs="Arial"/>
        </w:rPr>
        <w:t>.: Dz.U. z 202</w:t>
      </w:r>
      <w:r w:rsidR="00C723E3" w:rsidRPr="006F65F9">
        <w:rPr>
          <w:rFonts w:ascii="Arial" w:eastAsia="Calibri" w:hAnsi="Arial" w:cs="Arial"/>
        </w:rPr>
        <w:t>3</w:t>
      </w:r>
      <w:r w:rsidR="00FA7825" w:rsidRPr="006F65F9">
        <w:rPr>
          <w:rFonts w:ascii="Arial" w:eastAsia="Calibri" w:hAnsi="Arial" w:cs="Arial"/>
        </w:rPr>
        <w:t xml:space="preserve"> r., poz.</w:t>
      </w:r>
      <w:r w:rsidR="00332436" w:rsidRPr="006F65F9">
        <w:rPr>
          <w:rFonts w:ascii="Arial" w:eastAsia="Calibri" w:hAnsi="Arial" w:cs="Arial"/>
        </w:rPr>
        <w:t xml:space="preserve"> </w:t>
      </w:r>
      <w:r w:rsidR="00FA7825" w:rsidRPr="006F65F9">
        <w:rPr>
          <w:rFonts w:ascii="Arial" w:eastAsia="Calibri" w:hAnsi="Arial" w:cs="Arial"/>
        </w:rPr>
        <w:t>1</w:t>
      </w:r>
      <w:r w:rsidR="00C723E3" w:rsidRPr="006F65F9">
        <w:rPr>
          <w:rFonts w:ascii="Arial" w:eastAsia="Calibri" w:hAnsi="Arial" w:cs="Arial"/>
        </w:rPr>
        <w:t xml:space="preserve">605 </w:t>
      </w:r>
      <w:r w:rsidR="00746E87" w:rsidRPr="006F65F9">
        <w:rPr>
          <w:rFonts w:ascii="Arial" w:eastAsia="Calibri" w:hAnsi="Arial" w:cs="Arial"/>
        </w:rPr>
        <w:t xml:space="preserve">z </w:t>
      </w:r>
      <w:proofErr w:type="spellStart"/>
      <w:r w:rsidR="00746E87" w:rsidRPr="006F65F9">
        <w:rPr>
          <w:rFonts w:ascii="Arial" w:eastAsia="Calibri" w:hAnsi="Arial" w:cs="Arial"/>
        </w:rPr>
        <w:t>późn</w:t>
      </w:r>
      <w:proofErr w:type="spellEnd"/>
      <w:r w:rsidR="00746E87" w:rsidRPr="006F65F9">
        <w:rPr>
          <w:rFonts w:ascii="Arial" w:eastAsia="Calibri" w:hAnsi="Arial" w:cs="Arial"/>
        </w:rPr>
        <w:t>. zm.</w:t>
      </w:r>
      <w:r w:rsidR="00FA7825" w:rsidRPr="006F65F9">
        <w:rPr>
          <w:rFonts w:ascii="Arial" w:eastAsia="Calibri" w:hAnsi="Arial" w:cs="Arial"/>
        </w:rPr>
        <w:t>)</w:t>
      </w:r>
      <w:r w:rsidRPr="006F65F9">
        <w:rPr>
          <w:rFonts w:ascii="Arial" w:eastAsia="Calibri" w:hAnsi="Arial" w:cs="Arial"/>
        </w:rPr>
        <w:t xml:space="preserve"> – dalej</w:t>
      </w:r>
      <w:r w:rsidR="00B70DDD" w:rsidRPr="006F65F9">
        <w:rPr>
          <w:rFonts w:ascii="Arial" w:eastAsia="Calibri" w:hAnsi="Arial" w:cs="Arial"/>
        </w:rPr>
        <w:t>:</w:t>
      </w:r>
      <w:r w:rsidRPr="006F65F9">
        <w:rPr>
          <w:rFonts w:ascii="Arial" w:eastAsia="Calibri" w:hAnsi="Arial" w:cs="Arial"/>
        </w:rPr>
        <w:t xml:space="preserve"> ustawa </w:t>
      </w:r>
      <w:proofErr w:type="spellStart"/>
      <w:r w:rsidRPr="006F65F9">
        <w:rPr>
          <w:rFonts w:ascii="Arial" w:eastAsia="Calibri" w:hAnsi="Arial" w:cs="Arial"/>
        </w:rPr>
        <w:t>Pzp</w:t>
      </w:r>
      <w:proofErr w:type="spellEnd"/>
      <w:r w:rsidRPr="006F65F9">
        <w:rPr>
          <w:rFonts w:ascii="Arial" w:eastAsia="Calibri" w:hAnsi="Arial" w:cs="Arial"/>
        </w:rPr>
        <w:t>, wykonawcy zwrócili się do zamawiającego z wni</w:t>
      </w:r>
      <w:r w:rsidR="004B4C39" w:rsidRPr="006F65F9">
        <w:rPr>
          <w:rFonts w:ascii="Arial" w:eastAsia="Calibri" w:hAnsi="Arial" w:cs="Arial"/>
        </w:rPr>
        <w:t>oskiem o wyjaśnienie treści SWZ</w:t>
      </w:r>
      <w:r w:rsidRPr="006F65F9">
        <w:rPr>
          <w:rFonts w:ascii="Arial" w:eastAsia="Calibri" w:hAnsi="Arial" w:cs="Arial"/>
        </w:rPr>
        <w:t>.</w:t>
      </w:r>
    </w:p>
    <w:p w14:paraId="41680D30" w14:textId="77777777" w:rsidR="00CB7E30" w:rsidRPr="006F65F9" w:rsidRDefault="00CB7E30" w:rsidP="006F65F9">
      <w:pPr>
        <w:widowControl w:val="0"/>
        <w:spacing w:after="0" w:line="271" w:lineRule="auto"/>
        <w:jc w:val="both"/>
        <w:rPr>
          <w:rFonts w:ascii="Arial" w:eastAsia="Calibri" w:hAnsi="Arial" w:cs="Arial"/>
        </w:rPr>
      </w:pPr>
    </w:p>
    <w:p w14:paraId="4FCECC5E" w14:textId="77777777" w:rsidR="00CB7E30" w:rsidRPr="006F65F9" w:rsidRDefault="00CB7E30" w:rsidP="006F65F9">
      <w:pPr>
        <w:widowControl w:val="0"/>
        <w:spacing w:after="0" w:line="271" w:lineRule="auto"/>
        <w:jc w:val="both"/>
        <w:rPr>
          <w:rFonts w:ascii="Arial" w:eastAsia="Calibri" w:hAnsi="Arial" w:cs="Arial"/>
        </w:rPr>
      </w:pPr>
      <w:r w:rsidRPr="006F65F9">
        <w:rPr>
          <w:rFonts w:ascii="Arial" w:eastAsia="Calibri" w:hAnsi="Arial" w:cs="Arial"/>
        </w:rPr>
        <w:t>W związku z powyższym, zamawiający udziela następujących wyjaśnień:</w:t>
      </w:r>
    </w:p>
    <w:p w14:paraId="4B831B7F" w14:textId="77777777" w:rsidR="00CB7E30" w:rsidRPr="006F65F9" w:rsidRDefault="00CB7E30" w:rsidP="006F65F9">
      <w:pPr>
        <w:widowControl w:val="0"/>
        <w:spacing w:after="0" w:line="271" w:lineRule="auto"/>
        <w:jc w:val="both"/>
        <w:rPr>
          <w:rFonts w:ascii="Arial" w:eastAsia="Calibri" w:hAnsi="Arial" w:cs="Arial"/>
        </w:rPr>
      </w:pPr>
    </w:p>
    <w:p w14:paraId="71AB18FD" w14:textId="77777777" w:rsidR="00751E92" w:rsidRPr="00A03296" w:rsidRDefault="00751E92" w:rsidP="006F65F9">
      <w:pPr>
        <w:spacing w:after="0" w:line="271" w:lineRule="auto"/>
        <w:jc w:val="both"/>
        <w:rPr>
          <w:rFonts w:ascii="Arial" w:hAnsi="Arial" w:cs="Arial"/>
          <w:b/>
          <w:bCs/>
          <w:u w:val="single"/>
        </w:rPr>
      </w:pPr>
      <w:r w:rsidRPr="00A03296">
        <w:rPr>
          <w:rFonts w:ascii="Arial" w:hAnsi="Arial" w:cs="Arial"/>
          <w:b/>
          <w:bCs/>
          <w:u w:val="single"/>
        </w:rPr>
        <w:t>Pytanie nr 1:</w:t>
      </w:r>
    </w:p>
    <w:p w14:paraId="74601463" w14:textId="77777777" w:rsidR="006F65F9" w:rsidRPr="006F65F9" w:rsidRDefault="006F65F9" w:rsidP="006F65F9">
      <w:pPr>
        <w:pStyle w:val="Teksttreci0"/>
        <w:spacing w:after="220" w:line="271" w:lineRule="auto"/>
        <w:jc w:val="both"/>
        <w:rPr>
          <w:rFonts w:ascii="Arial" w:hAnsi="Arial" w:cs="Arial"/>
          <w:sz w:val="22"/>
          <w:szCs w:val="22"/>
        </w:rPr>
      </w:pPr>
      <w:r w:rsidRPr="006F65F9">
        <w:rPr>
          <w:rFonts w:ascii="Arial" w:hAnsi="Arial" w:cs="Arial"/>
          <w:color w:val="000000"/>
          <w:sz w:val="22"/>
          <w:szCs w:val="22"/>
        </w:rPr>
        <w:t xml:space="preserve">Na podstawie art. 16 pkt.1 ustawy </w:t>
      </w:r>
      <w:proofErr w:type="spellStart"/>
      <w:r w:rsidRPr="006F65F9">
        <w:rPr>
          <w:rFonts w:ascii="Arial" w:hAnsi="Arial" w:cs="Arial"/>
          <w:color w:val="000000"/>
          <w:sz w:val="22"/>
          <w:szCs w:val="22"/>
        </w:rPr>
        <w:t>Pzp</w:t>
      </w:r>
      <w:proofErr w:type="spellEnd"/>
      <w:r w:rsidRPr="006F65F9">
        <w:rPr>
          <w:rFonts w:ascii="Arial" w:hAnsi="Arial" w:cs="Arial"/>
          <w:color w:val="000000"/>
          <w:sz w:val="22"/>
          <w:szCs w:val="22"/>
        </w:rPr>
        <w:t xml:space="preserve"> w zw. z art. 99 ust. 1 ustawy </w:t>
      </w:r>
      <w:proofErr w:type="spellStart"/>
      <w:r w:rsidRPr="006F65F9">
        <w:rPr>
          <w:rFonts w:ascii="Arial" w:hAnsi="Arial" w:cs="Arial"/>
          <w:color w:val="000000"/>
          <w:sz w:val="22"/>
          <w:szCs w:val="22"/>
        </w:rPr>
        <w:t>Pzp</w:t>
      </w:r>
      <w:proofErr w:type="spellEnd"/>
      <w:r w:rsidRPr="006F65F9">
        <w:rPr>
          <w:rFonts w:ascii="Arial" w:hAnsi="Arial" w:cs="Arial"/>
          <w:color w:val="000000"/>
          <w:sz w:val="22"/>
          <w:szCs w:val="22"/>
        </w:rPr>
        <w:t xml:space="preserve"> (Dz. U. z 2019 r. poz. 2019, ze zm.) wnosimy o zmianę warunków udziału w postępowaniu oraz sposobu dokonania oceny ich spełnienia w zakresie przedmiotowych środków dowodowych.</w:t>
      </w:r>
    </w:p>
    <w:p w14:paraId="24FB15C0" w14:textId="77777777" w:rsidR="006F65F9" w:rsidRPr="006F65F9" w:rsidRDefault="006F65F9" w:rsidP="006F65F9">
      <w:pPr>
        <w:pStyle w:val="Teksttreci0"/>
        <w:spacing w:after="460" w:line="271" w:lineRule="auto"/>
        <w:jc w:val="both"/>
        <w:rPr>
          <w:rFonts w:ascii="Arial" w:hAnsi="Arial" w:cs="Arial"/>
          <w:sz w:val="22"/>
          <w:szCs w:val="22"/>
        </w:rPr>
      </w:pPr>
      <w:r w:rsidRPr="006F65F9">
        <w:rPr>
          <w:rFonts w:ascii="Arial" w:hAnsi="Arial" w:cs="Arial"/>
          <w:color w:val="000000"/>
          <w:sz w:val="22"/>
          <w:szCs w:val="22"/>
        </w:rPr>
        <w:t>W przypadku zaoferowania materiałów eksploatacyjnych równoważnych Wykonawca załączy do wniosku dokumenty (np. certyfikaty, raporty z badań wydajności kaset z tonerami, tuszami, zestawów konserwacyjnych oraz bębnów) potwierdzające, że zaoferowane produkty przeszły równoważne testy wydajnościowe, w stosunku do tonerów, tuszy, zestawów konserwacyjnych oraz bębnów zalecanych przez producenta urządzeń, do których są przeznaczone. Zamawiający wymaga aby załączone dokumenty były wystawione przez niezależny podmiot, powołany do kontroli jakości, przez niezależny podmiot uznaje się jednostkę badawczą i/lub certyfikującą posiadającą akredytację krajowego ośrodka - Polskie Centrum Akredytacji (PCA)”</w:t>
      </w:r>
    </w:p>
    <w:p w14:paraId="4F7E1CEC" w14:textId="77777777" w:rsidR="006F65F9" w:rsidRPr="006F65F9" w:rsidRDefault="006F65F9" w:rsidP="006F65F9">
      <w:pPr>
        <w:pStyle w:val="Teksttreci0"/>
        <w:spacing w:after="220" w:line="271" w:lineRule="auto"/>
        <w:jc w:val="both"/>
        <w:rPr>
          <w:rFonts w:ascii="Arial" w:hAnsi="Arial" w:cs="Arial"/>
          <w:sz w:val="22"/>
          <w:szCs w:val="22"/>
        </w:rPr>
      </w:pPr>
      <w:r w:rsidRPr="006F65F9">
        <w:rPr>
          <w:rFonts w:ascii="Arial" w:hAnsi="Arial" w:cs="Arial"/>
          <w:color w:val="000000"/>
          <w:sz w:val="22"/>
          <w:szCs w:val="22"/>
        </w:rPr>
        <w:t xml:space="preserve">Zamawiający zgodnie z art. 16 ustawy </w:t>
      </w:r>
      <w:proofErr w:type="spellStart"/>
      <w:r w:rsidRPr="006F65F9">
        <w:rPr>
          <w:rFonts w:ascii="Arial" w:hAnsi="Arial" w:cs="Arial"/>
          <w:color w:val="000000"/>
          <w:sz w:val="22"/>
          <w:szCs w:val="22"/>
        </w:rPr>
        <w:t>Pzp</w:t>
      </w:r>
      <w:proofErr w:type="spellEnd"/>
      <w:r w:rsidRPr="006F65F9">
        <w:rPr>
          <w:rFonts w:ascii="Arial" w:hAnsi="Arial" w:cs="Arial"/>
          <w:color w:val="000000"/>
          <w:sz w:val="22"/>
          <w:szCs w:val="22"/>
        </w:rPr>
        <w:t xml:space="preserve"> jest zobowiązany do zachowania zasady uczciwej konkurencji i stworzenia warunków umożliwiających wykonawcom konkurowanie między sobą w postępowaniu o udzielenie zamówienia publicznego na uczciwych zasadach, a żądanie przedmiotowych środków dowodowych w postaci certyfikatu - dopuszcza jedynie Certyfikat, którego wystawcą jest tylko i wyłącznie TUV </w:t>
      </w:r>
      <w:proofErr w:type="spellStart"/>
      <w:r w:rsidRPr="006F65F9">
        <w:rPr>
          <w:rFonts w:ascii="Arial" w:hAnsi="Arial" w:cs="Arial"/>
          <w:color w:val="000000"/>
          <w:sz w:val="22"/>
          <w:szCs w:val="22"/>
        </w:rPr>
        <w:t>Rheinland</w:t>
      </w:r>
      <w:proofErr w:type="spellEnd"/>
      <w:r w:rsidRPr="006F65F9">
        <w:rPr>
          <w:rFonts w:ascii="Arial" w:hAnsi="Arial" w:cs="Arial"/>
          <w:color w:val="000000"/>
          <w:sz w:val="22"/>
          <w:szCs w:val="22"/>
        </w:rPr>
        <w:t xml:space="preserve"> Polska, ogranicza to krąg potencjalnych Wykonawców.</w:t>
      </w:r>
    </w:p>
    <w:p w14:paraId="34287016" w14:textId="77777777" w:rsidR="006F65F9" w:rsidRPr="006F65F9" w:rsidRDefault="006F65F9" w:rsidP="006F65F9">
      <w:pPr>
        <w:pStyle w:val="Teksttreci0"/>
        <w:spacing w:after="220" w:line="271" w:lineRule="auto"/>
        <w:jc w:val="both"/>
        <w:rPr>
          <w:rFonts w:ascii="Arial" w:hAnsi="Arial" w:cs="Arial"/>
          <w:sz w:val="22"/>
          <w:szCs w:val="22"/>
        </w:rPr>
      </w:pPr>
      <w:r w:rsidRPr="006F65F9">
        <w:rPr>
          <w:rFonts w:ascii="Arial" w:hAnsi="Arial" w:cs="Arial"/>
          <w:color w:val="000000"/>
          <w:sz w:val="22"/>
          <w:szCs w:val="22"/>
        </w:rPr>
        <w:t xml:space="preserve">Funkcją przedmiotowych środków dowodowych w postępowaniu jest potwierdzenie, że oferowane przez wykonawcę dostawy spełniają określone przez zamawiającego wymagania (art. 106 ust. 1 </w:t>
      </w:r>
      <w:proofErr w:type="spellStart"/>
      <w:r w:rsidRPr="006F65F9">
        <w:rPr>
          <w:rFonts w:ascii="Arial" w:hAnsi="Arial" w:cs="Arial"/>
          <w:color w:val="000000"/>
          <w:sz w:val="22"/>
          <w:szCs w:val="22"/>
        </w:rPr>
        <w:t>Pzp</w:t>
      </w:r>
      <w:proofErr w:type="spellEnd"/>
      <w:r w:rsidRPr="006F65F9">
        <w:rPr>
          <w:rFonts w:ascii="Arial" w:hAnsi="Arial" w:cs="Arial"/>
          <w:color w:val="000000"/>
          <w:sz w:val="22"/>
          <w:szCs w:val="22"/>
        </w:rPr>
        <w:t xml:space="preserve">). Żądając przedmiotowych środków dowodowych zamawiający powinien kierować się zasadą proporcjonalności (art. 106 ust. 2 </w:t>
      </w:r>
      <w:proofErr w:type="spellStart"/>
      <w:r w:rsidRPr="006F65F9">
        <w:rPr>
          <w:rFonts w:ascii="Arial" w:hAnsi="Arial" w:cs="Arial"/>
          <w:color w:val="000000"/>
          <w:sz w:val="22"/>
          <w:szCs w:val="22"/>
        </w:rPr>
        <w:t>Pzp</w:t>
      </w:r>
      <w:proofErr w:type="spellEnd"/>
      <w:r w:rsidRPr="006F65F9">
        <w:rPr>
          <w:rFonts w:ascii="Arial" w:hAnsi="Arial" w:cs="Arial"/>
          <w:color w:val="000000"/>
          <w:sz w:val="22"/>
          <w:szCs w:val="22"/>
        </w:rPr>
        <w:t xml:space="preserve">). Zgodnie z uchwałą KIO z 28 czerwca 2018r o sygn.. KIO/KU 27/18 proporcjonalny oznacza tyle co zachowujący właściwą </w:t>
      </w:r>
      <w:r w:rsidRPr="006F65F9">
        <w:rPr>
          <w:rFonts w:ascii="Arial" w:hAnsi="Arial" w:cs="Arial"/>
          <w:color w:val="000000"/>
          <w:sz w:val="22"/>
          <w:szCs w:val="22"/>
        </w:rPr>
        <w:lastRenderedPageBreak/>
        <w:t>proporcję. Miarą owej właściwej proporcji jest zachowanie równowagi między interesem polegającym na uzyskaniu rękojmi należytego wykonania zamówienia a interesem potencjalnych wykonawców, którzy nie mogą być z góry eliminowani przez wprowadzenie nadmiernych wymagań. Warunek proporcjonalny to warunek, który nie jest nadmierny, czego stwierdzenie wymaga przeprowadzenia tzw. testu proporcjonalności, polegającego na wykazaniu, że podjęte działania są adekwatne i konieczne do osiągnięcia wybranego celu.</w:t>
      </w:r>
    </w:p>
    <w:p w14:paraId="0E60DA7B" w14:textId="77777777" w:rsidR="006F65F9" w:rsidRPr="006F65F9" w:rsidRDefault="006F65F9" w:rsidP="006F65F9">
      <w:pPr>
        <w:pStyle w:val="Teksttreci0"/>
        <w:spacing w:after="220" w:line="271" w:lineRule="auto"/>
        <w:jc w:val="both"/>
        <w:rPr>
          <w:rFonts w:ascii="Arial" w:hAnsi="Arial" w:cs="Arial"/>
          <w:sz w:val="22"/>
          <w:szCs w:val="22"/>
        </w:rPr>
      </w:pPr>
      <w:r w:rsidRPr="006F65F9">
        <w:rPr>
          <w:rFonts w:ascii="Arial" w:hAnsi="Arial" w:cs="Arial"/>
          <w:color w:val="000000"/>
          <w:sz w:val="22"/>
          <w:szCs w:val="22"/>
        </w:rPr>
        <w:t xml:space="preserve">Żądanie przedmiotowych środków dowodowych w postaci Certyfikaty TUV </w:t>
      </w:r>
      <w:proofErr w:type="spellStart"/>
      <w:r w:rsidRPr="006F65F9">
        <w:rPr>
          <w:rFonts w:ascii="Arial" w:hAnsi="Arial" w:cs="Arial"/>
          <w:color w:val="000000"/>
          <w:sz w:val="22"/>
          <w:szCs w:val="22"/>
        </w:rPr>
        <w:t>Rheinland</w:t>
      </w:r>
      <w:proofErr w:type="spellEnd"/>
      <w:r w:rsidRPr="006F65F9">
        <w:rPr>
          <w:rFonts w:ascii="Arial" w:hAnsi="Arial" w:cs="Arial"/>
          <w:color w:val="000000"/>
          <w:sz w:val="22"/>
          <w:szCs w:val="22"/>
        </w:rPr>
        <w:t xml:space="preserve">,, jak wskazuje art. 106 ust. 3 ustawy </w:t>
      </w:r>
      <w:proofErr w:type="spellStart"/>
      <w:r w:rsidRPr="006F65F9">
        <w:rPr>
          <w:rFonts w:ascii="Arial" w:hAnsi="Arial" w:cs="Arial"/>
          <w:color w:val="000000"/>
          <w:sz w:val="22"/>
          <w:szCs w:val="22"/>
        </w:rPr>
        <w:t>pzp</w:t>
      </w:r>
      <w:proofErr w:type="spellEnd"/>
      <w:r w:rsidRPr="006F65F9">
        <w:rPr>
          <w:rFonts w:ascii="Arial" w:hAnsi="Arial" w:cs="Arial"/>
          <w:color w:val="000000"/>
          <w:sz w:val="22"/>
          <w:szCs w:val="22"/>
        </w:rPr>
        <w:t xml:space="preserve"> nie może ograniczać uczciwej konkurencji i równego traktowania wykonawców, którzy posiadają przedmiotowe środki dowodowe w postaci raportów z testów wykonanych w innych laboratoriach badawczych posiadających akredytację w zakresie badania wydajności produktów w oparciu o normy ISO/IEC 19752, ISO/IEC19798, ISO/IEC24711.</w:t>
      </w:r>
    </w:p>
    <w:p w14:paraId="40E3D2D4" w14:textId="34AA5609" w:rsidR="006F65F9" w:rsidRPr="006F65F9" w:rsidRDefault="006F65F9" w:rsidP="006F65F9">
      <w:pPr>
        <w:spacing w:after="0" w:line="271" w:lineRule="auto"/>
        <w:jc w:val="both"/>
        <w:rPr>
          <w:rFonts w:ascii="Arial" w:hAnsi="Arial" w:cs="Arial"/>
          <w:color w:val="000000"/>
        </w:rPr>
      </w:pPr>
      <w:r w:rsidRPr="006F65F9">
        <w:rPr>
          <w:rFonts w:ascii="Arial" w:hAnsi="Arial" w:cs="Arial"/>
          <w:color w:val="000000"/>
        </w:rPr>
        <w:t>Krajowa Izba Odwoławcza w wyroku KIO 2184/13 uznała, że aby nie utrudniać uczciwej konkurencji opis przedmiotu zamówienia powinien być tak sformułowany aby przy określonych realiach rynkowych, prawnych i gospodarczych nie dochodziło do faktycznego monopolu jednego wykonawcy, producenta czy też dystrybutora.</w:t>
      </w:r>
    </w:p>
    <w:p w14:paraId="6C08FD10" w14:textId="77777777" w:rsidR="006F65F9" w:rsidRPr="006F65F9" w:rsidRDefault="006F65F9" w:rsidP="006F65F9">
      <w:pPr>
        <w:spacing w:after="0" w:line="271" w:lineRule="auto"/>
        <w:jc w:val="both"/>
        <w:rPr>
          <w:rFonts w:ascii="Arial" w:hAnsi="Arial" w:cs="Arial"/>
        </w:rPr>
      </w:pPr>
      <w:r w:rsidRPr="006F65F9">
        <w:rPr>
          <w:rFonts w:ascii="Arial" w:hAnsi="Arial" w:cs="Arial"/>
        </w:rPr>
        <w:t>Ponadto zwracamy uwagę Zamawiającemu , że Certyfikat, który jest wymagany dotyczy nawet 800 produktów równoważnych, z których poddanym badaniom wydajności zgodnie z normami ISO/IEC 19752, ISO/IEC 19798, ISO/IEC 24711, ISO/IEC 24712 jest może około 20 sztuk (ze względu na wysokie koszty przeprowadzenia takich testów). Dokument ten nie jest dokumentem niezbędnym do potwierdzenia zgodności oferowanych produktów równoważnych z opisem przedmiotu zamówienia, stanowiąc podstawę weryfikacji wydajności materiałów eksploatacyjnych. Zawarte na Certyfikacie produkty nie zostały poddane rygorystycznym procedurom norm ISO/IEC.</w:t>
      </w:r>
    </w:p>
    <w:p w14:paraId="2FE14307" w14:textId="77777777" w:rsidR="006F65F9" w:rsidRPr="006F65F9" w:rsidRDefault="006F65F9" w:rsidP="006F65F9">
      <w:pPr>
        <w:spacing w:after="0" w:line="271" w:lineRule="auto"/>
        <w:jc w:val="both"/>
        <w:rPr>
          <w:rFonts w:ascii="Arial" w:hAnsi="Arial" w:cs="Arial"/>
        </w:rPr>
      </w:pPr>
      <w:r w:rsidRPr="006F65F9">
        <w:rPr>
          <w:rFonts w:ascii="Arial" w:hAnsi="Arial" w:cs="Arial"/>
        </w:rPr>
        <w:t>Zgodnie z wymaganiami powyższych norm ISO/IEC tylko raport z przeprowadzonych testów zawierający szczegółowe informacje o sposobie przeprowadzenia badań na poszczególnym produkcie może być wiarygodnym dokumentem potwierdzającym równoważność, w szczególności wydajność.</w:t>
      </w:r>
    </w:p>
    <w:p w14:paraId="6FD532E4" w14:textId="77777777" w:rsidR="006F65F9" w:rsidRPr="006F65F9" w:rsidRDefault="006F65F9" w:rsidP="006F65F9">
      <w:pPr>
        <w:spacing w:after="0" w:line="271" w:lineRule="auto"/>
        <w:jc w:val="both"/>
        <w:rPr>
          <w:rFonts w:ascii="Arial" w:hAnsi="Arial" w:cs="Arial"/>
        </w:rPr>
      </w:pPr>
      <w:r w:rsidRPr="006F65F9">
        <w:rPr>
          <w:rFonts w:ascii="Arial" w:hAnsi="Arial" w:cs="Arial"/>
        </w:rPr>
        <w:t>Jako doświadczony Wykonawca, działający na rynku od wielu lat, informujemy iż głównym parametrem technicznym porównywalnym w odniesieniu do oryginalnych materiałów eksploatacyjnych jest wydajność każdego oferowanego materiału eksploatacyjnego. Przedmiotowe środki dowodowe wymagane w przypadku zaoferowania równoważnych materiałów eksploatacyjnych mają na celu udowodnienie równoważności w stosunku do materiałów oryginalnych. Jeżeli Zamawiający oczekuje dokumentów potwierdzających wydajność to właściwymi są jedynie szczegółowe raporty z testów przeprowadzonych zgodnie z normami ISO/IEC 19752 (dotyczy monochromatycznych tonerów do drukarek laserowych), ISO/IEC 19798 (dotyczy kolorowych tonerów do drukarek laserowych), ISO/IEC 24711 (dotyczy i monochromatycznych tuszy do drukarek atramentowych) oraz ISO/IEC 24712 (dotyczy kolorowych stron testowych) wystawione przez niezależne laboratorium badawcze posiadające akredytację udzieloną przez Polskiego Centrum Akredytacji w zakresie badania wydajności materiałów eksploatacyjnych.</w:t>
      </w:r>
    </w:p>
    <w:p w14:paraId="610E3C61" w14:textId="77777777" w:rsidR="006F65F9" w:rsidRPr="006F65F9" w:rsidRDefault="006F65F9" w:rsidP="006F65F9">
      <w:pPr>
        <w:spacing w:after="0" w:line="271" w:lineRule="auto"/>
        <w:jc w:val="both"/>
        <w:rPr>
          <w:rFonts w:ascii="Arial" w:hAnsi="Arial" w:cs="Arial"/>
        </w:rPr>
      </w:pPr>
      <w:r w:rsidRPr="006F65F9">
        <w:rPr>
          <w:rFonts w:ascii="Arial" w:hAnsi="Arial" w:cs="Arial"/>
        </w:rPr>
        <w:t>Nawet uzasadnione potrzeby Zamawiającego nie mogą usprawiedliwić ograniczenia kręgu potencjalnych wykonawców.</w:t>
      </w:r>
    </w:p>
    <w:p w14:paraId="7A2F3046" w14:textId="77777777" w:rsidR="006F65F9" w:rsidRPr="006F65F9" w:rsidRDefault="006F65F9" w:rsidP="006F65F9">
      <w:pPr>
        <w:spacing w:after="0" w:line="271" w:lineRule="auto"/>
        <w:jc w:val="both"/>
        <w:rPr>
          <w:rFonts w:ascii="Arial" w:hAnsi="Arial" w:cs="Arial"/>
        </w:rPr>
      </w:pPr>
      <w:r w:rsidRPr="006F65F9">
        <w:rPr>
          <w:rFonts w:ascii="Arial" w:hAnsi="Arial" w:cs="Arial"/>
        </w:rPr>
        <w:t>Mając na uwadze powyższe wnosimy o zmianę wymogu załączenia przedmiotowego środka dowodowego poprzez załączenie do oferty tylko i wyłącznie raportów z testów wydajności według aktualnie obowiązującej normy ISO/IEC 19752:2017,ISO/IEC 19798:2017, ISO/IEC 24711-2021, ISO/IEC 24712-2021 przeprowadzonych przez niezależne laboratorium badawcze posiadające akredytację .</w:t>
      </w:r>
    </w:p>
    <w:p w14:paraId="7F5BE1DD" w14:textId="77777777" w:rsidR="006F65F9" w:rsidRPr="006F65F9" w:rsidRDefault="006F65F9" w:rsidP="006F65F9">
      <w:pPr>
        <w:spacing w:after="0" w:line="271" w:lineRule="auto"/>
        <w:jc w:val="both"/>
        <w:rPr>
          <w:rFonts w:ascii="Arial" w:hAnsi="Arial" w:cs="Arial"/>
        </w:rPr>
      </w:pPr>
      <w:r w:rsidRPr="006F65F9">
        <w:rPr>
          <w:rFonts w:ascii="Arial" w:hAnsi="Arial" w:cs="Arial"/>
        </w:rPr>
        <w:lastRenderedPageBreak/>
        <w:t>Nadmieniamy, że na przestrzeni lat standardy produkcji oryginalnych materiałów ulegają zmianom technologicznym, pod wpływem których może także zmienić się wydajność tonerów czy też tuszy. Raporty z testów wydajności przeprowadzone według najnowszej, obowiązującej normy ISO/IEC pozwolą otrzymać Zamawiającemu najlepszej jakości produkty.</w:t>
      </w:r>
    </w:p>
    <w:p w14:paraId="02F4E5FB" w14:textId="77777777" w:rsidR="006F65F9" w:rsidRPr="006F65F9" w:rsidRDefault="006F65F9" w:rsidP="006F65F9">
      <w:pPr>
        <w:spacing w:after="0" w:line="271" w:lineRule="auto"/>
        <w:jc w:val="both"/>
        <w:rPr>
          <w:rFonts w:ascii="Arial" w:hAnsi="Arial" w:cs="Arial"/>
        </w:rPr>
      </w:pPr>
      <w:r w:rsidRPr="006F65F9">
        <w:rPr>
          <w:rFonts w:ascii="Arial" w:hAnsi="Arial" w:cs="Arial"/>
        </w:rPr>
        <w:t>Dodatkowo wyjaśniamy, że zarówno certyfikaty jak i raporty z badań wydajności kaset zgodnie z normami ISO/IEC 19752, ISO/IEC 19798, ISO/IEC 24711 i ISI/IEC24712 dotyczą tylko i wyłącznie wkładów z tonerem do drukarek laserowych oraz wkładów z tuszem do drukarek atramentowych.</w:t>
      </w:r>
    </w:p>
    <w:p w14:paraId="08278A0E" w14:textId="77777777" w:rsidR="006F65F9" w:rsidRPr="006F65F9" w:rsidRDefault="006F65F9" w:rsidP="006F65F9">
      <w:pPr>
        <w:spacing w:after="0" w:line="271" w:lineRule="auto"/>
        <w:jc w:val="both"/>
        <w:rPr>
          <w:rFonts w:ascii="Arial" w:hAnsi="Arial" w:cs="Arial"/>
        </w:rPr>
      </w:pPr>
      <w:r w:rsidRPr="006F65F9">
        <w:rPr>
          <w:rFonts w:ascii="Arial" w:hAnsi="Arial" w:cs="Arial"/>
        </w:rPr>
        <w:t>Natomiast bębny światłoczułe i zestawy konserwacyjne nie są badane w oparciu o normy ISO/IEC 19752 / 19798 /24711/24712.</w:t>
      </w:r>
    </w:p>
    <w:p w14:paraId="64B8E5FB" w14:textId="6FE7F395" w:rsidR="006F65F9" w:rsidRPr="006F65F9" w:rsidRDefault="006F65F9" w:rsidP="006F65F9">
      <w:pPr>
        <w:spacing w:after="0" w:line="271" w:lineRule="auto"/>
        <w:jc w:val="both"/>
        <w:rPr>
          <w:rFonts w:ascii="Arial" w:hAnsi="Arial" w:cs="Arial"/>
        </w:rPr>
      </w:pPr>
      <w:r w:rsidRPr="006F65F9">
        <w:rPr>
          <w:rFonts w:ascii="Arial" w:hAnsi="Arial" w:cs="Arial"/>
        </w:rPr>
        <w:t>Ponadto zwracamy uwagę Zamawiającego na fakt, że w przeciwieństwie badania wydajności tuszy i tonerów do drukarek atramentowych i laserowych nie istnieją żadne normy, które dotyczyłyby testowania bębnów i zestawów konserwacyjnych do drukarek. Bęben światłoczuły jest integralną częścią drukarki laserowej czy też fotokopiarki, odpowiada za przenoszenie obrazu z kasety tonera bezpośrednio na papier natomiast zestawy konserwacyjne są elementami konstrukcyjnymi , które posiadają drukarki laserowe. Działanie drukarki polega na przenoszeniu tonera przy użyciu wałka najpierw na bęben a następnie na papier. Bęben wchłania większą ilość tonera aniżeli byłoby to konieczne do prawidłowego uzyskania grafiki.</w:t>
      </w:r>
    </w:p>
    <w:p w14:paraId="6C900D6D" w14:textId="77777777" w:rsidR="006F65F9" w:rsidRPr="006F65F9" w:rsidRDefault="006F65F9" w:rsidP="006F65F9">
      <w:pPr>
        <w:spacing w:after="0" w:line="271" w:lineRule="auto"/>
        <w:jc w:val="both"/>
        <w:rPr>
          <w:rFonts w:ascii="Arial" w:hAnsi="Arial" w:cs="Arial"/>
        </w:rPr>
      </w:pPr>
    </w:p>
    <w:p w14:paraId="3519C52B" w14:textId="2518AB8A" w:rsidR="00751E92" w:rsidRPr="006F65F9" w:rsidRDefault="00751E92" w:rsidP="006F65F9">
      <w:pPr>
        <w:spacing w:after="0" w:line="271" w:lineRule="auto"/>
        <w:jc w:val="both"/>
        <w:rPr>
          <w:rFonts w:ascii="Arial" w:hAnsi="Arial" w:cs="Arial"/>
          <w:b/>
          <w:bCs/>
        </w:rPr>
      </w:pPr>
      <w:r w:rsidRPr="006F65F9">
        <w:rPr>
          <w:rFonts w:ascii="Arial" w:hAnsi="Arial" w:cs="Arial"/>
          <w:b/>
          <w:bCs/>
        </w:rPr>
        <w:t>Odpowiedź:</w:t>
      </w:r>
    </w:p>
    <w:p w14:paraId="5B9A434B" w14:textId="71DCA22D" w:rsidR="00C723E3" w:rsidRPr="006F65F9" w:rsidRDefault="006F65F9" w:rsidP="006F65F9">
      <w:pPr>
        <w:spacing w:line="271" w:lineRule="auto"/>
        <w:jc w:val="both"/>
        <w:rPr>
          <w:rFonts w:ascii="Arial" w:hAnsi="Arial" w:cs="Arial"/>
        </w:rPr>
      </w:pPr>
      <w:r w:rsidRPr="006F65F9">
        <w:rPr>
          <w:rFonts w:ascii="Arial" w:hAnsi="Arial" w:cs="Arial"/>
        </w:rPr>
        <w:t>W przypadku zaoferowania materiałów eksploatacyjnych równoważnych wykonawca wskaże w FORMULARZU CENOWYM nazwę i symbol oferowanego produktu, jego wydajność oraz załączy przedmiotowy środek dowodowy poprzez załączenie do oferty tylko i wyłącznie raportów z testów wydajności według aktualnie obowiązującej normy ISO/IEC 19752:2017,ISO/IEC 19798:2017, ISO/IEC 24711-2021, ISO/IEC 24712-2021 przeprowadzonych przez niezależne laboratorium badawcze posiadające akredytację – w przypadku załączenia dokumentów wystawionych w języku innym niż język polski wymagane jest złożenie dokumentu w oryginalnej wersji językowej wraz z tłumaczeniem przysięgłym.</w:t>
      </w:r>
    </w:p>
    <w:p w14:paraId="3F52B958" w14:textId="77777777" w:rsidR="00751E92" w:rsidRPr="006F65F9" w:rsidRDefault="00751E92" w:rsidP="006F65F9">
      <w:pPr>
        <w:spacing w:after="0" w:line="271" w:lineRule="auto"/>
        <w:jc w:val="both"/>
        <w:rPr>
          <w:rFonts w:ascii="Arial" w:eastAsia="Times New Roman" w:hAnsi="Arial" w:cs="Arial"/>
        </w:rPr>
      </w:pPr>
    </w:p>
    <w:p w14:paraId="641BCC37" w14:textId="237E9CAA" w:rsidR="006F65F9" w:rsidRPr="00A03296" w:rsidRDefault="006F65F9" w:rsidP="006F65F9">
      <w:pPr>
        <w:spacing w:after="0" w:line="271" w:lineRule="auto"/>
        <w:jc w:val="both"/>
        <w:rPr>
          <w:rFonts w:ascii="Arial" w:eastAsia="Times New Roman" w:hAnsi="Arial" w:cs="Arial"/>
          <w:b/>
          <w:bCs/>
          <w:u w:val="single"/>
        </w:rPr>
      </w:pPr>
      <w:r w:rsidRPr="00A03296">
        <w:rPr>
          <w:rFonts w:ascii="Arial" w:eastAsia="Times New Roman" w:hAnsi="Arial" w:cs="Arial"/>
          <w:b/>
          <w:bCs/>
          <w:u w:val="single"/>
        </w:rPr>
        <w:t>Pytanie 2:</w:t>
      </w:r>
    </w:p>
    <w:p w14:paraId="59EB2C57" w14:textId="2B2C789C" w:rsidR="006F65F9" w:rsidRPr="006F65F9" w:rsidRDefault="006F65F9" w:rsidP="006F65F9">
      <w:pPr>
        <w:spacing w:after="0" w:line="271" w:lineRule="auto"/>
        <w:jc w:val="both"/>
        <w:rPr>
          <w:rFonts w:ascii="Arial" w:eastAsia="Times New Roman" w:hAnsi="Arial" w:cs="Arial"/>
        </w:rPr>
      </w:pPr>
      <w:r w:rsidRPr="006F65F9">
        <w:rPr>
          <w:rFonts w:ascii="Arial" w:eastAsia="Times New Roman" w:hAnsi="Arial" w:cs="Arial"/>
        </w:rPr>
        <w:t>Pozycja nr 13 - informujemy, że oryginalne tonery o symbolu 1279001 do drukarek OKI B710 i B730 zostały wycofane z produkcji i nie są już dostępne.</w:t>
      </w:r>
    </w:p>
    <w:p w14:paraId="2E10E61D" w14:textId="77777777" w:rsidR="006F65F9" w:rsidRPr="006F65F9" w:rsidRDefault="006F65F9" w:rsidP="006F65F9">
      <w:pPr>
        <w:spacing w:after="0" w:line="271" w:lineRule="auto"/>
        <w:jc w:val="both"/>
        <w:rPr>
          <w:rFonts w:ascii="Arial" w:eastAsia="Times New Roman" w:hAnsi="Arial" w:cs="Arial"/>
        </w:rPr>
      </w:pPr>
      <w:r w:rsidRPr="006F65F9">
        <w:rPr>
          <w:rFonts w:ascii="Arial" w:eastAsia="Times New Roman" w:hAnsi="Arial" w:cs="Arial"/>
        </w:rPr>
        <w:t>Ponadto nadmieniamy, że informacje znajdujące się w sklepach internetowych dotyczące możliwości zakupu produktów oryginalnych w/w asortymentu nie znajdują potwierdzenia przy próbach złożenia zamówienia.</w:t>
      </w:r>
    </w:p>
    <w:p w14:paraId="5958BE93" w14:textId="77777777" w:rsidR="006F65F9" w:rsidRPr="006F65F9" w:rsidRDefault="006F65F9" w:rsidP="006F65F9">
      <w:pPr>
        <w:spacing w:after="0" w:line="271" w:lineRule="auto"/>
        <w:jc w:val="both"/>
        <w:rPr>
          <w:rFonts w:ascii="Arial" w:eastAsia="Times New Roman" w:hAnsi="Arial" w:cs="Arial"/>
        </w:rPr>
      </w:pPr>
      <w:r w:rsidRPr="006F65F9">
        <w:rPr>
          <w:rFonts w:ascii="Arial" w:eastAsia="Times New Roman" w:hAnsi="Arial" w:cs="Arial"/>
        </w:rPr>
        <w:t>W związku z powyższym wnosimy o wykreślenie tej pozycji lub w przypadku żądania wyceny w tej pozycji materiałów w wersji równoważnej ograniczenie wymaganych dokumentów do dokumentów potwierdzających równoważność np. karty katalogowe, specyfikacje techniczne wystawione przez producenta.</w:t>
      </w:r>
    </w:p>
    <w:p w14:paraId="3C93F7A7" w14:textId="77777777" w:rsidR="006F65F9" w:rsidRPr="006F65F9" w:rsidRDefault="006F65F9" w:rsidP="006F65F9">
      <w:pPr>
        <w:spacing w:after="0" w:line="271" w:lineRule="auto"/>
        <w:jc w:val="both"/>
        <w:rPr>
          <w:rFonts w:ascii="Arial" w:eastAsia="Times New Roman" w:hAnsi="Arial" w:cs="Arial"/>
        </w:rPr>
      </w:pPr>
      <w:r w:rsidRPr="006F65F9">
        <w:rPr>
          <w:rFonts w:ascii="Arial" w:eastAsia="Times New Roman" w:hAnsi="Arial" w:cs="Arial"/>
        </w:rPr>
        <w:t>Powyższy wniosek podyktowany jest faktem braku dostępu do nowych w pełni sprawnych w/w drukarek, na których można by było przeprowadzić, zgodnie z przywołanymi przez Zamawiającego, testy wydajności.</w:t>
      </w:r>
    </w:p>
    <w:p w14:paraId="6BA7E587" w14:textId="13908AE0" w:rsidR="006F65F9" w:rsidRPr="006F65F9" w:rsidRDefault="006F65F9" w:rsidP="006F65F9">
      <w:pPr>
        <w:spacing w:after="0" w:line="271" w:lineRule="auto"/>
        <w:jc w:val="both"/>
        <w:rPr>
          <w:rFonts w:ascii="Arial" w:eastAsia="Times New Roman" w:hAnsi="Arial" w:cs="Arial"/>
        </w:rPr>
      </w:pPr>
      <w:r w:rsidRPr="006F65F9">
        <w:rPr>
          <w:rFonts w:ascii="Arial" w:eastAsia="Times New Roman" w:hAnsi="Arial" w:cs="Arial"/>
        </w:rPr>
        <w:t>Bardzo prosimy o uwzględnienie tej informacji w celu prawidłowego przygotowania ważnej oferty i w konsekwencji zawarcia ważnej umowy, pozwalającej uniknąć problemów z realizacją.</w:t>
      </w:r>
    </w:p>
    <w:p w14:paraId="31A8FBC3" w14:textId="77777777" w:rsidR="006F65F9" w:rsidRDefault="006F65F9" w:rsidP="006F65F9">
      <w:pPr>
        <w:spacing w:after="0" w:line="271" w:lineRule="auto"/>
        <w:jc w:val="both"/>
        <w:rPr>
          <w:rFonts w:ascii="Arial" w:eastAsia="Times New Roman" w:hAnsi="Arial" w:cs="Arial"/>
        </w:rPr>
      </w:pPr>
    </w:p>
    <w:p w14:paraId="38EE7428" w14:textId="0FDD2389" w:rsidR="006F65F9" w:rsidRPr="006F65F9" w:rsidRDefault="006F65F9" w:rsidP="006F65F9">
      <w:pPr>
        <w:spacing w:after="0" w:line="271" w:lineRule="auto"/>
        <w:jc w:val="both"/>
        <w:rPr>
          <w:rFonts w:ascii="Arial" w:eastAsia="Times New Roman" w:hAnsi="Arial" w:cs="Arial"/>
          <w:b/>
          <w:bCs/>
        </w:rPr>
      </w:pPr>
      <w:r w:rsidRPr="006F65F9">
        <w:rPr>
          <w:rFonts w:ascii="Arial" w:eastAsia="Times New Roman" w:hAnsi="Arial" w:cs="Arial"/>
          <w:b/>
          <w:bCs/>
        </w:rPr>
        <w:t>Odpowiedź:</w:t>
      </w:r>
    </w:p>
    <w:p w14:paraId="2D2F6FB4" w14:textId="7B271E03" w:rsidR="006F65F9" w:rsidRPr="006F65F9" w:rsidRDefault="006F65F9" w:rsidP="006F65F9">
      <w:pPr>
        <w:spacing w:after="0" w:line="271" w:lineRule="auto"/>
        <w:jc w:val="both"/>
        <w:rPr>
          <w:rFonts w:ascii="Arial" w:eastAsia="Times New Roman" w:hAnsi="Arial" w:cs="Arial"/>
        </w:rPr>
      </w:pPr>
      <w:r w:rsidRPr="006F65F9">
        <w:rPr>
          <w:rFonts w:ascii="Arial" w:eastAsia="Times New Roman" w:hAnsi="Arial" w:cs="Arial"/>
        </w:rPr>
        <w:t>W pozycji nr 13 w związku z tym</w:t>
      </w:r>
      <w:r w:rsidR="008D0698">
        <w:rPr>
          <w:rFonts w:ascii="Arial" w:eastAsia="Times New Roman" w:hAnsi="Arial" w:cs="Arial"/>
        </w:rPr>
        <w:t>,</w:t>
      </w:r>
      <w:r w:rsidRPr="006F65F9">
        <w:rPr>
          <w:rFonts w:ascii="Arial" w:eastAsia="Times New Roman" w:hAnsi="Arial" w:cs="Arial"/>
        </w:rPr>
        <w:t xml:space="preserve"> że tonery o symbolu 1279001 do drukarek OKI B710 i B730 zostały wycofane z produkcji i nie są już dostępne, zamawiający dopuszcza wyceny </w:t>
      </w:r>
      <w:r w:rsidRPr="006F65F9">
        <w:rPr>
          <w:rFonts w:ascii="Arial" w:eastAsia="Times New Roman" w:hAnsi="Arial" w:cs="Arial"/>
        </w:rPr>
        <w:lastRenderedPageBreak/>
        <w:t>materiałów w wersji równoważnej ograniczenie wymaganych dokumentów do dokumentów potwierdzających równoważność np. karty katalogowe, specyfikacje techniczne wystawione przez producenta</w:t>
      </w:r>
      <w:r>
        <w:rPr>
          <w:rFonts w:ascii="Arial" w:eastAsia="Times New Roman" w:hAnsi="Arial" w:cs="Arial"/>
        </w:rPr>
        <w:t>.</w:t>
      </w:r>
    </w:p>
    <w:p w14:paraId="07763EF9" w14:textId="77777777" w:rsidR="006F65F9" w:rsidRPr="006F65F9" w:rsidRDefault="006F65F9" w:rsidP="006F65F9">
      <w:pPr>
        <w:spacing w:after="0" w:line="271" w:lineRule="auto"/>
        <w:ind w:left="4248" w:firstLine="708"/>
        <w:jc w:val="both"/>
        <w:rPr>
          <w:rFonts w:ascii="Arial" w:eastAsia="Times New Roman" w:hAnsi="Arial" w:cs="Arial"/>
        </w:rPr>
      </w:pPr>
    </w:p>
    <w:p w14:paraId="5233C9F4" w14:textId="77777777" w:rsidR="006F65F9" w:rsidRPr="006F65F9" w:rsidRDefault="006F65F9" w:rsidP="006F65F9">
      <w:pPr>
        <w:spacing w:after="0" w:line="271" w:lineRule="auto"/>
        <w:ind w:left="4248" w:firstLine="708"/>
        <w:jc w:val="both"/>
        <w:rPr>
          <w:rFonts w:ascii="Arial" w:eastAsia="Times New Roman" w:hAnsi="Arial" w:cs="Arial"/>
        </w:rPr>
      </w:pPr>
    </w:p>
    <w:p w14:paraId="0F07B16B" w14:textId="77777777" w:rsidR="006F65F9" w:rsidRPr="006F65F9" w:rsidRDefault="006F65F9" w:rsidP="006F65F9">
      <w:pPr>
        <w:spacing w:after="0" w:line="271" w:lineRule="auto"/>
        <w:ind w:left="4248" w:firstLine="708"/>
        <w:jc w:val="both"/>
        <w:rPr>
          <w:rFonts w:ascii="Arial" w:eastAsia="Times New Roman" w:hAnsi="Arial" w:cs="Arial"/>
        </w:rPr>
      </w:pPr>
    </w:p>
    <w:p w14:paraId="6A7C5D5C" w14:textId="653BB9C5" w:rsidR="00CB7E30" w:rsidRPr="006F65F9" w:rsidRDefault="00CB7E30" w:rsidP="006F65F9">
      <w:pPr>
        <w:spacing w:after="0" w:line="271" w:lineRule="auto"/>
        <w:ind w:left="4248" w:firstLine="708"/>
        <w:jc w:val="both"/>
        <w:rPr>
          <w:rFonts w:ascii="Arial" w:eastAsia="Times New Roman" w:hAnsi="Arial" w:cs="Arial"/>
        </w:rPr>
      </w:pPr>
      <w:r w:rsidRPr="006F65F9">
        <w:rPr>
          <w:rFonts w:ascii="Arial" w:eastAsia="Times New Roman" w:hAnsi="Arial" w:cs="Arial"/>
        </w:rPr>
        <w:t>…………………………………….</w:t>
      </w:r>
    </w:p>
    <w:p w14:paraId="40167926" w14:textId="4892C794" w:rsidR="00CB7E30" w:rsidRPr="006F65F9" w:rsidRDefault="00CB7E30" w:rsidP="006F65F9">
      <w:pPr>
        <w:spacing w:after="0" w:line="271" w:lineRule="auto"/>
        <w:ind w:left="4956"/>
        <w:jc w:val="both"/>
        <w:rPr>
          <w:rFonts w:ascii="Arial" w:eastAsia="Times New Roman" w:hAnsi="Arial" w:cs="Arial"/>
        </w:rPr>
      </w:pPr>
      <w:r w:rsidRPr="006F65F9">
        <w:rPr>
          <w:rFonts w:ascii="Arial" w:eastAsia="Times New Roman" w:hAnsi="Arial" w:cs="Arial"/>
        </w:rPr>
        <w:t>Kierownik zamawiającego lub osoba upoważniona do podejmowania czynności w jego imieniu</w:t>
      </w:r>
    </w:p>
    <w:p w14:paraId="41FF5334" w14:textId="77777777" w:rsidR="00B70DDD" w:rsidRPr="006F65F9" w:rsidRDefault="00B70DDD" w:rsidP="006F65F9">
      <w:pPr>
        <w:spacing w:after="0" w:line="271" w:lineRule="auto"/>
        <w:ind w:left="4956"/>
        <w:jc w:val="both"/>
        <w:rPr>
          <w:rFonts w:ascii="Arial" w:eastAsia="Times New Roman" w:hAnsi="Arial" w:cs="Arial"/>
        </w:rPr>
      </w:pPr>
    </w:p>
    <w:sectPr w:rsidR="00B70DDD" w:rsidRPr="006F65F9" w:rsidSect="00A0329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0709536">
    <w:abstractNumId w:val="1"/>
  </w:num>
  <w:num w:numId="2" w16cid:durableId="1325742573">
    <w:abstractNumId w:val="0"/>
  </w:num>
  <w:num w:numId="3" w16cid:durableId="645474471">
    <w:abstractNumId w:val="4"/>
  </w:num>
  <w:num w:numId="4" w16cid:durableId="705251598">
    <w:abstractNumId w:val="3"/>
  </w:num>
  <w:num w:numId="5" w16cid:durableId="563107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213634"/>
    <w:rsid w:val="00332436"/>
    <w:rsid w:val="004B4C39"/>
    <w:rsid w:val="005D4B76"/>
    <w:rsid w:val="005D4C04"/>
    <w:rsid w:val="00635B42"/>
    <w:rsid w:val="00652394"/>
    <w:rsid w:val="006F65F9"/>
    <w:rsid w:val="00746E87"/>
    <w:rsid w:val="00751E92"/>
    <w:rsid w:val="00820B53"/>
    <w:rsid w:val="008D0698"/>
    <w:rsid w:val="00A03296"/>
    <w:rsid w:val="00AD543C"/>
    <w:rsid w:val="00B70DDD"/>
    <w:rsid w:val="00C723E3"/>
    <w:rsid w:val="00CB7E30"/>
    <w:rsid w:val="00D50C3A"/>
    <w:rsid w:val="00D777A8"/>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character" w:customStyle="1" w:styleId="Teksttreci">
    <w:name w:val="Tekst treści_"/>
    <w:basedOn w:val="Domylnaczcionkaakapitu"/>
    <w:link w:val="Teksttreci0"/>
    <w:rsid w:val="006F65F9"/>
    <w:rPr>
      <w:rFonts w:ascii="Times New Roman" w:eastAsia="Times New Roman" w:hAnsi="Times New Roman" w:cs="Times New Roman"/>
      <w:sz w:val="20"/>
      <w:szCs w:val="20"/>
    </w:rPr>
  </w:style>
  <w:style w:type="paragraph" w:customStyle="1" w:styleId="Teksttreci0">
    <w:name w:val="Tekst treści"/>
    <w:basedOn w:val="Normalny"/>
    <w:link w:val="Teksttreci"/>
    <w:rsid w:val="006F65F9"/>
    <w:pPr>
      <w:widowControl w:val="0"/>
      <w:spacing w:after="24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469903835">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1398</Words>
  <Characters>8391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S.Perzanowska</cp:lastModifiedBy>
  <cp:revision>5</cp:revision>
  <cp:lastPrinted>2023-11-08T13:22:00Z</cp:lastPrinted>
  <dcterms:created xsi:type="dcterms:W3CDTF">2023-11-28T07:34:00Z</dcterms:created>
  <dcterms:modified xsi:type="dcterms:W3CDTF">2023-11-28T07:38:00Z</dcterms:modified>
</cp:coreProperties>
</file>