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5612" w14:textId="77777777" w:rsidR="00CA1EA6" w:rsidRPr="002461F4" w:rsidRDefault="003D2384" w:rsidP="002D2C35">
      <w:pPr>
        <w:spacing w:before="120" w:after="120" w:line="240" w:lineRule="auto"/>
        <w:rPr>
          <w:rFonts w:cs="Arial"/>
          <w:b/>
        </w:rPr>
      </w:pPr>
      <w:r>
        <w:rPr>
          <w:rFonts w:cs="Arial"/>
          <w:b/>
        </w:rPr>
        <w:t>Zał. 1</w:t>
      </w:r>
      <w:r w:rsidR="00992DE8">
        <w:rPr>
          <w:rFonts w:cs="Arial"/>
          <w:b/>
        </w:rPr>
        <w:t>A-</w:t>
      </w:r>
      <w:r w:rsidR="00B432EB">
        <w:rPr>
          <w:rFonts w:cs="Arial"/>
          <w:b/>
        </w:rPr>
        <w:t>4</w:t>
      </w:r>
      <w:r w:rsidR="00CA1EA6" w:rsidRPr="002461F4">
        <w:rPr>
          <w:rFonts w:cs="Arial"/>
          <w:b/>
        </w:rPr>
        <w:t xml:space="preserve"> do SWZ</w:t>
      </w:r>
    </w:p>
    <w:p w14:paraId="2EF5DE89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</w:p>
    <w:p w14:paraId="2966FA20" w14:textId="77777777" w:rsidR="00461F75" w:rsidRPr="001B274D" w:rsidRDefault="00F966C9" w:rsidP="00E60466">
      <w:pPr>
        <w:spacing w:before="360" w:after="120" w:line="240" w:lineRule="auto"/>
        <w:jc w:val="center"/>
        <w:rPr>
          <w:rFonts w:cs="Arial"/>
          <w:b/>
          <w:bCs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B432EB">
        <w:rPr>
          <w:rFonts w:cs="Arial"/>
          <w:b/>
        </w:rPr>
        <w:t>4</w:t>
      </w:r>
      <w:r w:rsidR="00461F75" w:rsidRPr="002461F4">
        <w:rPr>
          <w:rFonts w:cs="Arial"/>
          <w:b/>
        </w:rPr>
        <w:t xml:space="preserve"> –</w:t>
      </w:r>
      <w:r w:rsidR="006B5808">
        <w:rPr>
          <w:rFonts w:cs="Arial"/>
          <w:b/>
        </w:rPr>
        <w:t xml:space="preserve"> </w:t>
      </w:r>
      <w:r w:rsidR="00B7294A">
        <w:rPr>
          <w:rFonts w:cs="Arial"/>
          <w:b/>
        </w:rPr>
        <w:t>System ogrzewania pacjenta podczas zabiegu</w:t>
      </w:r>
      <w:r w:rsidR="001B274D">
        <w:rPr>
          <w:rFonts w:cs="Calibri"/>
          <w:b/>
          <w:bCs/>
        </w:rPr>
        <w:t xml:space="preserve"> </w:t>
      </w:r>
    </w:p>
    <w:p w14:paraId="6E96549F" w14:textId="77777777" w:rsidR="00992DE8" w:rsidRDefault="00992DE8" w:rsidP="00992DE8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bookmarkStart w:id="0" w:name="_Hlk165977674"/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„Zakup </w:t>
      </w:r>
      <w:r>
        <w:rPr>
          <w:rFonts w:cs="Tahoma"/>
          <w:b/>
          <w:bCs/>
          <w:color w:val="0000FF"/>
          <w:kern w:val="32"/>
          <w:lang w:eastAsia="pl-PL"/>
        </w:rPr>
        <w:t>sprzętu medycznego</w:t>
      </w:r>
      <w:r w:rsidR="00F34E86">
        <w:rPr>
          <w:rFonts w:cs="Tahoma"/>
          <w:b/>
          <w:bCs/>
          <w:color w:val="0000FF"/>
          <w:kern w:val="32"/>
          <w:lang w:eastAsia="pl-PL"/>
        </w:rPr>
        <w:t>, łóżek</w:t>
      </w:r>
      <w:r>
        <w:rPr>
          <w:rFonts w:cs="Tahoma"/>
          <w:b/>
          <w:bCs/>
          <w:color w:val="0000FF"/>
          <w:kern w:val="32"/>
          <w:lang w:eastAsia="pl-PL"/>
        </w:rPr>
        <w:t xml:space="preserve"> i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wyposażeni</w:t>
      </w:r>
      <w:r>
        <w:rPr>
          <w:rFonts w:cs="Tahoma"/>
          <w:b/>
          <w:bCs/>
          <w:color w:val="0000FF"/>
          <w:kern w:val="32"/>
          <w:lang w:eastAsia="pl-PL"/>
        </w:rPr>
        <w:t>a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</w:t>
      </w:r>
      <w:r w:rsidR="00935C64">
        <w:rPr>
          <w:rFonts w:cs="Tahoma"/>
          <w:b/>
          <w:bCs/>
          <w:color w:val="0000FF"/>
          <w:kern w:val="32"/>
          <w:lang w:eastAsia="pl-PL"/>
        </w:rPr>
        <w:t xml:space="preserve">dla </w:t>
      </w:r>
      <w:r w:rsidR="006847B5">
        <w:rPr>
          <w:rFonts w:cs="Tahoma"/>
          <w:b/>
          <w:bCs/>
          <w:color w:val="0000FF"/>
          <w:kern w:val="32"/>
          <w:lang w:eastAsia="pl-PL"/>
        </w:rPr>
        <w:t>SOR Szpitala Powiatowego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 Nowym Tomyślu</w:t>
      </w:r>
      <w:r>
        <w:rPr>
          <w:rFonts w:cs="Tahoma"/>
          <w:b/>
          <w:bCs/>
          <w:color w:val="0000FF"/>
          <w:kern w:val="32"/>
          <w:lang w:eastAsia="pl-PL"/>
        </w:rPr>
        <w:t>”</w:t>
      </w:r>
    </w:p>
    <w:p w14:paraId="18393E0B" w14:textId="77777777" w:rsidR="00992DE8" w:rsidRPr="00A964CB" w:rsidRDefault="00992DE8" w:rsidP="00992DE8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</w:t>
      </w:r>
      <w:r w:rsidRPr="00A964CB">
        <w:rPr>
          <w:rFonts w:eastAsia="Arial Unicode MS" w:cs="Arial"/>
          <w:b/>
          <w:bCs/>
          <w:color w:val="0000FF"/>
          <w:lang w:eastAsia="pl-PL"/>
        </w:rPr>
        <w:t xml:space="preserve"> postępowania:</w:t>
      </w:r>
      <w:r>
        <w:rPr>
          <w:rFonts w:eastAsia="Arial Unicode MS" w:cs="Arial"/>
          <w:b/>
          <w:bCs/>
          <w:color w:val="0000FF"/>
          <w:lang w:eastAsia="pl-PL"/>
        </w:rPr>
        <w:t xml:space="preserve"> </w:t>
      </w:r>
      <w:r w:rsidRPr="00A964CB">
        <w:rPr>
          <w:rFonts w:eastAsia="Arial Unicode MS" w:cs="Arial"/>
          <w:b/>
          <w:bCs/>
          <w:color w:val="0000FF"/>
          <w:lang w:eastAsia="pl-PL"/>
        </w:rPr>
        <w:t>SPZOZ.DZP.241.</w:t>
      </w:r>
      <w:r w:rsidR="00432D91">
        <w:rPr>
          <w:rFonts w:eastAsia="Arial Unicode MS" w:cs="Arial"/>
          <w:b/>
          <w:bCs/>
          <w:color w:val="0000FF"/>
          <w:lang w:eastAsia="pl-PL"/>
        </w:rPr>
        <w:t>1</w:t>
      </w:r>
      <w:r w:rsidRPr="00A964CB">
        <w:rPr>
          <w:rFonts w:eastAsia="Arial Unicode MS" w:cs="Arial"/>
          <w:b/>
          <w:bCs/>
          <w:color w:val="0000FF"/>
          <w:lang w:eastAsia="pl-PL"/>
        </w:rPr>
        <w:t>0.2</w:t>
      </w:r>
      <w:r w:rsidR="006B5808">
        <w:rPr>
          <w:rFonts w:eastAsia="Arial Unicode MS" w:cs="Arial"/>
          <w:b/>
          <w:bCs/>
          <w:color w:val="0000FF"/>
          <w:lang w:eastAsia="pl-PL"/>
        </w:rPr>
        <w:t>4</w:t>
      </w:r>
    </w:p>
    <w:p w14:paraId="670DDD39" w14:textId="77777777" w:rsidR="006B5808" w:rsidRDefault="006B5808" w:rsidP="006B5808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19ECBA83" w14:textId="77777777" w:rsidR="006B5808" w:rsidRDefault="006B5808" w:rsidP="006B5808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29BBEF29" w14:textId="77777777" w:rsidR="006B5808" w:rsidRDefault="006B5808" w:rsidP="006B5808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29D2BAE2" w14:textId="77777777" w:rsidR="006B5808" w:rsidRPr="006B5808" w:rsidRDefault="006B5808" w:rsidP="006B5808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</w:p>
    <w:bookmarkEnd w:id="0"/>
    <w:p w14:paraId="1458326B" w14:textId="77777777" w:rsidR="009B2226" w:rsidRPr="003D2384" w:rsidRDefault="00695174" w:rsidP="00432D91">
      <w:pPr>
        <w:spacing w:before="360" w:after="0" w:line="240" w:lineRule="auto"/>
        <w:jc w:val="both"/>
        <w:rPr>
          <w:rFonts w:cs="Arial"/>
          <w:bCs/>
          <w:iCs/>
        </w:rPr>
      </w:pPr>
      <w:r w:rsidRPr="003D2384">
        <w:rPr>
          <w:rFonts w:cs="Arial"/>
          <w:bCs/>
          <w:iCs/>
        </w:rPr>
        <w:t xml:space="preserve">Przedmiotem  zamówienia jest </w:t>
      </w:r>
      <w:r w:rsidR="00D95E51" w:rsidRPr="003D2384">
        <w:rPr>
          <w:rFonts w:cs="Arial"/>
          <w:bCs/>
          <w:iCs/>
        </w:rPr>
        <w:t xml:space="preserve">dostawa </w:t>
      </w:r>
      <w:r w:rsidR="00B7294A">
        <w:rPr>
          <w:rFonts w:cs="Arial"/>
          <w:bCs/>
          <w:iCs/>
        </w:rPr>
        <w:t>Systemu ogrzewania pacjenta podczas zabiegu</w:t>
      </w:r>
      <w:r w:rsidR="00F966C9" w:rsidRPr="003D2384">
        <w:rPr>
          <w:rFonts w:cs="Arial"/>
          <w:bCs/>
          <w:iCs/>
        </w:rPr>
        <w:t>.</w:t>
      </w:r>
      <w:r w:rsidR="007E5653" w:rsidRPr="003D2384">
        <w:rPr>
          <w:rFonts w:cs="Arial"/>
          <w:bCs/>
          <w:iCs/>
        </w:rPr>
        <w:t xml:space="preserve"> </w:t>
      </w:r>
      <w:r w:rsidR="00AF7925" w:rsidRPr="003D2384">
        <w:rPr>
          <w:rFonts w:cs="Arial"/>
        </w:rPr>
        <w:t xml:space="preserve">Oferowany </w:t>
      </w:r>
      <w:r w:rsidR="002830D2" w:rsidRPr="003D2384">
        <w:rPr>
          <w:rFonts w:cs="Arial"/>
        </w:rPr>
        <w:t>sprzęt medyczny  musi być zgodn</w:t>
      </w:r>
      <w:r w:rsidR="00AF7925" w:rsidRPr="003D2384">
        <w:rPr>
          <w:rFonts w:cs="Arial"/>
        </w:rPr>
        <w:t>y</w:t>
      </w:r>
      <w:r w:rsidR="002830D2" w:rsidRPr="003D2384">
        <w:rPr>
          <w:rFonts w:cs="Arial"/>
        </w:rPr>
        <w:t xml:space="preserve"> z Dyrektywą 93/42 /EEC</w:t>
      </w:r>
      <w:r w:rsidR="00AF7925" w:rsidRPr="003D2384">
        <w:rPr>
          <w:rFonts w:cs="Arial"/>
        </w:rPr>
        <w:t xml:space="preserve"> oraz</w:t>
      </w:r>
      <w:r w:rsidR="00592FFC" w:rsidRPr="003D2384">
        <w:rPr>
          <w:rFonts w:cs="Arial"/>
          <w:bCs/>
        </w:rPr>
        <w:t xml:space="preserve"> musi spełniać wymagania określone w Ustaw</w:t>
      </w:r>
      <w:r w:rsidR="00F966C9" w:rsidRPr="003D2384">
        <w:rPr>
          <w:rFonts w:cs="Arial"/>
          <w:bCs/>
        </w:rPr>
        <w:t>ie</w:t>
      </w:r>
      <w:r w:rsidR="00592FFC" w:rsidRPr="003D2384">
        <w:rPr>
          <w:rFonts w:cs="Arial"/>
          <w:bCs/>
        </w:rPr>
        <w:t xml:space="preserve"> o wyrobach medycznych </w:t>
      </w:r>
      <w:r w:rsidR="003324C4" w:rsidRPr="003D2384">
        <w:rPr>
          <w:rFonts w:cs="Arial"/>
          <w:bCs/>
        </w:rPr>
        <w:t xml:space="preserve">z dnia </w:t>
      </w:r>
      <w:r w:rsidR="003D2384" w:rsidRPr="003D2384">
        <w:rPr>
          <w:rFonts w:cs="Arial"/>
          <w:bCs/>
        </w:rPr>
        <w:t>7 kwietnia 2022 r. (DZ.U. z 2022 poz. 974 ze zm).</w:t>
      </w:r>
      <w:r w:rsidR="003D2384" w:rsidRPr="003D2384">
        <w:rPr>
          <w:rFonts w:cs="Arial"/>
          <w:bCs/>
          <w:iCs/>
        </w:rPr>
        <w:t xml:space="preserve"> Zamawiający wymaga by oferowany sprzęt medyczny był </w:t>
      </w:r>
      <w:r w:rsidR="003D2384" w:rsidRPr="003D2384">
        <w:rPr>
          <w:rFonts w:cs="Arial"/>
          <w:b/>
          <w:iCs/>
        </w:rPr>
        <w:t>fabrycznie nowy, nie eksploatowany,  rok produkcji:  nie wcześniej niż 202</w:t>
      </w:r>
      <w:r w:rsidR="00C073DF">
        <w:rPr>
          <w:rFonts w:cs="Arial"/>
          <w:b/>
          <w:iCs/>
        </w:rPr>
        <w:t>4</w:t>
      </w:r>
      <w:r w:rsidR="003D2384" w:rsidRPr="003D2384">
        <w:rPr>
          <w:rFonts w:cs="Arial"/>
          <w:bCs/>
          <w:iCs/>
        </w:rPr>
        <w:t xml:space="preserve"> r.</w:t>
      </w:r>
    </w:p>
    <w:p w14:paraId="1692DCD5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1B2EA66E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67B395A3" w14:textId="77777777" w:rsidR="00B7294A" w:rsidRPr="00B7294A" w:rsidRDefault="00B7294A" w:rsidP="00B7294A">
      <w:pPr>
        <w:spacing w:after="0" w:line="240" w:lineRule="auto"/>
        <w:ind w:firstLine="360"/>
        <w:jc w:val="both"/>
        <w:rPr>
          <w:rFonts w:cs="Tahoma"/>
          <w:bCs/>
        </w:rPr>
      </w:pPr>
      <w:r w:rsidRPr="00B7294A">
        <w:rPr>
          <w:rFonts w:cs="Tahoma"/>
          <w:bCs/>
        </w:rPr>
        <w:t xml:space="preserve">33100000-1  Urządzenia medyczne, </w:t>
      </w:r>
    </w:p>
    <w:p w14:paraId="6F807996" w14:textId="77777777" w:rsidR="00B7294A" w:rsidRPr="00B7294A" w:rsidRDefault="00B7294A" w:rsidP="00B7294A">
      <w:pPr>
        <w:spacing w:after="0" w:line="240" w:lineRule="auto"/>
        <w:ind w:firstLine="360"/>
        <w:jc w:val="both"/>
        <w:rPr>
          <w:rFonts w:cs="Tahoma"/>
          <w:bCs/>
        </w:rPr>
      </w:pPr>
      <w:r w:rsidRPr="00B7294A">
        <w:rPr>
          <w:rFonts w:cs="Tahoma"/>
          <w:bCs/>
        </w:rPr>
        <w:t xml:space="preserve">  33190000-8 Różne urządzenia i produkty medyczne </w:t>
      </w:r>
    </w:p>
    <w:p w14:paraId="2EC5547F" w14:textId="77777777" w:rsidR="00AA66CC" w:rsidRPr="009769D9" w:rsidRDefault="00B7294A" w:rsidP="00B7294A">
      <w:pPr>
        <w:spacing w:after="0" w:line="240" w:lineRule="auto"/>
        <w:ind w:firstLine="360"/>
        <w:jc w:val="both"/>
        <w:rPr>
          <w:rFonts w:cs="Tahoma"/>
          <w:bCs/>
          <w:color w:val="FF0000"/>
          <w:sz w:val="20"/>
          <w:szCs w:val="20"/>
        </w:rPr>
      </w:pPr>
      <w:r w:rsidRPr="00B7294A">
        <w:rPr>
          <w:rFonts w:cs="Tahoma"/>
          <w:bCs/>
        </w:rPr>
        <w:t xml:space="preserve">       33162100-4 Urządzenia używane na salach operacyjnych</w:t>
      </w:r>
    </w:p>
    <w:p w14:paraId="63476048" w14:textId="77777777" w:rsidR="007E5653" w:rsidRPr="00592FFC" w:rsidRDefault="007E5653" w:rsidP="00432D91">
      <w:pPr>
        <w:spacing w:before="120" w:after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</w:t>
      </w:r>
      <w:r w:rsidRPr="002D74E5">
        <w:rPr>
          <w:b/>
          <w:sz w:val="20"/>
          <w:szCs w:val="20"/>
        </w:rPr>
        <w:t>1</w:t>
      </w:r>
      <w:r w:rsidR="00AE6AD1" w:rsidRPr="002D74E5">
        <w:rPr>
          <w:b/>
          <w:sz w:val="20"/>
          <w:szCs w:val="20"/>
        </w:rPr>
        <w:t>A-</w:t>
      </w:r>
      <w:r w:rsidR="00B432EB">
        <w:rPr>
          <w:b/>
          <w:sz w:val="20"/>
          <w:szCs w:val="20"/>
        </w:rPr>
        <w:t>4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44458352" w14:textId="77777777" w:rsidR="00037BA3" w:rsidRPr="002F11AC" w:rsidRDefault="00037BA3" w:rsidP="00BA30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39CBC079" w14:textId="77777777" w:rsidR="007E5653" w:rsidRPr="00592FFC" w:rsidRDefault="00037BA3" w:rsidP="00BA30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58A3BA12" w14:textId="77777777" w:rsidR="00CC186B" w:rsidRDefault="00062799" w:rsidP="00A00246">
      <w:pPr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620"/>
        <w:gridCol w:w="3661"/>
      </w:tblGrid>
      <w:tr w:rsidR="00F966C9" w:rsidRPr="00DC4DB4" w14:paraId="1A52A985" w14:textId="77777777" w:rsidTr="00E87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2635C2" w14:textId="77777777" w:rsidR="00F966C9" w:rsidRPr="00DC4DB4" w:rsidRDefault="000D4A10" w:rsidP="00F966C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E91891" w14:textId="77777777" w:rsidR="00F966C9" w:rsidRPr="00DC4DB4" w:rsidRDefault="000D4A10" w:rsidP="00F966C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eastAsia="Tahoma" w:cs="Arial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6011ED" w14:textId="77777777" w:rsidR="00F966C9" w:rsidRPr="00DC4DB4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C4DB4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9C5AC2" w14:textId="77777777" w:rsidR="00F966C9" w:rsidRPr="00DC4DB4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0920F8" w:rsidRPr="00DC4DB4" w14:paraId="4D78EA15" w14:textId="77777777" w:rsidTr="00E87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03E17CC" w14:textId="77777777" w:rsidR="000920F8" w:rsidRPr="000920F8" w:rsidRDefault="000920F8" w:rsidP="001F18D1">
            <w:pPr>
              <w:pStyle w:val="ListParagraph"/>
              <w:tabs>
                <w:tab w:val="num" w:pos="360"/>
              </w:tabs>
              <w:ind w:left="36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23EE10" w14:textId="77777777" w:rsidR="000920F8" w:rsidRPr="00432D91" w:rsidRDefault="00B7294A" w:rsidP="000920F8">
            <w:pPr>
              <w:spacing w:after="0" w:line="240" w:lineRule="auto"/>
            </w:pPr>
            <w:r w:rsidRPr="00B7294A">
              <w:rPr>
                <w:b/>
              </w:rPr>
              <w:t>System ogrzewania pacjenta podczas zabiegu</w:t>
            </w:r>
            <w:r w:rsidRPr="00B7294A">
              <w:rPr>
                <w:rStyle w:val="Domylnaczcionkaakapitu1"/>
                <w:b/>
              </w:rPr>
              <w:t xml:space="preserve"> </w:t>
            </w:r>
            <w:r w:rsidR="00E87D0A" w:rsidRPr="009914B3">
              <w:rPr>
                <w:rStyle w:val="Domylnaczcionkaakapitu1"/>
                <w:rFonts w:cs="Calibri"/>
                <w:b/>
                <w:bCs/>
              </w:rPr>
              <w:t xml:space="preserve">(1 </w:t>
            </w:r>
            <w:r>
              <w:rPr>
                <w:rStyle w:val="Domylnaczcionkaakapitu1"/>
                <w:rFonts w:cs="Calibri"/>
                <w:b/>
                <w:bCs/>
              </w:rPr>
              <w:t>kpl</w:t>
            </w:r>
            <w:r w:rsidR="00E87D0A" w:rsidRPr="009914B3">
              <w:rPr>
                <w:rStyle w:val="Domylnaczcionkaakapitu1"/>
                <w:rFonts w:cs="Calibri"/>
                <w:b/>
                <w:bCs/>
              </w:rPr>
              <w:t>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270A685" w14:textId="77777777" w:rsidR="000920F8" w:rsidRPr="00432D91" w:rsidRDefault="00B7294A" w:rsidP="00432D91">
            <w:pPr>
              <w:spacing w:after="0" w:line="240" w:lineRule="auto"/>
              <w:ind w:right="-84"/>
              <w:rPr>
                <w:rFonts w:cs="Calibri"/>
                <w:b/>
                <w:sz w:val="18"/>
                <w:szCs w:val="18"/>
              </w:rPr>
            </w:pPr>
            <w:r w:rsidRPr="00432D91">
              <w:rPr>
                <w:sz w:val="18"/>
                <w:szCs w:val="18"/>
              </w:rPr>
              <w:t xml:space="preserve">Podać markę, model, producenta: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B0F378" w14:textId="77777777" w:rsidR="000920F8" w:rsidRPr="00DC4DB4" w:rsidRDefault="00B7294A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…………………..</w:t>
            </w:r>
          </w:p>
        </w:tc>
      </w:tr>
      <w:tr w:rsidR="001F18D1" w:rsidRPr="00DC4DB4" w14:paraId="7D5F2AB6" w14:textId="77777777" w:rsidTr="00AA41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8F6E7" w14:textId="77777777" w:rsidR="001F18D1" w:rsidRPr="00DC4DB4" w:rsidRDefault="001F18D1" w:rsidP="001F18D1">
            <w:pPr>
              <w:pStyle w:val="ListParagraph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r w:rsidRPr="00DC4DB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4DC7F" w14:textId="77777777" w:rsidR="001F18D1" w:rsidRPr="009914B3" w:rsidRDefault="001F18D1" w:rsidP="001F18D1">
            <w:pPr>
              <w:pStyle w:val="Normalny1"/>
              <w:rPr>
                <w:rFonts w:ascii="Calibri" w:hAnsi="Calibri" w:cs="Calibri"/>
                <w:b/>
              </w:rPr>
            </w:pPr>
            <w:r w:rsidRPr="009914B3">
              <w:rPr>
                <w:rFonts w:ascii="Calibri" w:hAnsi="Calibri" w:cs="Calibri"/>
                <w:b/>
              </w:rPr>
              <w:t>Parametry ogólne</w:t>
            </w:r>
            <w:r w:rsidR="00E87D0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EBF982" w14:textId="77777777" w:rsidR="001F18D1" w:rsidRPr="00DC4DB4" w:rsidRDefault="001F18D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CFD65A" w14:textId="77777777" w:rsidR="001F18D1" w:rsidRPr="00DC4DB4" w:rsidRDefault="001F18D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B7294A" w:rsidRPr="00DC4DB4" w14:paraId="3C70504A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7729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4139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System działający w technologii suchego grzania kontaktowego bez udziału wody lub powietrza oparty na technologii element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grzewczych wykonanych z elastycznych, polimer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węglowych.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12609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0AB2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B7294A" w:rsidRPr="00DC4DB4" w14:paraId="30FCA67D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0A03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FAD8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 xml:space="preserve">System wraz z odpowiednim elementem grzewczym przeznaczony do zastosowania u </w:t>
            </w:r>
            <w:r w:rsidRPr="00AA414E">
              <w:rPr>
                <w:rFonts w:cs="Calibri"/>
                <w:sz w:val="20"/>
                <w:szCs w:val="20"/>
              </w:rPr>
              <w:lastRenderedPageBreak/>
              <w:t>pacjent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neonatologicznych, pediatrycznych i dorosłych.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CFD92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8A05B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B7294A" w:rsidRPr="00DC4DB4" w14:paraId="77E791F5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BE4AC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7D76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System niewymagający materiałów jednorazowego użytku</w:t>
            </w:r>
            <w:r w:rsidR="00573E4F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 xml:space="preserve"> (system wielorazowego użytku)</w:t>
            </w: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160B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C9FB4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B7294A" w:rsidRPr="00DC4DB4" w14:paraId="6CB6C83C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4E7B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7C82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System złożony ze sterownika oraz element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grzewczych.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4710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27BA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B7294A" w:rsidRPr="00DC4DB4" w14:paraId="6B2EE1CB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9272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E194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System przystosowany do pracy ciągłej 24h/dobę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AD27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B8876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5E2342A7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1B2A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DBD3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System przetestowany zgodnie z obowiązującą normą dotyczącą kompatybilności elektromagnetycznej IEC / EN 60601-1-2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DEA8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B06E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08D525B9" w14:textId="77777777" w:rsidTr="00AA41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C0E094" w14:textId="77777777" w:rsidR="00B7294A" w:rsidRPr="00DC4DB4" w:rsidRDefault="00B7294A" w:rsidP="00B7294A">
            <w:pPr>
              <w:pStyle w:val="ListParagraph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4546C" w14:textId="77777777" w:rsidR="00B7294A" w:rsidRPr="00B7294A" w:rsidRDefault="00B7294A" w:rsidP="00B7294A">
            <w:pPr>
              <w:spacing w:after="0" w:line="240" w:lineRule="auto"/>
              <w:rPr>
                <w:b/>
                <w:bCs/>
              </w:rPr>
            </w:pPr>
            <w:r w:rsidRPr="00B7294A">
              <w:rPr>
                <w:b/>
                <w:bCs/>
              </w:rPr>
              <w:t>Sterownik/kontroler</w:t>
            </w:r>
            <w:r w:rsidR="0000757E">
              <w:rPr>
                <w:b/>
                <w:bCs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D79816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27090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5F34BC97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E2C6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CB73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Zasilanie sterownika 230V/50HZ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EEFD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558C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49ABD0E4" w14:textId="77777777" w:rsidTr="001E0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3D9CE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6B5C" w14:textId="77777777" w:rsidR="00573E4F" w:rsidRDefault="00573E4F" w:rsidP="00B7294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73E4F">
              <w:rPr>
                <w:rFonts w:cs="Calibri"/>
                <w:sz w:val="20"/>
                <w:szCs w:val="20"/>
                <w:lang w:val="en-US"/>
              </w:rPr>
              <w:t xml:space="preserve">Zasilanie bateryjne z możliwością pracy przez min. 1,5 godz. niezależnie od zasilania z sieci </w:t>
            </w:r>
          </w:p>
          <w:p w14:paraId="361E72C0" w14:textId="77777777" w:rsidR="00573E4F" w:rsidRDefault="00573E4F" w:rsidP="00B7294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492510C8" w14:textId="77777777" w:rsidR="00B7294A" w:rsidRPr="00A7527D" w:rsidRDefault="00B7294A" w:rsidP="00B7294A">
            <w:pPr>
              <w:spacing w:after="0" w:line="240" w:lineRule="auto"/>
              <w:rPr>
                <w:b/>
                <w:bCs/>
              </w:rPr>
            </w:pPr>
            <w:r w:rsidRPr="00A7527D">
              <w:rPr>
                <w:b/>
                <w:bCs/>
              </w:rPr>
              <w:t>Parametr punktowany:</w:t>
            </w:r>
          </w:p>
          <w:p w14:paraId="2E01AB1D" w14:textId="77777777" w:rsidR="00B7294A" w:rsidRPr="00B7294A" w:rsidRDefault="00B7294A" w:rsidP="00B7294A">
            <w:pPr>
              <w:spacing w:after="0" w:line="240" w:lineRule="auto"/>
              <w:rPr>
                <w:b/>
                <w:bCs/>
              </w:rPr>
            </w:pPr>
            <w:r w:rsidRPr="00B7294A">
              <w:rPr>
                <w:b/>
                <w:bCs/>
              </w:rPr>
              <w:t>Zasilanie bateryjne do 1 godz</w:t>
            </w:r>
            <w:r>
              <w:rPr>
                <w:b/>
                <w:bCs/>
              </w:rPr>
              <w:t>.</w:t>
            </w:r>
            <w:r w:rsidRPr="00B7294A">
              <w:rPr>
                <w:b/>
                <w:bCs/>
              </w:rPr>
              <w:t xml:space="preserve"> 50 min. niezależnie od zasilania z sieci – 0 pkt.</w:t>
            </w:r>
          </w:p>
          <w:p w14:paraId="110E44F0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294A">
              <w:rPr>
                <w:b/>
                <w:bCs/>
              </w:rPr>
              <w:t>Zasilanie bateryjne powyżej 1 godz. 50 min. niezależnie od zasilania z sieci – 10 pkt.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7703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A766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233E3258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996B0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D24D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 xml:space="preserve">Sterownik z możliwością podłączenia i niezależnego sterowania jednym lub dwoma elementami grzewczymi jednocześnie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B12E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0306B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03EF47EB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19A9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2B02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Dwa niezależne gniazda do przyłączenia element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grzewczych.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DB18F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9FE2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091FC6D6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B94C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518E" w14:textId="77777777" w:rsidR="00B7294A" w:rsidRPr="00573E4F" w:rsidRDefault="00573E4F" w:rsidP="00B729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73E4F">
              <w:rPr>
                <w:rFonts w:cs="Calibri"/>
                <w:bCs/>
                <w:sz w:val="20"/>
                <w:szCs w:val="20"/>
              </w:rPr>
              <w:t>Każdy kanał z osobną regulacją i kontrolą temperatury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9039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BA2A" w14:textId="77777777" w:rsidR="00B7294A" w:rsidRPr="00573E4F" w:rsidRDefault="00B7294A" w:rsidP="00B7294A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7294A" w:rsidRPr="00DC4DB4" w14:paraId="50B36CBE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B0AC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8169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Wyświetlacz cyfrowy pokazujący temperaturę zadaną (zaprogramowaną) i rzeczywistą (zmierzoną) dla każdego z kanałów niezależnie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28B90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D4E1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053BF54C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F9DED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4BF7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Wyświetlacz informujący o alarmach. Wyświetla odpowiedni kod alarmu w sytuacji alarmowej.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056B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A6AB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156CDA25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0BCB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6AE0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Sygnalizacja trybu pracy urządzenia (na wyświetlaczu lub w postaci wskaźnika)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DE14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382C7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79602973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CB8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290F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Regulacja temperatury w zakresie nie mniejszym niż 32-39ºC (podać zakres)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C29D3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436A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7294A" w:rsidRPr="00DC4DB4" w14:paraId="686B0DE4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08D9" w14:textId="77777777" w:rsidR="00B7294A" w:rsidRPr="00DC4DB4" w:rsidRDefault="00B7294A" w:rsidP="00B7294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7893" w14:textId="77777777" w:rsidR="00B7294A" w:rsidRPr="00AA414E" w:rsidRDefault="00B7294A" w:rsidP="00B72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 xml:space="preserve">Krok regulacji temperatury nie większy niż </w:t>
            </w:r>
            <w:r w:rsidRPr="00AA414E">
              <w:rPr>
                <w:rFonts w:cs="Calibri"/>
                <w:sz w:val="20"/>
                <w:szCs w:val="20"/>
                <w:lang w:val="ru-RU"/>
              </w:rPr>
              <w:t>0,5</w:t>
            </w:r>
            <w:r w:rsidRPr="00AA414E">
              <w:rPr>
                <w:rFonts w:cs="Calibri"/>
                <w:sz w:val="20"/>
                <w:szCs w:val="20"/>
              </w:rPr>
              <w:t>ºC w całym zakresie regulacji dla każdego z kanałów (podać krok regulacji).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701A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E60F9" w14:textId="77777777" w:rsidR="00B7294A" w:rsidRPr="00DC4DB4" w:rsidRDefault="00B7294A" w:rsidP="00B7294A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711F42C3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D112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994C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„Autotest” - automatyczne sprawdzanie poprawności działania kontrolki i alarm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przy każdym włączeniu urządzenia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2D8E5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8C54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720947F8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2148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BD77" w14:textId="77777777" w:rsidR="00AA414E" w:rsidRPr="00AA414E" w:rsidRDefault="00AA414E" w:rsidP="00AA414E">
            <w:pPr>
              <w:rPr>
                <w:rFonts w:eastAsia="Helvetica Neue"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Zabezpieczenia w postaci akustycznych i wizualnych alarm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(każdy z alarm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ma określony symbol i wyświetlany jest dla danego kanału, w kt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rym wystąpił błąd):</w:t>
            </w:r>
          </w:p>
          <w:p w14:paraId="0C4F772B" w14:textId="77777777" w:rsidR="00AA414E" w:rsidRPr="00AA414E" w:rsidRDefault="00AA414E" w:rsidP="00432D9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38"/>
                <w:tab w:val="clear" w:pos="708"/>
                <w:tab w:val="left" w:pos="241"/>
              </w:tabs>
              <w:spacing w:after="0" w:line="240" w:lineRule="auto"/>
              <w:ind w:left="241" w:hanging="241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temperatura materaca za wysoka &lt; 41˚C</w:t>
            </w:r>
          </w:p>
          <w:p w14:paraId="5F9B668A" w14:textId="77777777" w:rsidR="00AA414E" w:rsidRPr="00AA414E" w:rsidRDefault="00AA414E" w:rsidP="00432D9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38"/>
                <w:tab w:val="clear" w:pos="708"/>
                <w:tab w:val="left" w:pos="241"/>
              </w:tabs>
              <w:spacing w:after="0" w:line="240" w:lineRule="auto"/>
              <w:ind w:left="241" w:hanging="241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temperatura materaca za niska</w:t>
            </w:r>
          </w:p>
          <w:p w14:paraId="67B9A5A1" w14:textId="77777777" w:rsidR="00AA414E" w:rsidRPr="00AA414E" w:rsidRDefault="00AA414E" w:rsidP="00432D9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38"/>
                <w:tab w:val="clear" w:pos="708"/>
                <w:tab w:val="left" w:pos="241"/>
              </w:tabs>
              <w:spacing w:after="0" w:line="240" w:lineRule="auto"/>
              <w:ind w:left="241" w:hanging="241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lastRenderedPageBreak/>
              <w:t>przekroczenie czasu osią</w:t>
            </w:r>
            <w:r w:rsidRPr="00AA414E">
              <w:rPr>
                <w:rFonts w:cs="Calibri"/>
                <w:sz w:val="20"/>
                <w:szCs w:val="20"/>
                <w:lang w:val="it-IT"/>
              </w:rPr>
              <w:t>gni</w:t>
            </w:r>
            <w:r w:rsidRPr="00AA414E">
              <w:rPr>
                <w:rFonts w:cs="Calibri"/>
                <w:sz w:val="20"/>
                <w:szCs w:val="20"/>
              </w:rPr>
              <w:t>ęcia temperatury zadanej</w:t>
            </w:r>
          </w:p>
          <w:p w14:paraId="58140819" w14:textId="77777777" w:rsidR="0000757E" w:rsidRDefault="00AA414E" w:rsidP="00432D9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38"/>
                <w:tab w:val="clear" w:pos="708"/>
                <w:tab w:val="left" w:pos="241"/>
              </w:tabs>
              <w:spacing w:after="0" w:line="240" w:lineRule="auto"/>
              <w:ind w:left="241" w:hanging="241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uszkodzenie/awaria czujnika</w:t>
            </w:r>
          </w:p>
          <w:p w14:paraId="13879588" w14:textId="77777777" w:rsidR="00AA414E" w:rsidRPr="0000757E" w:rsidRDefault="00AA414E" w:rsidP="00432D9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38"/>
                <w:tab w:val="clear" w:pos="708"/>
                <w:tab w:val="left" w:pos="241"/>
              </w:tabs>
              <w:spacing w:after="0" w:line="240" w:lineRule="auto"/>
              <w:ind w:left="241" w:hanging="241"/>
              <w:rPr>
                <w:rFonts w:cs="Calibri"/>
                <w:sz w:val="20"/>
                <w:szCs w:val="20"/>
              </w:rPr>
            </w:pPr>
            <w:r w:rsidRPr="0000757E">
              <w:rPr>
                <w:rFonts w:cs="Calibri"/>
                <w:sz w:val="20"/>
                <w:szCs w:val="20"/>
              </w:rPr>
              <w:t>Uszkodzenia / awaria materaca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02BD7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EC21A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26CDFAD3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DDEB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5EB5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Zabezpieczenie pacjenta i personelu poprzez wyłączenie funkcji grzania w przypadku wykrycia awarii i alarmu o średnim priorytecie.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1387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10B7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55ACEC41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28EC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CF63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Zabezpieczenie przed przegrzaniem o progu bezpieczeństwa ponad 41˚C przy kt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rym grzanie jest automatycznie wyłączane.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C0CA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C538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126DAF4B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5D91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695A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Mocowanie sterownika na stojaku do kropl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wek lub na medycznej szynie profilowej za pomocą własnych, zintegrowanych ze sterownikiem uchwyt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8E30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BC83E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584F0B67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8FA3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2D52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Złącze do wyr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wnywania potencjałów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852BE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B2674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0D0D7D9A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5165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8DE0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Czyszczenie i dezynfekcja sterownika i element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grzewczych og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lnodostępnymi środkami dezynfekcyjnymi (lista środk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dezynfekcyjnych zawarta w instrukcji obsługi)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795C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F6DA0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5E5F3EE7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34B1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4989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  <w:lang w:val="en-US"/>
              </w:rPr>
              <w:t>Rozmiar sterownika maks.  wys. / szer. / głęb. 310 x 160 x 140 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E170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6945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240ED102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FEA9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4B99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 xml:space="preserve">Masa jednostki sterującej (sterownika) ≤ </w:t>
            </w:r>
            <w:r w:rsidRPr="00AA414E">
              <w:rPr>
                <w:rFonts w:cs="Calibri"/>
                <w:sz w:val="20"/>
                <w:szCs w:val="20"/>
                <w:lang w:val="pt-PT"/>
              </w:rPr>
              <w:t>2,7 [kg] (poda</w:t>
            </w:r>
            <w:r w:rsidRPr="00AA414E">
              <w:rPr>
                <w:rFonts w:cs="Calibri"/>
                <w:sz w:val="20"/>
                <w:szCs w:val="20"/>
              </w:rPr>
              <w:t>ć wagę)</w:t>
            </w:r>
          </w:p>
          <w:p w14:paraId="62DAFAE1" w14:textId="77777777" w:rsidR="00AA414E" w:rsidRPr="00432D91" w:rsidRDefault="00AA414E" w:rsidP="00AA414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05D782D4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37C2A082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 xml:space="preserve">Waga z baterią do 2,5kg – 10 pkt. </w:t>
            </w:r>
          </w:p>
          <w:p w14:paraId="40947C7C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Waga z baterią powyżej 2,5 kg - 0 pkt.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8720C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F765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12D9A1D2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022E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915B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AA414E">
              <w:rPr>
                <w:rFonts w:cs="Calibri"/>
                <w:sz w:val="20"/>
                <w:szCs w:val="20"/>
                <w:lang w:val="en-US"/>
              </w:rPr>
              <w:t>Maksymalny pobór mocy: do 180W  (podać)</w:t>
            </w:r>
          </w:p>
          <w:p w14:paraId="7E920016" w14:textId="77777777" w:rsidR="00AA414E" w:rsidRPr="00432D91" w:rsidRDefault="00AA414E" w:rsidP="00AA414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421A3664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02A57179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Pobór mocy do 160W – 10 pkt.</w:t>
            </w:r>
          </w:p>
          <w:p w14:paraId="1FFEEBF3" w14:textId="77777777" w:rsidR="00AA414E" w:rsidRPr="00AA414E" w:rsidRDefault="00AA414E" w:rsidP="00AA41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Pobór mocy powyżej 160W – 0 pkt.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E9D94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E824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14E" w:rsidRPr="00DC4DB4" w14:paraId="0335F2B8" w14:textId="77777777" w:rsidTr="00E87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A8C4" w14:textId="77777777" w:rsidR="00AA414E" w:rsidRPr="00DC4DB4" w:rsidRDefault="00AA414E" w:rsidP="00AA414E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38E1" w14:textId="77777777" w:rsidR="00AA414E" w:rsidRPr="004517E1" w:rsidRDefault="00AA414E" w:rsidP="00AA414E">
            <w:pPr>
              <w:spacing w:after="0" w:line="240" w:lineRule="auto"/>
            </w:pPr>
            <w:r w:rsidRPr="00AA414E">
              <w:t>Wyświetlacz typu TFT</w:t>
            </w:r>
            <w:r w:rsidR="0000757E">
              <w:t xml:space="preserve"> </w:t>
            </w:r>
            <w:r w:rsidRPr="00AA414E">
              <w:t>o przekątnej min.  3,5”; wymiary min.  (szer. 75 x wys. 65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6C2C3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A76E" w14:textId="77777777" w:rsidR="00AA414E" w:rsidRPr="00DC4DB4" w:rsidRDefault="00AA414E" w:rsidP="00AA414E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2A9F18F7" w14:textId="77777777" w:rsidTr="00E87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2275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363" w14:textId="77777777" w:rsidR="00CC3677" w:rsidRPr="00AA414E" w:rsidRDefault="00CC3677" w:rsidP="00CC3677">
            <w:pPr>
              <w:spacing w:after="0" w:line="240" w:lineRule="auto"/>
            </w:pPr>
            <w:r>
              <w:rPr>
                <w:rFonts w:cs="Calibri"/>
                <w:bCs/>
                <w:sz w:val="20"/>
                <w:szCs w:val="20"/>
              </w:rPr>
              <w:t>Możliwość zastosowania systemu z w</w:t>
            </w:r>
            <w:r w:rsidRPr="001608BC">
              <w:rPr>
                <w:rFonts w:cs="Calibri"/>
                <w:bCs/>
                <w:sz w:val="20"/>
                <w:szCs w:val="20"/>
              </w:rPr>
              <w:t>ielorazow</w:t>
            </w:r>
            <w:r>
              <w:rPr>
                <w:rFonts w:cs="Calibri"/>
                <w:bCs/>
                <w:sz w:val="20"/>
                <w:szCs w:val="20"/>
              </w:rPr>
              <w:t>ymi</w:t>
            </w:r>
            <w:r w:rsidRPr="001608BC">
              <w:rPr>
                <w:rFonts w:cs="Calibri"/>
                <w:bCs/>
                <w:sz w:val="20"/>
                <w:szCs w:val="20"/>
              </w:rPr>
              <w:t xml:space="preserve"> element</w:t>
            </w:r>
            <w:r>
              <w:rPr>
                <w:rFonts w:cs="Calibri"/>
                <w:bCs/>
                <w:sz w:val="20"/>
                <w:szCs w:val="20"/>
              </w:rPr>
              <w:t>ami</w:t>
            </w:r>
            <w:r w:rsidRPr="001608BC">
              <w:rPr>
                <w:rFonts w:cs="Calibri"/>
                <w:bCs/>
                <w:sz w:val="20"/>
                <w:szCs w:val="20"/>
              </w:rPr>
              <w:t xml:space="preserve"> grzewcz</w:t>
            </w:r>
            <w:r>
              <w:rPr>
                <w:rFonts w:cs="Calibri"/>
                <w:bCs/>
                <w:sz w:val="20"/>
                <w:szCs w:val="20"/>
              </w:rPr>
              <w:t>ymi</w:t>
            </w:r>
            <w:r w:rsidRPr="001608BC">
              <w:rPr>
                <w:rFonts w:cs="Calibri"/>
                <w:bCs/>
                <w:sz w:val="20"/>
                <w:szCs w:val="20"/>
              </w:rPr>
              <w:t xml:space="preserve"> w postaci: kocy przykrywających pacjenta, kocy podkładowych pod pacjenta, mat, materacy </w:t>
            </w:r>
            <w:r w:rsidR="001E0AA6">
              <w:rPr>
                <w:rFonts w:cs="Calibri"/>
                <w:bCs/>
                <w:sz w:val="20"/>
                <w:szCs w:val="20"/>
              </w:rPr>
              <w:t>-</w:t>
            </w:r>
            <w:r w:rsidRPr="001608BC">
              <w:rPr>
                <w:rFonts w:cs="Calibri"/>
                <w:bCs/>
                <w:sz w:val="20"/>
                <w:szCs w:val="20"/>
              </w:rPr>
              <w:t>kompatybilne z oferowanym systemem/sterownikiem.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7987C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BFFC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4027BDF8" w14:textId="77777777" w:rsidTr="00AA41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8D7D38" w14:textId="77777777" w:rsidR="00CC3677" w:rsidRPr="00DC4DB4" w:rsidRDefault="00CC3677" w:rsidP="00CC3677">
            <w:pPr>
              <w:pStyle w:val="ListParagraph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99DBE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Elementy grzewcze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F5580B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F658D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382F3AB9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B493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514F" w14:textId="77777777" w:rsidR="00CC3677" w:rsidRPr="007C0D0C" w:rsidRDefault="00CC3677" w:rsidP="00CC3677">
            <w:pPr>
              <w:pStyle w:val="TreA"/>
              <w:rPr>
                <w:rFonts w:ascii="Calibri" w:eastAsia="Helvetica Neue" w:hAnsi="Calibri" w:cs="Calibri"/>
                <w:color w:val="auto"/>
                <w:sz w:val="20"/>
                <w:szCs w:val="20"/>
                <w:u w:color="FF2600"/>
              </w:rPr>
            </w:pPr>
            <w:r w:rsidRPr="007C0D0C">
              <w:rPr>
                <w:rFonts w:ascii="Calibri" w:hAnsi="Calibri" w:cs="Calibri"/>
                <w:color w:val="auto"/>
                <w:sz w:val="20"/>
                <w:szCs w:val="20"/>
                <w:u w:color="FF2600"/>
              </w:rPr>
              <w:t>W zestawie z kontrolerem Zamawiający wymaga:</w:t>
            </w:r>
          </w:p>
          <w:p w14:paraId="3ACEF860" w14:textId="77777777" w:rsidR="00CC3677" w:rsidRPr="001608BC" w:rsidRDefault="00CC3677" w:rsidP="00CC36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7C0D0C">
              <w:rPr>
                <w:rFonts w:cs="Calibri"/>
                <w:sz w:val="20"/>
                <w:szCs w:val="20"/>
                <w:u w:color="FF2600"/>
              </w:rPr>
              <w:t>dla pacjent</w:t>
            </w:r>
            <w:r w:rsidRPr="007C0D0C">
              <w:rPr>
                <w:rFonts w:cs="Calibri"/>
                <w:sz w:val="20"/>
                <w:szCs w:val="20"/>
                <w:u w:color="FF2600"/>
                <w:lang w:val="es-ES_tradnl"/>
              </w:rPr>
              <w:t>ó</w:t>
            </w:r>
            <w:r w:rsidRPr="007C0D0C">
              <w:rPr>
                <w:rFonts w:cs="Calibri"/>
                <w:sz w:val="20"/>
                <w:szCs w:val="20"/>
                <w:u w:color="FF2600"/>
              </w:rPr>
              <w:t xml:space="preserve">w o wzroście powyżej 90 cm uniwersalny element grzewczy wielorazowego użytku w rozmiarze: 1500 x 500 x 30 mm </w:t>
            </w:r>
            <w:r w:rsidRPr="007C0D0C">
              <w:rPr>
                <w:rFonts w:cs="Calibri"/>
                <w:sz w:val="20"/>
                <w:szCs w:val="20"/>
                <w:u w:val="single"/>
              </w:rPr>
              <w:t>+</w:t>
            </w:r>
            <w:r w:rsidRPr="007C0D0C">
              <w:rPr>
                <w:rFonts w:cs="Calibri"/>
                <w:sz w:val="20"/>
                <w:szCs w:val="20"/>
                <w:u w:color="FF2600"/>
              </w:rPr>
              <w:t>5mm, w postaci elastycznego koca grzewczego / materaca na lub pod pacjenta,  element grzewczy posiadający 8 czujnik</w:t>
            </w:r>
            <w:r w:rsidRPr="007C0D0C">
              <w:rPr>
                <w:rFonts w:cs="Calibri"/>
                <w:sz w:val="20"/>
                <w:szCs w:val="20"/>
                <w:u w:color="FF2600"/>
                <w:lang w:val="es-ES_tradnl"/>
              </w:rPr>
              <w:t>ó</w:t>
            </w:r>
            <w:r w:rsidRPr="007C0D0C">
              <w:rPr>
                <w:rFonts w:cs="Calibri"/>
                <w:sz w:val="20"/>
                <w:szCs w:val="20"/>
                <w:u w:color="FF2600"/>
              </w:rPr>
              <w:t>w temperatury kompatybilne z oferowanym systemem/sterownikiem</w:t>
            </w:r>
            <w:r w:rsidRPr="00CC3677">
              <w:rPr>
                <w:rFonts w:cs="Calibri"/>
                <w:sz w:val="20"/>
                <w:szCs w:val="20"/>
                <w:u w:color="FF2600"/>
              </w:rPr>
              <w:t xml:space="preserve">, w komplecie przedłużacz przyłączeniowy o długości min. 3 m, dwa pokrowce do elementu grzewczego wyposażony w taśmy mocujące do stołu </w:t>
            </w:r>
            <w:r w:rsidRPr="00CC3677">
              <w:rPr>
                <w:rFonts w:cs="Calibri"/>
                <w:sz w:val="20"/>
                <w:szCs w:val="20"/>
                <w:u w:color="FF2600"/>
              </w:rPr>
              <w:lastRenderedPageBreak/>
              <w:t>operacyjnego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48F4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7674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72358C7D" w14:textId="77777777" w:rsidTr="00CC36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AB58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042B" w14:textId="77777777" w:rsidR="00CC3677" w:rsidRPr="00BF6D60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6D60">
              <w:rPr>
                <w:rFonts w:cs="Calibri"/>
                <w:sz w:val="20"/>
                <w:szCs w:val="20"/>
                <w:shd w:val="clear" w:color="auto" w:fill="FFFFFF"/>
              </w:rPr>
              <w:t xml:space="preserve">Dostępne elementy grzewcze w postaci mat  i materacy grzewczych dedykowanych do profilaktyki przeciwodleżynowej na stole operacyjnym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BE1D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25DF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68E5C3DF" w14:textId="77777777" w:rsidTr="00CC36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B8542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F38A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Dostępne uniwersalne elementy grzewcze używane jako koce przykrywające pacjenta od g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ry lub jako koce podkładowe pod pacjenta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E8AD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EBC6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29BAAF75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84403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68C" w14:textId="77777777" w:rsidR="00CC3677" w:rsidRPr="007C0D0C" w:rsidRDefault="00CC3677" w:rsidP="00CC36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7C0D0C">
              <w:rPr>
                <w:rFonts w:cs="Calibri"/>
                <w:bCs/>
                <w:sz w:val="20"/>
                <w:szCs w:val="20"/>
              </w:rPr>
              <w:t>koc grzewczy na lub pod pacjenta ogrzewający niezależnie od strony jego ułożenia. Brak wydzielonej tylko jednej strony grzewczej (aktywnej).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61270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E038A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7845E6D4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EBAD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3353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Elementy grzewcze, przezierne dla promieni RTG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CB25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3C09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03B5A4A6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50BF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816F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Elementy grzewcze zasilane napięciem bezpiecznym ≤ 24V (podać napięcie zasilania)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D5531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18CA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32E086CC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2EAC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696D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  <w:lang w:val="en-US"/>
              </w:rPr>
              <w:t>Ochrona przed wnikaniem płynów min. IPX2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7ED8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153D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3AE3D9FD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1E71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C931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AA414E">
              <w:rPr>
                <w:rFonts w:cs="Calibri"/>
                <w:sz w:val="20"/>
                <w:szCs w:val="20"/>
                <w:lang w:val="en-US"/>
              </w:rPr>
              <w:t>Czas nagrzania od temp. 23,0°C do 37,0°C  max. 11 min. (podać czas nagrzania)</w:t>
            </w:r>
          </w:p>
          <w:p w14:paraId="347F251C" w14:textId="77777777" w:rsidR="00CC3677" w:rsidRPr="00432D91" w:rsidRDefault="00CC3677" w:rsidP="00CC3677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</w:p>
          <w:p w14:paraId="0CBF6184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250CBD3A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 xml:space="preserve">Czas nagrzania do 10 minut – 10 pkt.; </w:t>
            </w:r>
          </w:p>
          <w:p w14:paraId="74C41D5A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b/>
                <w:bCs/>
                <w:sz w:val="20"/>
                <w:szCs w:val="20"/>
              </w:rPr>
              <w:t>Czas nagrzania powyżej 10 minut – 0 pkt.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0A3F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D2CC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021790F9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9EBE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C513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Temperatura elementu grzewczego monitorowana przez min. 8 czujnik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 rozmieszczonych na jego powierzchni.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52E0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792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4CF1CCE4" w14:textId="77777777" w:rsidTr="005A6A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4745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FF5A" w14:textId="77777777" w:rsidR="00CC3677" w:rsidRPr="005A6AD7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AD7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 xml:space="preserve">Długość dodatkowego przewodu przedłużającego łączącego sterownik z elementem grzewczym – min. 3 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1603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1D4C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7CB80550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3053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D6C4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Elementy grzewcze jak i pokrowce / osłony elementu grzewczego niezawierające lateksu.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BE55C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AD130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6AC46C74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B6F6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E099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Dostępne pokrowce / osłony na elementy grzewcze z mocowaniem do stołu operacyjnego.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1045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CF3DE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781E543A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920F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FCEC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 xml:space="preserve">Pokrowce na elementy grzewcze z możliwością prania w temp. </w:t>
            </w:r>
            <w:r w:rsidRPr="00AA414E">
              <w:rPr>
                <w:rFonts w:cs="Calibri"/>
                <w:sz w:val="20"/>
                <w:szCs w:val="20"/>
                <w:lang w:val="it-IT"/>
              </w:rPr>
              <w:t>do 95</w:t>
            </w:r>
            <w:r w:rsidRPr="00AA414E">
              <w:rPr>
                <w:rFonts w:cs="Calibri"/>
                <w:sz w:val="20"/>
                <w:szCs w:val="20"/>
              </w:rPr>
              <w:t>˚ C i dezynfekcji.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E1C6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51BF5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0A0F1DAE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2730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287E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eastAsia="Arial Unicode MS" w:cs="Calibri"/>
                <w:color w:val="000000"/>
                <w:sz w:val="20"/>
                <w:szCs w:val="20"/>
                <w:u w:color="000000"/>
              </w:rPr>
              <w:t>Element grzewczy pokryty tkaniną odporną na krew i płyny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2B44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79BC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2456303C" w14:textId="77777777" w:rsidTr="00D432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63C6" w14:textId="77777777" w:rsidR="00CC3677" w:rsidRPr="00DC4DB4" w:rsidRDefault="00CC3677" w:rsidP="00CC367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41F3" w14:textId="77777777" w:rsidR="00CC3677" w:rsidRPr="00AA414E" w:rsidRDefault="00CC3677" w:rsidP="00CC36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14E">
              <w:rPr>
                <w:rFonts w:cs="Calibri"/>
                <w:sz w:val="20"/>
                <w:szCs w:val="20"/>
              </w:rPr>
              <w:t>Element grzewczy posiadający pokrycie zabezpieczające przed przedostaniem się do wewnątrz płyn</w:t>
            </w:r>
            <w:r w:rsidRPr="00AA414E">
              <w:rPr>
                <w:rFonts w:cs="Calibri"/>
                <w:sz w:val="20"/>
                <w:szCs w:val="20"/>
                <w:lang w:val="es-ES_tradnl"/>
              </w:rPr>
              <w:t>ó</w:t>
            </w:r>
            <w:r w:rsidRPr="00AA414E">
              <w:rPr>
                <w:rFonts w:cs="Calibri"/>
                <w:sz w:val="20"/>
                <w:szCs w:val="20"/>
              </w:rPr>
              <w:t>w.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E8C2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4BFF" w14:textId="77777777" w:rsidR="00CC3677" w:rsidRPr="00DC4DB4" w:rsidRDefault="00CC3677" w:rsidP="00CC3677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C3677" w:rsidRPr="00DC4DB4" w14:paraId="73FA24F6" w14:textId="77777777" w:rsidTr="00E87D0A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98522EC" w14:textId="77777777" w:rsidR="00CC3677" w:rsidRPr="00DC4DB4" w:rsidRDefault="00CC3677" w:rsidP="00CC3677">
            <w:pPr>
              <w:pStyle w:val="ListParagraph"/>
              <w:spacing w:after="0" w:line="240" w:lineRule="auto"/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3998942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DC4DB4">
              <w:rPr>
                <w:rFonts w:cs="Calibri"/>
                <w:b/>
                <w:bCs/>
                <w:sz w:val="21"/>
                <w:szCs w:val="21"/>
              </w:rPr>
              <w:t xml:space="preserve">Wymagania </w:t>
            </w:r>
            <w:r>
              <w:rPr>
                <w:rFonts w:cs="Calibri"/>
                <w:b/>
                <w:bCs/>
                <w:sz w:val="21"/>
                <w:szCs w:val="21"/>
              </w:rPr>
              <w:t>dodatkowe (</w:t>
            </w:r>
            <w:r w:rsidRPr="00DC4DB4">
              <w:rPr>
                <w:rFonts w:cs="Calibri"/>
                <w:b/>
                <w:bCs/>
                <w:sz w:val="21"/>
                <w:szCs w:val="21"/>
              </w:rPr>
              <w:t>ogólne</w:t>
            </w:r>
            <w:r>
              <w:rPr>
                <w:rFonts w:cs="Calibri"/>
                <w:b/>
                <w:bCs/>
                <w:sz w:val="21"/>
                <w:szCs w:val="21"/>
              </w:rPr>
              <w:t>)</w:t>
            </w:r>
            <w:r w:rsidRPr="00DC4DB4">
              <w:rPr>
                <w:rFonts w:cs="Calibr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433746E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506766D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C3677" w:rsidRPr="00DC4DB4" w14:paraId="3D4C760E" w14:textId="77777777" w:rsidTr="00E87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AC0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B7A" w14:textId="77777777" w:rsidR="00CC3677" w:rsidRPr="006628F6" w:rsidRDefault="00CC3677" w:rsidP="00CC3677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28F6">
              <w:rPr>
                <w:rFonts w:cs="Arial"/>
                <w:sz w:val="20"/>
                <w:szCs w:val="20"/>
              </w:rPr>
              <w:t xml:space="preserve">Okres gwarancji na </w:t>
            </w:r>
            <w:r>
              <w:rPr>
                <w:rFonts w:cs="Arial"/>
                <w:sz w:val="20"/>
                <w:szCs w:val="20"/>
              </w:rPr>
              <w:t>dostarczone urządzenia</w:t>
            </w:r>
            <w:r w:rsidRPr="006628F6">
              <w:rPr>
                <w:rFonts w:cs="Arial"/>
                <w:sz w:val="20"/>
                <w:szCs w:val="20"/>
              </w:rPr>
              <w:t xml:space="preserve"> min. </w:t>
            </w:r>
            <w:r w:rsidRPr="006628F6">
              <w:rPr>
                <w:rFonts w:cs="Arial"/>
                <w:b/>
                <w:bCs/>
                <w:sz w:val="20"/>
                <w:szCs w:val="20"/>
              </w:rPr>
              <w:t>24 miesiące</w:t>
            </w:r>
            <w:r w:rsidRPr="006628F6">
              <w:rPr>
                <w:rFonts w:cs="Arial"/>
                <w:sz w:val="20"/>
                <w:szCs w:val="20"/>
              </w:rPr>
              <w:t xml:space="preserve"> (podać oferowany okres gwarancji)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E75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126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6BDA78BF" w14:textId="77777777" w:rsidTr="00E87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C9D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198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Zaoferowane urządzenie jest fabrycznie nowe i gotowe do użytku bez żadnych dodatkowych zakupów czy inwestycji.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6E6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7DC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57D2D222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31E5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F76F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Instalacja aparatu przez autoryzowany serwis producenta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1D9C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E407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238F5313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4A47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5D28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Autoryzowany serwis gwarancyjny i pogwarancyjny  -  podać adres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BFCA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96AC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3265B138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CCDA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B5F0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Czas reakcji serwisu na zgłoszenie z podjęciem naprawy (nie dłuższy niż 24 h) w dni robocze (od pn-pt z wyłączeniem dni ustawowo wolnych od pracy)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A3DC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0983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11FF4D35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87E4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E170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Czas naprawy nie wymagający sprowadzenia części zamiennych max 2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5496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F99A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4DE8C008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AFF1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612F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Czas naprawy wymagający sprowadzenia części zamiennych max 5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F721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8987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65BB7882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D163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C50A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urządzenie, w zależności, który termin upłynie później.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F710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DFE7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6613F2DE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057E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8CB1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Liczba napraw gwarancyjnych tego samego podzespołu/elementu  uprawniająca do wymiany podzespołu/elementu  na nowy -  maksymalnie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1495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4709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739790F5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1D3F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B142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13BB" w14:textId="77777777" w:rsidR="00CC3677" w:rsidRPr="00DC4DB4" w:rsidRDefault="00CC3677" w:rsidP="00CC3677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D636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24E7016C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01D0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574F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W okresie gwarancji min. po 1 nieodpłatnym przeglądzie technicznym w każdym roku obowiązywania gwarancji – lub wg zaleceń i wskazań producenta (ostatni na koniec okresu gwarancyjnego).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6E3A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A315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16287857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46D4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0E82" w14:textId="77777777" w:rsidR="00CC3677" w:rsidRPr="00A92C97" w:rsidRDefault="00CC3677" w:rsidP="00CC3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C97">
              <w:rPr>
                <w:b/>
                <w:bCs/>
                <w:sz w:val="20"/>
                <w:szCs w:val="20"/>
              </w:rPr>
              <w:t>Deklaracja zgodności oznaczona znakiem CE  -dołączyć do oferty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3C63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6D6B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2D6A61B5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6C9C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6FB2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Instrukcja obsługi w języku polskim (przy dostawie)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BD08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ACAE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0ABAE4F4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3611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17CB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Gwarancja produkcji części zamiennych minimum 10 lat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CFC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DB4C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1E3925E1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1F29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3C6A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Szkolenie personelu medycznego z zasad eksploatacji i obsługi urządzeń w miejscu użytkowania sprzętu potwierdzone protokołem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8427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740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C3677" w:rsidRPr="00DC4DB4" w14:paraId="3F310003" w14:textId="77777777" w:rsidTr="00E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E1FD" w14:textId="77777777" w:rsidR="00CC3677" w:rsidRPr="006628F6" w:rsidRDefault="00CC3677" w:rsidP="00CC367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51B1" w14:textId="77777777" w:rsidR="00CC3677" w:rsidRPr="006628F6" w:rsidRDefault="00CC3677" w:rsidP="00CC3677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W cenie zawarty jest komplet akcesoriów, okablowania itp. asortymentu niezbędnego do uruchomienia i funkcjonowania urządzeń jako całości w wymaganej specyfikacją konfiguracji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E8A3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A049" w14:textId="77777777" w:rsidR="00CC3677" w:rsidRPr="00DC4DB4" w:rsidRDefault="00CC3677" w:rsidP="00CC3677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5DA57B8" w14:textId="77777777" w:rsidR="00B47A75" w:rsidRPr="00E60466" w:rsidRDefault="00B47A75" w:rsidP="001267C6">
      <w:pPr>
        <w:spacing w:before="120"/>
        <w:jc w:val="both"/>
        <w:rPr>
          <w:rFonts w:cs="Calibri"/>
          <w:b/>
          <w:bCs/>
          <w:sz w:val="18"/>
          <w:szCs w:val="18"/>
        </w:rPr>
      </w:pPr>
      <w:r w:rsidRPr="00E60466">
        <w:rPr>
          <w:rFonts w:cs="Calibri"/>
          <w:b/>
          <w:bCs/>
          <w:sz w:val="18"/>
          <w:szCs w:val="18"/>
        </w:rPr>
        <w:t xml:space="preserve">Maksymalna suma punktów wynosi </w:t>
      </w:r>
      <w:r w:rsidR="00CB0094" w:rsidRPr="00E60466">
        <w:rPr>
          <w:rFonts w:cs="Calibri"/>
          <w:b/>
          <w:bCs/>
          <w:sz w:val="18"/>
          <w:szCs w:val="18"/>
        </w:rPr>
        <w:t>4</w:t>
      </w:r>
      <w:r w:rsidR="00E17216" w:rsidRPr="00E60466">
        <w:rPr>
          <w:rFonts w:cs="Calibri"/>
          <w:b/>
          <w:bCs/>
          <w:sz w:val="18"/>
          <w:szCs w:val="18"/>
        </w:rPr>
        <w:t>0</w:t>
      </w:r>
      <w:r w:rsidRPr="00E60466">
        <w:rPr>
          <w:rFonts w:cs="Calibri"/>
          <w:b/>
          <w:bCs/>
          <w:sz w:val="18"/>
          <w:szCs w:val="18"/>
        </w:rPr>
        <w:t xml:space="preserve"> pkt.</w:t>
      </w:r>
    </w:p>
    <w:p w14:paraId="34640583" w14:textId="77777777" w:rsidR="00B47A75" w:rsidRPr="00E60466" w:rsidRDefault="00B47A75" w:rsidP="00CB16EA">
      <w:pPr>
        <w:jc w:val="both"/>
        <w:rPr>
          <w:rFonts w:cs="Arial"/>
          <w:sz w:val="20"/>
          <w:szCs w:val="20"/>
        </w:rPr>
      </w:pPr>
      <w:r w:rsidRPr="00E60466">
        <w:rPr>
          <w:rFonts w:cs="Arial"/>
          <w:sz w:val="20"/>
          <w:szCs w:val="20"/>
        </w:rPr>
        <w:t xml:space="preserve">Liczba przyznanych punktów za zaoferowane parametry służyć będzie ocenie w kryterium Jakość (parametry techniczno-funkcjonalne).  </w:t>
      </w:r>
    </w:p>
    <w:p w14:paraId="7C3439FE" w14:textId="77777777" w:rsidR="00B47A75" w:rsidRPr="00E60466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E6046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7AA1C972" w14:textId="77777777" w:rsidR="00B47A75" w:rsidRPr="00E60466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60466">
        <w:rPr>
          <w:rFonts w:eastAsia="Times New Roman" w:cs="Arial"/>
          <w:sz w:val="20"/>
          <w:szCs w:val="20"/>
          <w:lang w:eastAsia="ar-SA"/>
        </w:rPr>
        <w:t>Parametry wskazane</w:t>
      </w:r>
      <w:r w:rsidRPr="00E60466">
        <w:rPr>
          <w:rFonts w:eastAsia="Tahoma" w:cs="Arial"/>
          <w:sz w:val="20"/>
          <w:szCs w:val="20"/>
        </w:rPr>
        <w:t xml:space="preserve"> w kolumnie "Wymagane parametry minimalne" są parametrami granicznymi, co oznacza że n</w:t>
      </w:r>
      <w:r w:rsidRPr="00E60466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oferty.</w:t>
      </w:r>
      <w:r w:rsidRPr="00E60466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E60466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E60466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E60466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2BBA0424" w14:textId="77777777" w:rsidR="00B47A75" w:rsidRPr="00E60466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60466">
        <w:rPr>
          <w:rFonts w:eastAsia="Times New Roman" w:cs="Arial"/>
          <w:sz w:val="20"/>
          <w:szCs w:val="20"/>
          <w:lang w:eastAsia="ar-SA"/>
        </w:rPr>
        <w:t>W przypadku, gdy Zamawiający określił dany parametr jako punktowany, oznacza to</w:t>
      </w:r>
      <w:r w:rsidR="00D7328B" w:rsidRPr="00E60466">
        <w:rPr>
          <w:rFonts w:eastAsia="Times New Roman" w:cs="Arial"/>
          <w:sz w:val="20"/>
          <w:szCs w:val="20"/>
          <w:lang w:eastAsia="ar-SA"/>
        </w:rPr>
        <w:t>,</w:t>
      </w:r>
      <w:r w:rsidRPr="00E60466">
        <w:rPr>
          <w:rFonts w:eastAsia="Times New Roman" w:cs="Arial"/>
          <w:sz w:val="20"/>
          <w:szCs w:val="20"/>
          <w:lang w:eastAsia="ar-SA"/>
        </w:rPr>
        <w:t xml:space="preserve"> że za jego spełnienie (zaoferowanie) oferta Wykonawcy otrzyma wskazaną liczbę punktów, które służyć będą ocenie oferty w kryterium </w:t>
      </w:r>
      <w:r w:rsidRPr="00E60466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E60466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1A3D97F2" w14:textId="77777777" w:rsidR="00B47A75" w:rsidRPr="00E60466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60466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47FAE19A" w14:textId="77777777" w:rsidR="00B47A75" w:rsidRPr="00E60466" w:rsidRDefault="00B47A75" w:rsidP="00B47A75">
      <w:pPr>
        <w:pStyle w:val="Listapunktowana"/>
        <w:rPr>
          <w:sz w:val="20"/>
          <w:szCs w:val="20"/>
        </w:rPr>
      </w:pPr>
      <w:r w:rsidRPr="00E60466">
        <w:rPr>
          <w:sz w:val="20"/>
          <w:szCs w:val="20"/>
          <w:lang w:eastAsia="ar-SA"/>
        </w:rPr>
        <w:lastRenderedPageBreak/>
        <w:t xml:space="preserve">w przypadku, gdy oferta nie spełni minimalnego poziomu – to zostanie odrzucona, </w:t>
      </w:r>
    </w:p>
    <w:p w14:paraId="7EAD9DBE" w14:textId="77777777" w:rsidR="00B47A75" w:rsidRPr="00E60466" w:rsidRDefault="00B47A75" w:rsidP="00D7328B">
      <w:pPr>
        <w:pStyle w:val="Listapunktowana"/>
        <w:rPr>
          <w:sz w:val="20"/>
          <w:szCs w:val="20"/>
        </w:rPr>
      </w:pPr>
      <w:r w:rsidRPr="00E60466">
        <w:rPr>
          <w:sz w:val="20"/>
          <w:szCs w:val="20"/>
          <w:lang w:eastAsia="ar-SA"/>
        </w:rPr>
        <w:t>gdy Wykonawca zaoferuje parametr n</w:t>
      </w:r>
      <w:r w:rsidR="002E4E30" w:rsidRPr="00E60466">
        <w:rPr>
          <w:sz w:val="20"/>
          <w:szCs w:val="20"/>
          <w:lang w:eastAsia="ar-SA"/>
        </w:rPr>
        <w:t>a wymaganym poziomie, ale niższ</w:t>
      </w:r>
      <w:r w:rsidR="00AA0A46" w:rsidRPr="00E60466">
        <w:rPr>
          <w:sz w:val="20"/>
          <w:szCs w:val="20"/>
          <w:lang w:eastAsia="ar-SA"/>
        </w:rPr>
        <w:t xml:space="preserve">ym niż poziom za który określono </w:t>
      </w:r>
      <w:r w:rsidR="002E4E30" w:rsidRPr="00E60466">
        <w:rPr>
          <w:sz w:val="20"/>
          <w:szCs w:val="20"/>
          <w:lang w:eastAsia="ar-SA"/>
        </w:rPr>
        <w:t xml:space="preserve">przyznanie punktów </w:t>
      </w:r>
      <w:r w:rsidRPr="00E60466">
        <w:rPr>
          <w:sz w:val="20"/>
          <w:szCs w:val="20"/>
          <w:lang w:eastAsia="ar-SA"/>
        </w:rPr>
        <w:t>– oferta otrzyma 0 pkt w kryterium oceny ofert „Jakość”;</w:t>
      </w:r>
    </w:p>
    <w:p w14:paraId="65898931" w14:textId="77777777" w:rsidR="00B47A75" w:rsidRPr="00E60466" w:rsidRDefault="00B47A75" w:rsidP="00B47A75">
      <w:pPr>
        <w:pStyle w:val="Listapunktowana"/>
        <w:rPr>
          <w:sz w:val="20"/>
          <w:szCs w:val="20"/>
        </w:rPr>
      </w:pPr>
      <w:r w:rsidRPr="00E60466">
        <w:rPr>
          <w:sz w:val="20"/>
          <w:szCs w:val="20"/>
          <w:lang w:eastAsia="ar-SA"/>
        </w:rPr>
        <w:t xml:space="preserve">Gdy Wykonawca zaoferuje parametr </w:t>
      </w:r>
      <w:r w:rsidR="002E4E30" w:rsidRPr="00E60466">
        <w:rPr>
          <w:sz w:val="20"/>
          <w:szCs w:val="20"/>
          <w:lang w:eastAsia="ar-SA"/>
        </w:rPr>
        <w:t>„</w:t>
      </w:r>
      <w:r w:rsidRPr="00E60466">
        <w:rPr>
          <w:sz w:val="20"/>
          <w:szCs w:val="20"/>
          <w:lang w:eastAsia="ar-SA"/>
        </w:rPr>
        <w:t>lepszy</w:t>
      </w:r>
      <w:r w:rsidR="002E4E30" w:rsidRPr="00E60466">
        <w:rPr>
          <w:sz w:val="20"/>
          <w:szCs w:val="20"/>
          <w:lang w:eastAsia="ar-SA"/>
        </w:rPr>
        <w:t>”</w:t>
      </w:r>
      <w:r w:rsidRPr="00E60466">
        <w:rPr>
          <w:sz w:val="20"/>
          <w:szCs w:val="20"/>
          <w:lang w:eastAsia="ar-SA"/>
        </w:rPr>
        <w:t xml:space="preserve"> zgodnie z opisem oceny – Zamawiający przyzna za dany parametr punkty określone dla danego parametru.</w:t>
      </w:r>
    </w:p>
    <w:p w14:paraId="686110B6" w14:textId="77777777" w:rsidR="00D04D2A" w:rsidRPr="00E60466" w:rsidRDefault="00D04D2A" w:rsidP="00B47A75">
      <w:pPr>
        <w:pStyle w:val="Listapunktowana"/>
        <w:rPr>
          <w:sz w:val="20"/>
          <w:szCs w:val="20"/>
        </w:rPr>
      </w:pPr>
      <w:r w:rsidRPr="00E60466">
        <w:rPr>
          <w:sz w:val="20"/>
          <w:szCs w:val="20"/>
          <w:lang w:eastAsia="ar-SA"/>
        </w:rPr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</w:t>
      </w:r>
    </w:p>
    <w:p w14:paraId="6ECB163E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00213998" w14:textId="77777777" w:rsidR="00B47A75" w:rsidRPr="00460F47" w:rsidRDefault="00B47A75" w:rsidP="00BA30E1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15AB3372" w14:textId="77777777" w:rsidR="00B47A75" w:rsidRPr="00460F47" w:rsidRDefault="00B47A75" w:rsidP="00BA30E1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63E14ADF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747"/>
        <w:gridCol w:w="527"/>
        <w:gridCol w:w="651"/>
        <w:gridCol w:w="1378"/>
        <w:gridCol w:w="1437"/>
        <w:gridCol w:w="902"/>
        <w:gridCol w:w="1372"/>
      </w:tblGrid>
      <w:tr w:rsidR="004F7DED" w:rsidRPr="000920F8" w14:paraId="68303E1D" w14:textId="77777777">
        <w:trPr>
          <w:jc w:val="center"/>
        </w:trPr>
        <w:tc>
          <w:tcPr>
            <w:tcW w:w="460" w:type="dxa"/>
            <w:vMerge w:val="restart"/>
            <w:shd w:val="clear" w:color="auto" w:fill="CCFFCC"/>
          </w:tcPr>
          <w:p w14:paraId="55022688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Lp</w:t>
            </w:r>
          </w:p>
        </w:tc>
        <w:tc>
          <w:tcPr>
            <w:tcW w:w="2747" w:type="dxa"/>
            <w:vMerge w:val="restart"/>
            <w:shd w:val="clear" w:color="auto" w:fill="CCFFCC"/>
          </w:tcPr>
          <w:p w14:paraId="4E8D136F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Nazwa</w:t>
            </w:r>
          </w:p>
        </w:tc>
        <w:tc>
          <w:tcPr>
            <w:tcW w:w="527" w:type="dxa"/>
            <w:vMerge w:val="restart"/>
            <w:shd w:val="clear" w:color="auto" w:fill="CCFFCC"/>
          </w:tcPr>
          <w:p w14:paraId="152F75F9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j.m</w:t>
            </w:r>
          </w:p>
        </w:tc>
        <w:tc>
          <w:tcPr>
            <w:tcW w:w="651" w:type="dxa"/>
            <w:vMerge w:val="restart"/>
            <w:shd w:val="clear" w:color="auto" w:fill="CCFFCC"/>
          </w:tcPr>
          <w:p w14:paraId="58CD9378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Ilość</w:t>
            </w:r>
          </w:p>
        </w:tc>
        <w:tc>
          <w:tcPr>
            <w:tcW w:w="1378" w:type="dxa"/>
            <w:vMerge w:val="restart"/>
            <w:shd w:val="clear" w:color="auto" w:fill="CCFFCC"/>
          </w:tcPr>
          <w:p w14:paraId="619F3D68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37" w:type="dxa"/>
            <w:shd w:val="clear" w:color="auto" w:fill="CCFFCC"/>
          </w:tcPr>
          <w:p w14:paraId="35039E51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Wartość netto (zł)</w:t>
            </w:r>
          </w:p>
        </w:tc>
        <w:tc>
          <w:tcPr>
            <w:tcW w:w="902" w:type="dxa"/>
            <w:vMerge w:val="restart"/>
            <w:shd w:val="clear" w:color="auto" w:fill="CCFFCC"/>
          </w:tcPr>
          <w:p w14:paraId="66DD539A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372" w:type="dxa"/>
            <w:shd w:val="clear" w:color="auto" w:fill="CCFFCC"/>
          </w:tcPr>
          <w:p w14:paraId="53DD3467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0920F8" w14:paraId="420854DF" w14:textId="77777777">
        <w:trPr>
          <w:jc w:val="center"/>
        </w:trPr>
        <w:tc>
          <w:tcPr>
            <w:tcW w:w="460" w:type="dxa"/>
            <w:vMerge/>
            <w:shd w:val="clear" w:color="auto" w:fill="CCFFCC"/>
          </w:tcPr>
          <w:p w14:paraId="1DCBD18D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47" w:type="dxa"/>
            <w:vMerge/>
            <w:shd w:val="clear" w:color="auto" w:fill="CCFFCC"/>
          </w:tcPr>
          <w:p w14:paraId="2F32E118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vMerge/>
            <w:shd w:val="clear" w:color="auto" w:fill="CCFFCC"/>
          </w:tcPr>
          <w:p w14:paraId="4DF22B83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vMerge/>
            <w:shd w:val="clear" w:color="auto" w:fill="CCFFCC"/>
          </w:tcPr>
          <w:p w14:paraId="5E7C199A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8" w:type="dxa"/>
            <w:vMerge/>
            <w:shd w:val="clear" w:color="auto" w:fill="CCFFCC"/>
          </w:tcPr>
          <w:p w14:paraId="59EF210E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CCFFCC"/>
          </w:tcPr>
          <w:p w14:paraId="45D3F672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0920F8">
              <w:rPr>
                <w:rFonts w:cs="Arial"/>
                <w:bCs/>
                <w:sz w:val="16"/>
                <w:szCs w:val="16"/>
              </w:rPr>
              <w:t xml:space="preserve">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D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 x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902" w:type="dxa"/>
            <w:vMerge/>
            <w:shd w:val="clear" w:color="auto" w:fill="CCFFCC"/>
          </w:tcPr>
          <w:p w14:paraId="6FA23D84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CCFFCC"/>
          </w:tcPr>
          <w:p w14:paraId="3E1EE372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0920F8">
              <w:rPr>
                <w:rFonts w:cs="Arial"/>
                <w:bCs/>
                <w:sz w:val="16"/>
                <w:szCs w:val="16"/>
              </w:rPr>
              <w:t xml:space="preserve">(kol.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F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 x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G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%) +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F</w:t>
            </w:r>
          </w:p>
        </w:tc>
      </w:tr>
      <w:tr w:rsidR="004F7DED" w:rsidRPr="000920F8" w14:paraId="4A577AF0" w14:textId="77777777">
        <w:trPr>
          <w:jc w:val="center"/>
        </w:trPr>
        <w:tc>
          <w:tcPr>
            <w:tcW w:w="460" w:type="dxa"/>
            <w:shd w:val="clear" w:color="auto" w:fill="D9D9D9"/>
          </w:tcPr>
          <w:p w14:paraId="54ACBB4A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747" w:type="dxa"/>
            <w:shd w:val="clear" w:color="auto" w:fill="D9D9D9"/>
          </w:tcPr>
          <w:p w14:paraId="0199DC47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527" w:type="dxa"/>
            <w:shd w:val="clear" w:color="auto" w:fill="D9D9D9"/>
          </w:tcPr>
          <w:p w14:paraId="06A453D5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51" w:type="dxa"/>
            <w:shd w:val="clear" w:color="auto" w:fill="D9D9D9"/>
          </w:tcPr>
          <w:p w14:paraId="6930C328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8" w:type="dxa"/>
            <w:shd w:val="clear" w:color="auto" w:fill="D9D9D9"/>
          </w:tcPr>
          <w:p w14:paraId="0EBBC463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437" w:type="dxa"/>
            <w:shd w:val="clear" w:color="auto" w:fill="D9D9D9"/>
          </w:tcPr>
          <w:p w14:paraId="5469BEF0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02" w:type="dxa"/>
            <w:shd w:val="clear" w:color="auto" w:fill="D9D9D9"/>
          </w:tcPr>
          <w:p w14:paraId="77CEE722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72" w:type="dxa"/>
            <w:shd w:val="clear" w:color="auto" w:fill="D9D9D9"/>
          </w:tcPr>
          <w:p w14:paraId="5785FD69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4F7DED" w:rsidRPr="000920F8" w14:paraId="3254AB6C" w14:textId="77777777">
        <w:trPr>
          <w:jc w:val="center"/>
        </w:trPr>
        <w:tc>
          <w:tcPr>
            <w:tcW w:w="460" w:type="dxa"/>
          </w:tcPr>
          <w:p w14:paraId="19142234" w14:textId="77777777" w:rsidR="004F7DED" w:rsidRPr="000920F8" w:rsidRDefault="004F7DED" w:rsidP="00BA30E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14:paraId="3470F6A3" w14:textId="77777777" w:rsidR="004F7DED" w:rsidRPr="00E60466" w:rsidRDefault="00B7294A" w:rsidP="0010263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B7294A">
              <w:rPr>
                <w:rFonts w:cs="Arial"/>
                <w:b/>
                <w:sz w:val="20"/>
                <w:szCs w:val="20"/>
              </w:rPr>
              <w:t>System ogrzewania pacjenta podczas zabiegu</w:t>
            </w:r>
            <w:r w:rsidR="00EB0FF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E61FE">
              <w:rPr>
                <w:rFonts w:cs="Arial"/>
                <w:b/>
                <w:sz w:val="20"/>
                <w:szCs w:val="20"/>
              </w:rPr>
              <w:t>(</w:t>
            </w:r>
            <w:r w:rsidR="00EB0FF0">
              <w:rPr>
                <w:rFonts w:cs="Arial"/>
                <w:b/>
                <w:sz w:val="20"/>
                <w:szCs w:val="20"/>
              </w:rPr>
              <w:t>z wyposażeniem</w:t>
            </w:r>
            <w:r w:rsidR="004E61F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527" w:type="dxa"/>
          </w:tcPr>
          <w:p w14:paraId="6CB2AB92" w14:textId="77777777" w:rsidR="004F7DED" w:rsidRPr="000920F8" w:rsidRDefault="006847B5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kpl</w:t>
            </w:r>
          </w:p>
        </w:tc>
        <w:tc>
          <w:tcPr>
            <w:tcW w:w="651" w:type="dxa"/>
          </w:tcPr>
          <w:p w14:paraId="1D6CF082" w14:textId="77777777" w:rsidR="004F7DED" w:rsidRPr="000920F8" w:rsidRDefault="003124FF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14:paraId="7753776D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58198662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14:paraId="66454C1E" w14:textId="77777777" w:rsidR="004F7DED" w:rsidRPr="000920F8" w:rsidRDefault="006847B5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14:paraId="0B861808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920F8" w:rsidRPr="000920F8" w14:paraId="46667158" w14:textId="77777777">
        <w:trPr>
          <w:jc w:val="center"/>
        </w:trPr>
        <w:tc>
          <w:tcPr>
            <w:tcW w:w="5763" w:type="dxa"/>
            <w:gridSpan w:val="5"/>
          </w:tcPr>
          <w:p w14:paraId="754110C5" w14:textId="77777777" w:rsidR="000920F8" w:rsidRPr="000920F8" w:rsidRDefault="000920F8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920F8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437" w:type="dxa"/>
          </w:tcPr>
          <w:p w14:paraId="5C2D3ACB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l2br w:val="single" w:sz="4" w:space="0" w:color="auto"/>
              <w:tr2bl w:val="single" w:sz="4" w:space="0" w:color="auto"/>
            </w:tcBorders>
          </w:tcPr>
          <w:p w14:paraId="4E3566DF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14:paraId="71B84CC7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3170AF8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060CA94F" w14:textId="77777777" w:rsidR="00AA66CC" w:rsidRPr="00AA66CC" w:rsidRDefault="006F3F1E" w:rsidP="00AB7ED4"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sectPr w:rsidR="00AA66CC" w:rsidRPr="00AA66CC" w:rsidSect="001E4F16">
      <w:headerReference w:type="default" r:id="rId8"/>
      <w:footerReference w:type="default" r:id="rId9"/>
      <w:pgSz w:w="11906" w:h="16838"/>
      <w:pgMar w:top="1417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339C" w14:textId="77777777" w:rsidR="00506F79" w:rsidRDefault="00506F79" w:rsidP="00D95E51">
      <w:pPr>
        <w:spacing w:after="0" w:line="240" w:lineRule="auto"/>
      </w:pPr>
      <w:r>
        <w:separator/>
      </w:r>
    </w:p>
  </w:endnote>
  <w:endnote w:type="continuationSeparator" w:id="0">
    <w:p w14:paraId="3FB57666" w14:textId="77777777" w:rsidR="00506F79" w:rsidRDefault="00506F79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92C6" w14:textId="77777777" w:rsidR="00A54ED8" w:rsidRPr="007C139A" w:rsidRDefault="00A54ED8" w:rsidP="002D2C35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 xml:space="preserve">Zał. </w:t>
    </w:r>
    <w:r w:rsidR="003124FF">
      <w:rPr>
        <w:lang w:val="pl-PL"/>
      </w:rPr>
      <w:t>1A-</w:t>
    </w:r>
    <w:r w:rsidR="00B432EB">
      <w:rPr>
        <w:lang w:val="pl-PL"/>
      </w:rPr>
      <w:t>4</w:t>
    </w:r>
    <w:r>
      <w:t xml:space="preserve"> Opis przedmiotu zamówienia –</w:t>
    </w:r>
    <w:r w:rsidR="00C073DF">
      <w:t xml:space="preserve"> </w:t>
    </w:r>
    <w:r w:rsidR="00AA414E" w:rsidRPr="00AA414E">
      <w:t>System ogrzewania pacjenta podczas zabiegu</w:t>
    </w:r>
  </w:p>
  <w:p w14:paraId="659B8760" w14:textId="77777777" w:rsidR="00A54ED8" w:rsidRDefault="00A54ED8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7E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5E59B" w14:textId="77777777" w:rsidR="00506F79" w:rsidRDefault="00506F79" w:rsidP="00D95E51">
      <w:pPr>
        <w:spacing w:after="0" w:line="240" w:lineRule="auto"/>
      </w:pPr>
      <w:r>
        <w:separator/>
      </w:r>
    </w:p>
  </w:footnote>
  <w:footnote w:type="continuationSeparator" w:id="0">
    <w:p w14:paraId="6F10CB6C" w14:textId="77777777" w:rsidR="00506F79" w:rsidRDefault="00506F79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03B7" w14:textId="1A88E31B" w:rsidR="00C073DF" w:rsidRDefault="00466FA8" w:rsidP="006B5808">
    <w:pPr>
      <w:spacing w:after="0" w:line="240" w:lineRule="auto"/>
      <w:jc w:val="right"/>
    </w:pPr>
    <w:bookmarkStart w:id="1" w:name="_Hlk165977863"/>
    <w:bookmarkStart w:id="2" w:name="_Hlk167715565"/>
    <w:r w:rsidRPr="00FD4C53">
      <w:rPr>
        <w:noProof/>
      </w:rPr>
      <w:drawing>
        <wp:inline distT="0" distB="0" distL="0" distR="0" wp14:anchorId="3C917563" wp14:editId="02F20A7C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bookmarkEnd w:id="2"/>
  <w:p w14:paraId="41684172" w14:textId="77777777" w:rsidR="00A54ED8" w:rsidRDefault="00A54ED8" w:rsidP="006B5808">
    <w:pPr>
      <w:spacing w:after="0" w:line="240" w:lineRule="auto"/>
      <w:jc w:val="right"/>
    </w:pPr>
    <w:r>
      <w:t>SPZOZ_NT.DZP.241.</w:t>
    </w:r>
    <w:r w:rsidR="00432D91">
      <w:t>1</w:t>
    </w:r>
    <w:r>
      <w:t>0.2</w:t>
    </w:r>
    <w:r w:rsidR="006B5808">
      <w:t>4</w:t>
    </w:r>
  </w:p>
  <w:p w14:paraId="57A39492" w14:textId="77777777" w:rsidR="00A54ED8" w:rsidRPr="0021159D" w:rsidRDefault="00A54ED8" w:rsidP="003D2384">
    <w:pPr>
      <w:spacing w:after="0" w:line="24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F70D49"/>
    <w:multiLevelType w:val="hybridMultilevel"/>
    <w:tmpl w:val="D20ED8B2"/>
    <w:lvl w:ilvl="0" w:tplc="4896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D67"/>
    <w:multiLevelType w:val="hybridMultilevel"/>
    <w:tmpl w:val="53E25BD8"/>
    <w:lvl w:ilvl="0" w:tplc="F8242666">
      <w:start w:val="1"/>
      <w:numFmt w:val="bullet"/>
      <w:lvlText w:val="·"/>
      <w:lvlJc w:val="left"/>
      <w:pPr>
        <w:tabs>
          <w:tab w:val="num" w:pos="638"/>
          <w:tab w:val="left" w:pos="708"/>
        </w:tabs>
        <w:ind w:left="65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66EB41E">
      <w:start w:val="1"/>
      <w:numFmt w:val="bullet"/>
      <w:lvlText w:val="o"/>
      <w:lvlJc w:val="left"/>
      <w:pPr>
        <w:tabs>
          <w:tab w:val="left" w:pos="708"/>
          <w:tab w:val="num" w:pos="1349"/>
        </w:tabs>
        <w:ind w:left="1361" w:hanging="2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6E7982">
      <w:start w:val="1"/>
      <w:numFmt w:val="bullet"/>
      <w:lvlText w:val="▪"/>
      <w:lvlJc w:val="left"/>
      <w:pPr>
        <w:tabs>
          <w:tab w:val="left" w:pos="708"/>
          <w:tab w:val="num" w:pos="2059"/>
        </w:tabs>
        <w:ind w:left="2071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29E77A0">
      <w:start w:val="1"/>
      <w:numFmt w:val="bullet"/>
      <w:lvlText w:val="·"/>
      <w:lvlJc w:val="left"/>
      <w:pPr>
        <w:tabs>
          <w:tab w:val="left" w:pos="708"/>
          <w:tab w:val="num" w:pos="2770"/>
        </w:tabs>
        <w:ind w:left="2782" w:hanging="2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0AE637E">
      <w:start w:val="1"/>
      <w:numFmt w:val="bullet"/>
      <w:lvlText w:val="o"/>
      <w:lvlJc w:val="left"/>
      <w:pPr>
        <w:tabs>
          <w:tab w:val="left" w:pos="708"/>
          <w:tab w:val="num" w:pos="3480"/>
        </w:tabs>
        <w:ind w:left="34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E6E934">
      <w:start w:val="1"/>
      <w:numFmt w:val="bullet"/>
      <w:lvlText w:val="▪"/>
      <w:lvlJc w:val="left"/>
      <w:pPr>
        <w:tabs>
          <w:tab w:val="left" w:pos="708"/>
          <w:tab w:val="num" w:pos="4190"/>
        </w:tabs>
        <w:ind w:left="4202" w:hanging="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6769944">
      <w:start w:val="1"/>
      <w:numFmt w:val="bullet"/>
      <w:lvlText w:val="·"/>
      <w:lvlJc w:val="left"/>
      <w:pPr>
        <w:tabs>
          <w:tab w:val="left" w:pos="708"/>
          <w:tab w:val="num" w:pos="4901"/>
        </w:tabs>
        <w:ind w:left="4913" w:hanging="2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2623A50">
      <w:start w:val="1"/>
      <w:numFmt w:val="bullet"/>
      <w:lvlText w:val="o"/>
      <w:lvlJc w:val="left"/>
      <w:pPr>
        <w:tabs>
          <w:tab w:val="left" w:pos="708"/>
          <w:tab w:val="num" w:pos="5611"/>
        </w:tabs>
        <w:ind w:left="562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CB81AAA">
      <w:start w:val="1"/>
      <w:numFmt w:val="bullet"/>
      <w:lvlText w:val="▪"/>
      <w:lvlJc w:val="left"/>
      <w:pPr>
        <w:tabs>
          <w:tab w:val="left" w:pos="708"/>
          <w:tab w:val="num" w:pos="6322"/>
        </w:tabs>
        <w:ind w:left="6334" w:hanging="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3E5F"/>
    <w:multiLevelType w:val="hybridMultilevel"/>
    <w:tmpl w:val="FA50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42B9D"/>
    <w:multiLevelType w:val="hybridMultilevel"/>
    <w:tmpl w:val="D60887DE"/>
    <w:lvl w:ilvl="0" w:tplc="B9B27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6168266">
    <w:abstractNumId w:val="0"/>
  </w:num>
  <w:num w:numId="2" w16cid:durableId="1937904363">
    <w:abstractNumId w:val="8"/>
  </w:num>
  <w:num w:numId="3" w16cid:durableId="18277441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223162">
    <w:abstractNumId w:val="7"/>
  </w:num>
  <w:num w:numId="5" w16cid:durableId="1337925933">
    <w:abstractNumId w:val="1"/>
  </w:num>
  <w:num w:numId="6" w16cid:durableId="1898008040">
    <w:abstractNumId w:val="5"/>
  </w:num>
  <w:num w:numId="7" w16cid:durableId="1912035732">
    <w:abstractNumId w:val="6"/>
  </w:num>
  <w:num w:numId="8" w16cid:durableId="1511289104">
    <w:abstractNumId w:val="2"/>
  </w:num>
  <w:num w:numId="9" w16cid:durableId="121708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0757E"/>
    <w:rsid w:val="0001132B"/>
    <w:rsid w:val="000148FB"/>
    <w:rsid w:val="000172E9"/>
    <w:rsid w:val="00017EDA"/>
    <w:rsid w:val="000307FF"/>
    <w:rsid w:val="00033E94"/>
    <w:rsid w:val="00035D00"/>
    <w:rsid w:val="00037BA3"/>
    <w:rsid w:val="00041A1E"/>
    <w:rsid w:val="00053ED9"/>
    <w:rsid w:val="00054F82"/>
    <w:rsid w:val="0006135F"/>
    <w:rsid w:val="00062799"/>
    <w:rsid w:val="0006411D"/>
    <w:rsid w:val="00066CE9"/>
    <w:rsid w:val="000710C3"/>
    <w:rsid w:val="00087D82"/>
    <w:rsid w:val="000920F8"/>
    <w:rsid w:val="00095425"/>
    <w:rsid w:val="00097621"/>
    <w:rsid w:val="00097FE0"/>
    <w:rsid w:val="000A3080"/>
    <w:rsid w:val="000B3418"/>
    <w:rsid w:val="000B6D88"/>
    <w:rsid w:val="000B73BA"/>
    <w:rsid w:val="000C3875"/>
    <w:rsid w:val="000C49FD"/>
    <w:rsid w:val="000D1777"/>
    <w:rsid w:val="000D2DCB"/>
    <w:rsid w:val="000D3311"/>
    <w:rsid w:val="000D4A10"/>
    <w:rsid w:val="000D64CF"/>
    <w:rsid w:val="000E034E"/>
    <w:rsid w:val="000F04FD"/>
    <w:rsid w:val="000F0F87"/>
    <w:rsid w:val="000F703D"/>
    <w:rsid w:val="000F7B2B"/>
    <w:rsid w:val="00102637"/>
    <w:rsid w:val="001078D8"/>
    <w:rsid w:val="00107A13"/>
    <w:rsid w:val="00110112"/>
    <w:rsid w:val="00111A70"/>
    <w:rsid w:val="0011405F"/>
    <w:rsid w:val="00116466"/>
    <w:rsid w:val="00122F60"/>
    <w:rsid w:val="001267C6"/>
    <w:rsid w:val="0013228E"/>
    <w:rsid w:val="0014443E"/>
    <w:rsid w:val="00147C5C"/>
    <w:rsid w:val="0015031C"/>
    <w:rsid w:val="00151E86"/>
    <w:rsid w:val="001556B5"/>
    <w:rsid w:val="00156117"/>
    <w:rsid w:val="001608BC"/>
    <w:rsid w:val="00174D23"/>
    <w:rsid w:val="001825A9"/>
    <w:rsid w:val="00187943"/>
    <w:rsid w:val="00194AA5"/>
    <w:rsid w:val="001A1794"/>
    <w:rsid w:val="001A34DA"/>
    <w:rsid w:val="001A7C82"/>
    <w:rsid w:val="001B0D45"/>
    <w:rsid w:val="001B274D"/>
    <w:rsid w:val="001B53D9"/>
    <w:rsid w:val="001B6C40"/>
    <w:rsid w:val="001C6637"/>
    <w:rsid w:val="001D00B3"/>
    <w:rsid w:val="001D033E"/>
    <w:rsid w:val="001D3327"/>
    <w:rsid w:val="001E0AA6"/>
    <w:rsid w:val="001E4F16"/>
    <w:rsid w:val="001F18D1"/>
    <w:rsid w:val="001F6F0D"/>
    <w:rsid w:val="001F7C23"/>
    <w:rsid w:val="00203A7E"/>
    <w:rsid w:val="00203D09"/>
    <w:rsid w:val="00206615"/>
    <w:rsid w:val="0020701D"/>
    <w:rsid w:val="0021159D"/>
    <w:rsid w:val="00211FA2"/>
    <w:rsid w:val="002137EE"/>
    <w:rsid w:val="00214147"/>
    <w:rsid w:val="00221CEC"/>
    <w:rsid w:val="002258D5"/>
    <w:rsid w:val="00225CBF"/>
    <w:rsid w:val="002314A5"/>
    <w:rsid w:val="00231E54"/>
    <w:rsid w:val="00240E8E"/>
    <w:rsid w:val="00244EDE"/>
    <w:rsid w:val="0024530A"/>
    <w:rsid w:val="002461F4"/>
    <w:rsid w:val="002475BC"/>
    <w:rsid w:val="002502BE"/>
    <w:rsid w:val="002524ED"/>
    <w:rsid w:val="00253014"/>
    <w:rsid w:val="002551FB"/>
    <w:rsid w:val="00257DAE"/>
    <w:rsid w:val="002609A2"/>
    <w:rsid w:val="00275022"/>
    <w:rsid w:val="002830D2"/>
    <w:rsid w:val="00290B79"/>
    <w:rsid w:val="00291CA9"/>
    <w:rsid w:val="0029258F"/>
    <w:rsid w:val="002A7B9E"/>
    <w:rsid w:val="002B21E7"/>
    <w:rsid w:val="002B48AB"/>
    <w:rsid w:val="002B76C4"/>
    <w:rsid w:val="002C089A"/>
    <w:rsid w:val="002C35E1"/>
    <w:rsid w:val="002D1DBB"/>
    <w:rsid w:val="002D2C35"/>
    <w:rsid w:val="002D74E5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4BF7"/>
    <w:rsid w:val="003056BC"/>
    <w:rsid w:val="003124FF"/>
    <w:rsid w:val="0031739E"/>
    <w:rsid w:val="00323481"/>
    <w:rsid w:val="00330062"/>
    <w:rsid w:val="003324C4"/>
    <w:rsid w:val="00341D57"/>
    <w:rsid w:val="003430C8"/>
    <w:rsid w:val="003514E5"/>
    <w:rsid w:val="00360FDC"/>
    <w:rsid w:val="00367B31"/>
    <w:rsid w:val="00371302"/>
    <w:rsid w:val="00371BA6"/>
    <w:rsid w:val="00376E99"/>
    <w:rsid w:val="00380FD9"/>
    <w:rsid w:val="003852E9"/>
    <w:rsid w:val="00393026"/>
    <w:rsid w:val="003936E0"/>
    <w:rsid w:val="003947E3"/>
    <w:rsid w:val="003A0CA1"/>
    <w:rsid w:val="003A68BA"/>
    <w:rsid w:val="003A6EC1"/>
    <w:rsid w:val="003A736D"/>
    <w:rsid w:val="003B03CF"/>
    <w:rsid w:val="003B3339"/>
    <w:rsid w:val="003B3C66"/>
    <w:rsid w:val="003C1AA9"/>
    <w:rsid w:val="003C4FF6"/>
    <w:rsid w:val="003C79AC"/>
    <w:rsid w:val="003D10B1"/>
    <w:rsid w:val="003D2384"/>
    <w:rsid w:val="003D446F"/>
    <w:rsid w:val="003E0220"/>
    <w:rsid w:val="003E0B1C"/>
    <w:rsid w:val="003E3114"/>
    <w:rsid w:val="003E7A1B"/>
    <w:rsid w:val="003F39A4"/>
    <w:rsid w:val="003F58F8"/>
    <w:rsid w:val="00401EE9"/>
    <w:rsid w:val="00402501"/>
    <w:rsid w:val="004029AE"/>
    <w:rsid w:val="004060CC"/>
    <w:rsid w:val="0041116F"/>
    <w:rsid w:val="00414DD6"/>
    <w:rsid w:val="00420163"/>
    <w:rsid w:val="00421F32"/>
    <w:rsid w:val="00427A6A"/>
    <w:rsid w:val="00432D91"/>
    <w:rsid w:val="004348E1"/>
    <w:rsid w:val="0044188D"/>
    <w:rsid w:val="00442773"/>
    <w:rsid w:val="00443E8B"/>
    <w:rsid w:val="0044455B"/>
    <w:rsid w:val="00452703"/>
    <w:rsid w:val="00452D8F"/>
    <w:rsid w:val="00455F14"/>
    <w:rsid w:val="00460F47"/>
    <w:rsid w:val="00461F75"/>
    <w:rsid w:val="004627B3"/>
    <w:rsid w:val="00466FA8"/>
    <w:rsid w:val="004672B1"/>
    <w:rsid w:val="00467400"/>
    <w:rsid w:val="0046769C"/>
    <w:rsid w:val="00477459"/>
    <w:rsid w:val="00483453"/>
    <w:rsid w:val="004901D9"/>
    <w:rsid w:val="00494B2D"/>
    <w:rsid w:val="004A1ED2"/>
    <w:rsid w:val="004A5A25"/>
    <w:rsid w:val="004A788D"/>
    <w:rsid w:val="004A7A6E"/>
    <w:rsid w:val="004B1442"/>
    <w:rsid w:val="004B651C"/>
    <w:rsid w:val="004C0202"/>
    <w:rsid w:val="004C083C"/>
    <w:rsid w:val="004C0FD8"/>
    <w:rsid w:val="004D58C4"/>
    <w:rsid w:val="004D66F1"/>
    <w:rsid w:val="004D7C37"/>
    <w:rsid w:val="004E0E50"/>
    <w:rsid w:val="004E5239"/>
    <w:rsid w:val="004E61FE"/>
    <w:rsid w:val="004F4D50"/>
    <w:rsid w:val="004F5ACE"/>
    <w:rsid w:val="004F7DED"/>
    <w:rsid w:val="0050305F"/>
    <w:rsid w:val="00504768"/>
    <w:rsid w:val="00506F79"/>
    <w:rsid w:val="005071C3"/>
    <w:rsid w:val="00514134"/>
    <w:rsid w:val="005148C3"/>
    <w:rsid w:val="00516EEE"/>
    <w:rsid w:val="005224B6"/>
    <w:rsid w:val="0052294C"/>
    <w:rsid w:val="00530711"/>
    <w:rsid w:val="00531D97"/>
    <w:rsid w:val="0053344D"/>
    <w:rsid w:val="00540C08"/>
    <w:rsid w:val="005521FF"/>
    <w:rsid w:val="00555D15"/>
    <w:rsid w:val="00556A61"/>
    <w:rsid w:val="00571205"/>
    <w:rsid w:val="00573E4F"/>
    <w:rsid w:val="005740C8"/>
    <w:rsid w:val="00574192"/>
    <w:rsid w:val="00580B78"/>
    <w:rsid w:val="00583976"/>
    <w:rsid w:val="00585D43"/>
    <w:rsid w:val="00592F4D"/>
    <w:rsid w:val="00592FFC"/>
    <w:rsid w:val="00593CCE"/>
    <w:rsid w:val="00597741"/>
    <w:rsid w:val="005A24DD"/>
    <w:rsid w:val="005A3E1F"/>
    <w:rsid w:val="005A6AD7"/>
    <w:rsid w:val="005B3125"/>
    <w:rsid w:val="005B7AFC"/>
    <w:rsid w:val="005B7BA2"/>
    <w:rsid w:val="005C1330"/>
    <w:rsid w:val="005C19F0"/>
    <w:rsid w:val="005C21AE"/>
    <w:rsid w:val="005C3A5A"/>
    <w:rsid w:val="005C46A6"/>
    <w:rsid w:val="005D2E24"/>
    <w:rsid w:val="005D41AB"/>
    <w:rsid w:val="005E0092"/>
    <w:rsid w:val="005E00CF"/>
    <w:rsid w:val="005E2B14"/>
    <w:rsid w:val="005E2F10"/>
    <w:rsid w:val="005F63E3"/>
    <w:rsid w:val="0060644C"/>
    <w:rsid w:val="006117C4"/>
    <w:rsid w:val="006141BD"/>
    <w:rsid w:val="00614722"/>
    <w:rsid w:val="00614870"/>
    <w:rsid w:val="00615779"/>
    <w:rsid w:val="006233E4"/>
    <w:rsid w:val="00634733"/>
    <w:rsid w:val="006404B5"/>
    <w:rsid w:val="00641D6C"/>
    <w:rsid w:val="006447BA"/>
    <w:rsid w:val="00646054"/>
    <w:rsid w:val="006512BC"/>
    <w:rsid w:val="00654799"/>
    <w:rsid w:val="00654E8D"/>
    <w:rsid w:val="006628F6"/>
    <w:rsid w:val="00665DFB"/>
    <w:rsid w:val="00672D1F"/>
    <w:rsid w:val="006733A3"/>
    <w:rsid w:val="00676FD7"/>
    <w:rsid w:val="0067761D"/>
    <w:rsid w:val="00680548"/>
    <w:rsid w:val="0068182F"/>
    <w:rsid w:val="00682075"/>
    <w:rsid w:val="00683930"/>
    <w:rsid w:val="006847B5"/>
    <w:rsid w:val="00694ECA"/>
    <w:rsid w:val="00695174"/>
    <w:rsid w:val="00695242"/>
    <w:rsid w:val="006974BB"/>
    <w:rsid w:val="006B0596"/>
    <w:rsid w:val="006B4177"/>
    <w:rsid w:val="006B5808"/>
    <w:rsid w:val="006B5DA3"/>
    <w:rsid w:val="006C121E"/>
    <w:rsid w:val="006C30F0"/>
    <w:rsid w:val="006C5981"/>
    <w:rsid w:val="006D0142"/>
    <w:rsid w:val="006D04AF"/>
    <w:rsid w:val="006D3FE9"/>
    <w:rsid w:val="006D5412"/>
    <w:rsid w:val="006E1C05"/>
    <w:rsid w:val="006E1C1D"/>
    <w:rsid w:val="006E3A2B"/>
    <w:rsid w:val="006F1E53"/>
    <w:rsid w:val="006F2120"/>
    <w:rsid w:val="006F389C"/>
    <w:rsid w:val="006F3F1E"/>
    <w:rsid w:val="0070733F"/>
    <w:rsid w:val="00716BAA"/>
    <w:rsid w:val="00717F63"/>
    <w:rsid w:val="00721689"/>
    <w:rsid w:val="00723BD9"/>
    <w:rsid w:val="00733B96"/>
    <w:rsid w:val="00747265"/>
    <w:rsid w:val="007504FB"/>
    <w:rsid w:val="00753C94"/>
    <w:rsid w:val="00755B7E"/>
    <w:rsid w:val="0077433D"/>
    <w:rsid w:val="007743EA"/>
    <w:rsid w:val="00775694"/>
    <w:rsid w:val="00775744"/>
    <w:rsid w:val="007759A0"/>
    <w:rsid w:val="00787543"/>
    <w:rsid w:val="00794079"/>
    <w:rsid w:val="00797488"/>
    <w:rsid w:val="007A3D38"/>
    <w:rsid w:val="007A6210"/>
    <w:rsid w:val="007B0515"/>
    <w:rsid w:val="007B07C8"/>
    <w:rsid w:val="007B5D30"/>
    <w:rsid w:val="007C0D0C"/>
    <w:rsid w:val="007C139A"/>
    <w:rsid w:val="007C54F8"/>
    <w:rsid w:val="007D0BD3"/>
    <w:rsid w:val="007E14F1"/>
    <w:rsid w:val="007E42FD"/>
    <w:rsid w:val="007E4A4B"/>
    <w:rsid w:val="007E5653"/>
    <w:rsid w:val="007F0F9C"/>
    <w:rsid w:val="007F6828"/>
    <w:rsid w:val="00800FD1"/>
    <w:rsid w:val="00801E10"/>
    <w:rsid w:val="00803071"/>
    <w:rsid w:val="00804CB2"/>
    <w:rsid w:val="00810524"/>
    <w:rsid w:val="00812059"/>
    <w:rsid w:val="00812D6E"/>
    <w:rsid w:val="008138A3"/>
    <w:rsid w:val="008205D6"/>
    <w:rsid w:val="00820B55"/>
    <w:rsid w:val="0082555B"/>
    <w:rsid w:val="00825A21"/>
    <w:rsid w:val="008267CB"/>
    <w:rsid w:val="00843011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7EF9"/>
    <w:rsid w:val="00880674"/>
    <w:rsid w:val="00892C47"/>
    <w:rsid w:val="00893A06"/>
    <w:rsid w:val="00895805"/>
    <w:rsid w:val="0089686A"/>
    <w:rsid w:val="008A177D"/>
    <w:rsid w:val="008B6A64"/>
    <w:rsid w:val="008C18E7"/>
    <w:rsid w:val="008C3C9D"/>
    <w:rsid w:val="008E007B"/>
    <w:rsid w:val="008E0CE7"/>
    <w:rsid w:val="008E2162"/>
    <w:rsid w:val="008F1C5E"/>
    <w:rsid w:val="008F4669"/>
    <w:rsid w:val="008F46F2"/>
    <w:rsid w:val="008F4E4A"/>
    <w:rsid w:val="008F7D14"/>
    <w:rsid w:val="00907495"/>
    <w:rsid w:val="00910F44"/>
    <w:rsid w:val="009266C6"/>
    <w:rsid w:val="009320FC"/>
    <w:rsid w:val="00932B88"/>
    <w:rsid w:val="00932D4C"/>
    <w:rsid w:val="00935C64"/>
    <w:rsid w:val="00936CF4"/>
    <w:rsid w:val="00937588"/>
    <w:rsid w:val="00937F6B"/>
    <w:rsid w:val="00941880"/>
    <w:rsid w:val="009443B1"/>
    <w:rsid w:val="00945C55"/>
    <w:rsid w:val="00946D99"/>
    <w:rsid w:val="00947483"/>
    <w:rsid w:val="00947D85"/>
    <w:rsid w:val="00955AA0"/>
    <w:rsid w:val="00956688"/>
    <w:rsid w:val="00960859"/>
    <w:rsid w:val="00961AF6"/>
    <w:rsid w:val="0096375D"/>
    <w:rsid w:val="0096538D"/>
    <w:rsid w:val="00966CD3"/>
    <w:rsid w:val="00967A65"/>
    <w:rsid w:val="0097024E"/>
    <w:rsid w:val="0097182F"/>
    <w:rsid w:val="00971BC9"/>
    <w:rsid w:val="00971DBA"/>
    <w:rsid w:val="00971DD0"/>
    <w:rsid w:val="009769D9"/>
    <w:rsid w:val="0098430B"/>
    <w:rsid w:val="00987FB5"/>
    <w:rsid w:val="009911E6"/>
    <w:rsid w:val="009914B3"/>
    <w:rsid w:val="0099174E"/>
    <w:rsid w:val="00992A7F"/>
    <w:rsid w:val="00992DE8"/>
    <w:rsid w:val="009A0051"/>
    <w:rsid w:val="009A104B"/>
    <w:rsid w:val="009A3553"/>
    <w:rsid w:val="009B2226"/>
    <w:rsid w:val="009B62CF"/>
    <w:rsid w:val="009C0F1F"/>
    <w:rsid w:val="009C5231"/>
    <w:rsid w:val="009D0836"/>
    <w:rsid w:val="009D10A0"/>
    <w:rsid w:val="009D621F"/>
    <w:rsid w:val="009D6E4C"/>
    <w:rsid w:val="009D74A5"/>
    <w:rsid w:val="009E66A6"/>
    <w:rsid w:val="009F2155"/>
    <w:rsid w:val="009F328A"/>
    <w:rsid w:val="009F4C4A"/>
    <w:rsid w:val="009F7A2C"/>
    <w:rsid w:val="00A00246"/>
    <w:rsid w:val="00A0133E"/>
    <w:rsid w:val="00A01F7C"/>
    <w:rsid w:val="00A0299A"/>
    <w:rsid w:val="00A12C6A"/>
    <w:rsid w:val="00A1784A"/>
    <w:rsid w:val="00A201F3"/>
    <w:rsid w:val="00A21982"/>
    <w:rsid w:val="00A21D47"/>
    <w:rsid w:val="00A255B2"/>
    <w:rsid w:val="00A25931"/>
    <w:rsid w:val="00A37790"/>
    <w:rsid w:val="00A414BC"/>
    <w:rsid w:val="00A44EF4"/>
    <w:rsid w:val="00A543A7"/>
    <w:rsid w:val="00A54ED8"/>
    <w:rsid w:val="00A7527D"/>
    <w:rsid w:val="00A77E32"/>
    <w:rsid w:val="00A8105E"/>
    <w:rsid w:val="00A83B5E"/>
    <w:rsid w:val="00A83C08"/>
    <w:rsid w:val="00A8553F"/>
    <w:rsid w:val="00A91295"/>
    <w:rsid w:val="00A92C97"/>
    <w:rsid w:val="00A947F7"/>
    <w:rsid w:val="00A96470"/>
    <w:rsid w:val="00AA0A46"/>
    <w:rsid w:val="00AA2F81"/>
    <w:rsid w:val="00AA414E"/>
    <w:rsid w:val="00AA66CC"/>
    <w:rsid w:val="00AA7334"/>
    <w:rsid w:val="00AB0C19"/>
    <w:rsid w:val="00AB47E3"/>
    <w:rsid w:val="00AB494D"/>
    <w:rsid w:val="00AB7ED4"/>
    <w:rsid w:val="00AC2720"/>
    <w:rsid w:val="00AC7784"/>
    <w:rsid w:val="00AD4459"/>
    <w:rsid w:val="00AE17AE"/>
    <w:rsid w:val="00AE6AD1"/>
    <w:rsid w:val="00AF008C"/>
    <w:rsid w:val="00AF6D97"/>
    <w:rsid w:val="00AF7925"/>
    <w:rsid w:val="00B00F0B"/>
    <w:rsid w:val="00B026FC"/>
    <w:rsid w:val="00B02954"/>
    <w:rsid w:val="00B02AEA"/>
    <w:rsid w:val="00B03F04"/>
    <w:rsid w:val="00B06ECF"/>
    <w:rsid w:val="00B07390"/>
    <w:rsid w:val="00B074CB"/>
    <w:rsid w:val="00B10DAA"/>
    <w:rsid w:val="00B143F2"/>
    <w:rsid w:val="00B16FB2"/>
    <w:rsid w:val="00B31F19"/>
    <w:rsid w:val="00B344EB"/>
    <w:rsid w:val="00B40E04"/>
    <w:rsid w:val="00B42885"/>
    <w:rsid w:val="00B432EB"/>
    <w:rsid w:val="00B47A75"/>
    <w:rsid w:val="00B5172B"/>
    <w:rsid w:val="00B60132"/>
    <w:rsid w:val="00B7294A"/>
    <w:rsid w:val="00B7345B"/>
    <w:rsid w:val="00B8143B"/>
    <w:rsid w:val="00B81B4C"/>
    <w:rsid w:val="00B90BCD"/>
    <w:rsid w:val="00B9323B"/>
    <w:rsid w:val="00B93B0C"/>
    <w:rsid w:val="00BA30E1"/>
    <w:rsid w:val="00BA3ACD"/>
    <w:rsid w:val="00BB6027"/>
    <w:rsid w:val="00BC6A01"/>
    <w:rsid w:val="00BD3659"/>
    <w:rsid w:val="00BE239E"/>
    <w:rsid w:val="00BF0803"/>
    <w:rsid w:val="00BF12E2"/>
    <w:rsid w:val="00BF45D6"/>
    <w:rsid w:val="00BF4C4B"/>
    <w:rsid w:val="00BF4E7F"/>
    <w:rsid w:val="00BF51FB"/>
    <w:rsid w:val="00BF5A9E"/>
    <w:rsid w:val="00BF6CC6"/>
    <w:rsid w:val="00BF6D60"/>
    <w:rsid w:val="00C029E6"/>
    <w:rsid w:val="00C06CA6"/>
    <w:rsid w:val="00C073DF"/>
    <w:rsid w:val="00C10AB9"/>
    <w:rsid w:val="00C11FAD"/>
    <w:rsid w:val="00C137BD"/>
    <w:rsid w:val="00C27B91"/>
    <w:rsid w:val="00C306B0"/>
    <w:rsid w:val="00C32907"/>
    <w:rsid w:val="00C402B6"/>
    <w:rsid w:val="00C454BB"/>
    <w:rsid w:val="00C567CA"/>
    <w:rsid w:val="00C575F4"/>
    <w:rsid w:val="00C57E07"/>
    <w:rsid w:val="00C604F3"/>
    <w:rsid w:val="00C6403E"/>
    <w:rsid w:val="00C719A7"/>
    <w:rsid w:val="00C809BA"/>
    <w:rsid w:val="00C80B11"/>
    <w:rsid w:val="00C850B3"/>
    <w:rsid w:val="00C95AD5"/>
    <w:rsid w:val="00CA0C8C"/>
    <w:rsid w:val="00CA1EA6"/>
    <w:rsid w:val="00CA6ACA"/>
    <w:rsid w:val="00CB0094"/>
    <w:rsid w:val="00CB067A"/>
    <w:rsid w:val="00CB16EA"/>
    <w:rsid w:val="00CB51DA"/>
    <w:rsid w:val="00CC186B"/>
    <w:rsid w:val="00CC3677"/>
    <w:rsid w:val="00CD736A"/>
    <w:rsid w:val="00CE1C20"/>
    <w:rsid w:val="00CE2802"/>
    <w:rsid w:val="00CE4753"/>
    <w:rsid w:val="00CE6237"/>
    <w:rsid w:val="00CF02B4"/>
    <w:rsid w:val="00CF2D26"/>
    <w:rsid w:val="00CF70CC"/>
    <w:rsid w:val="00D0080A"/>
    <w:rsid w:val="00D016B2"/>
    <w:rsid w:val="00D035C3"/>
    <w:rsid w:val="00D04D2A"/>
    <w:rsid w:val="00D07FC7"/>
    <w:rsid w:val="00D10D3C"/>
    <w:rsid w:val="00D12CEA"/>
    <w:rsid w:val="00D217CE"/>
    <w:rsid w:val="00D24BF4"/>
    <w:rsid w:val="00D30AC5"/>
    <w:rsid w:val="00D311DB"/>
    <w:rsid w:val="00D31CA2"/>
    <w:rsid w:val="00D432EF"/>
    <w:rsid w:val="00D50601"/>
    <w:rsid w:val="00D50617"/>
    <w:rsid w:val="00D526DA"/>
    <w:rsid w:val="00D529C9"/>
    <w:rsid w:val="00D627A8"/>
    <w:rsid w:val="00D640B6"/>
    <w:rsid w:val="00D66395"/>
    <w:rsid w:val="00D67A96"/>
    <w:rsid w:val="00D72E4B"/>
    <w:rsid w:val="00D7328B"/>
    <w:rsid w:val="00D76F12"/>
    <w:rsid w:val="00D804F8"/>
    <w:rsid w:val="00D81DCD"/>
    <w:rsid w:val="00D8393B"/>
    <w:rsid w:val="00D83BB7"/>
    <w:rsid w:val="00D939B3"/>
    <w:rsid w:val="00D93ECA"/>
    <w:rsid w:val="00D95E51"/>
    <w:rsid w:val="00DA5F02"/>
    <w:rsid w:val="00DA5F9D"/>
    <w:rsid w:val="00DA5FBB"/>
    <w:rsid w:val="00DB04E8"/>
    <w:rsid w:val="00DB04F6"/>
    <w:rsid w:val="00DB2B01"/>
    <w:rsid w:val="00DC2FE1"/>
    <w:rsid w:val="00DC4074"/>
    <w:rsid w:val="00DC4DB4"/>
    <w:rsid w:val="00DD3AA6"/>
    <w:rsid w:val="00DD67EB"/>
    <w:rsid w:val="00DD7774"/>
    <w:rsid w:val="00DE35EE"/>
    <w:rsid w:val="00DF053A"/>
    <w:rsid w:val="00DF2584"/>
    <w:rsid w:val="00DF5354"/>
    <w:rsid w:val="00E03D25"/>
    <w:rsid w:val="00E068F1"/>
    <w:rsid w:val="00E11243"/>
    <w:rsid w:val="00E17216"/>
    <w:rsid w:val="00E2112B"/>
    <w:rsid w:val="00E24F12"/>
    <w:rsid w:val="00E26493"/>
    <w:rsid w:val="00E34E1B"/>
    <w:rsid w:val="00E35DE8"/>
    <w:rsid w:val="00E36393"/>
    <w:rsid w:val="00E36663"/>
    <w:rsid w:val="00E41E02"/>
    <w:rsid w:val="00E44394"/>
    <w:rsid w:val="00E47A40"/>
    <w:rsid w:val="00E52565"/>
    <w:rsid w:val="00E53486"/>
    <w:rsid w:val="00E5597A"/>
    <w:rsid w:val="00E60466"/>
    <w:rsid w:val="00E61165"/>
    <w:rsid w:val="00E63FFA"/>
    <w:rsid w:val="00E64D98"/>
    <w:rsid w:val="00E659A9"/>
    <w:rsid w:val="00E66461"/>
    <w:rsid w:val="00E7102A"/>
    <w:rsid w:val="00E71F5E"/>
    <w:rsid w:val="00E74FA5"/>
    <w:rsid w:val="00E875E2"/>
    <w:rsid w:val="00E87D0A"/>
    <w:rsid w:val="00E87D50"/>
    <w:rsid w:val="00E90C58"/>
    <w:rsid w:val="00EA3BBC"/>
    <w:rsid w:val="00EA4599"/>
    <w:rsid w:val="00EA56E2"/>
    <w:rsid w:val="00EA7BEB"/>
    <w:rsid w:val="00EB0FF0"/>
    <w:rsid w:val="00EB22F9"/>
    <w:rsid w:val="00EB2478"/>
    <w:rsid w:val="00EB3E44"/>
    <w:rsid w:val="00EB3E71"/>
    <w:rsid w:val="00EB618A"/>
    <w:rsid w:val="00EC6071"/>
    <w:rsid w:val="00EC6112"/>
    <w:rsid w:val="00ED769C"/>
    <w:rsid w:val="00EE71FB"/>
    <w:rsid w:val="00EE7797"/>
    <w:rsid w:val="00EF0858"/>
    <w:rsid w:val="00EF22C1"/>
    <w:rsid w:val="00F001F8"/>
    <w:rsid w:val="00F01F1C"/>
    <w:rsid w:val="00F07ECF"/>
    <w:rsid w:val="00F1388E"/>
    <w:rsid w:val="00F15ABA"/>
    <w:rsid w:val="00F20E7B"/>
    <w:rsid w:val="00F210B7"/>
    <w:rsid w:val="00F25708"/>
    <w:rsid w:val="00F261D9"/>
    <w:rsid w:val="00F34E86"/>
    <w:rsid w:val="00F42C0D"/>
    <w:rsid w:val="00F451CB"/>
    <w:rsid w:val="00F4593D"/>
    <w:rsid w:val="00F4605A"/>
    <w:rsid w:val="00F52255"/>
    <w:rsid w:val="00F5599B"/>
    <w:rsid w:val="00F55E4D"/>
    <w:rsid w:val="00F61791"/>
    <w:rsid w:val="00F62FEC"/>
    <w:rsid w:val="00F63D9B"/>
    <w:rsid w:val="00F64C30"/>
    <w:rsid w:val="00F84304"/>
    <w:rsid w:val="00F9141D"/>
    <w:rsid w:val="00F966C9"/>
    <w:rsid w:val="00FA0059"/>
    <w:rsid w:val="00FA31DE"/>
    <w:rsid w:val="00FA3832"/>
    <w:rsid w:val="00FA4F04"/>
    <w:rsid w:val="00FA52DB"/>
    <w:rsid w:val="00FC0510"/>
    <w:rsid w:val="00FC1C3A"/>
    <w:rsid w:val="00FC4806"/>
    <w:rsid w:val="00FC4B02"/>
    <w:rsid w:val="00FC55E2"/>
    <w:rsid w:val="00FD1D21"/>
    <w:rsid w:val="00FD3A62"/>
    <w:rsid w:val="00FD4463"/>
    <w:rsid w:val="00FE0625"/>
    <w:rsid w:val="00FE0E92"/>
    <w:rsid w:val="00FE400C"/>
    <w:rsid w:val="00FE4291"/>
    <w:rsid w:val="00FE59D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EEB835"/>
  <w15:chartTrackingRefBased/>
  <w15:docId w15:val="{73703D66-ABAE-46A8-9F46-26E08B97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1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aliases w:val=" Znak Znak Znak Znak Znak Znak Znak Znak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5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ZnakZnakZnakZnakZnakZnakZnakZnakZnak">
    <w:name w:val=" Znak Znak Znak Znak Znak Znak Znak Znak Znak"/>
    <w:basedOn w:val="Normalny"/>
    <w:rsid w:val="00D506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z5">
    <w:name w:val="WW8Num1z5"/>
    <w:rsid w:val="00812059"/>
  </w:style>
  <w:style w:type="paragraph" w:customStyle="1" w:styleId="Indeks">
    <w:name w:val="Indeks"/>
    <w:basedOn w:val="Normalny"/>
    <w:rsid w:val="00812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2059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1205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B27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1B274D"/>
    <w:rPr>
      <w:rFonts w:ascii="Calibri" w:eastAsia="Calibri" w:hAnsi="Calibri"/>
      <w:lang w:val="pl-PL" w:eastAsia="en-US" w:bidi="ar-SA"/>
    </w:rPr>
  </w:style>
  <w:style w:type="paragraph" w:customStyle="1" w:styleId="Default">
    <w:name w:val="Default"/>
    <w:rsid w:val="0052294C"/>
    <w:pPr>
      <w:autoSpaceDE w:val="0"/>
      <w:autoSpaceDN w:val="0"/>
      <w:adjustRightInd w:val="0"/>
    </w:pPr>
    <w:rPr>
      <w:rFonts w:ascii="Symbol" w:eastAsia="SimSun" w:hAnsi="Symbol" w:cs="Symbo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7182F"/>
    <w:pPr>
      <w:spacing w:after="160" w:line="259" w:lineRule="auto"/>
      <w:ind w:left="720"/>
      <w:contextualSpacing/>
    </w:pPr>
    <w:rPr>
      <w:kern w:val="2"/>
    </w:rPr>
  </w:style>
  <w:style w:type="paragraph" w:customStyle="1" w:styleId="TreA">
    <w:name w:val="Treść A"/>
    <w:rsid w:val="00AA41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CFEF-B081-41CD-840D-42F6DCE9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10062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Opis przedmiotu zamówienia</vt:lpstr>
      <vt:lpstr>„Zakup sprzętu medycznego, łóżek i wyposażenia dla SOR Szpitala Powiatowego w No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2</cp:revision>
  <cp:lastPrinted>2024-06-10T10:48:00Z</cp:lastPrinted>
  <dcterms:created xsi:type="dcterms:W3CDTF">2024-09-10T08:53:00Z</dcterms:created>
  <dcterms:modified xsi:type="dcterms:W3CDTF">2024-09-10T08:53:00Z</dcterms:modified>
</cp:coreProperties>
</file>