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7EEE2525"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 </w:t>
      </w:r>
      <w:r w:rsidR="003471EA">
        <w:rPr>
          <w:rFonts w:asciiTheme="minorHAnsi" w:hAnsiTheme="minorHAnsi" w:cs="Arial"/>
          <w:b/>
          <w:sz w:val="22"/>
          <w:szCs w:val="22"/>
        </w:rPr>
        <w:t>3</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F51B8E">
        <w:rPr>
          <w:rFonts w:asciiTheme="minorHAnsi" w:hAnsiTheme="minorHAnsi" w:cs="Arial"/>
          <w:b/>
          <w:sz w:val="22"/>
          <w:szCs w:val="22"/>
        </w:rPr>
        <w:t>4</w:t>
      </w:r>
    </w:p>
    <w:p w14:paraId="01AC81D0" w14:textId="46969A46"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3471EA">
        <w:rPr>
          <w:rFonts w:asciiTheme="minorHAnsi" w:hAnsiTheme="minorHAnsi" w:cs="Arial"/>
          <w:b/>
          <w:sz w:val="22"/>
          <w:szCs w:val="22"/>
        </w:rPr>
        <w:t>3</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6D4138A8"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3471EA">
        <w:rPr>
          <w:rFonts w:asciiTheme="minorHAnsi" w:hAnsiTheme="minorHAnsi" w:cs="Arial"/>
          <w:b/>
          <w:sz w:val="22"/>
          <w:szCs w:val="22"/>
        </w:rPr>
        <w:t>4</w:t>
      </w:r>
      <w:bookmarkStart w:id="0" w:name="_GoBack"/>
      <w:bookmarkEnd w:id="0"/>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310FF944" w14:textId="5A69185E" w:rsidR="00F51B8E" w:rsidRPr="008230DC" w:rsidRDefault="00F51B8E" w:rsidP="00F51B8E">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2023r. poz. 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 xml:space="preserve">. </w:t>
      </w:r>
    </w:p>
    <w:p w14:paraId="624C1BB3" w14:textId="4C714925"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47C0E3F5"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F51B8E" w:rsidRPr="00F51B8E">
        <w:rPr>
          <w:rFonts w:asciiTheme="minorHAnsi" w:hAnsiTheme="minorHAnsi"/>
          <w:b/>
          <w:bCs/>
          <w:sz w:val="20"/>
          <w:szCs w:val="20"/>
        </w:rPr>
        <w:t xml:space="preserve">zakup i dostawa nasion </w:t>
      </w:r>
      <w:r w:rsidR="00F51B8E" w:rsidRPr="00F51B8E">
        <w:rPr>
          <w:rFonts w:asciiTheme="minorHAnsi" w:eastAsia="Calibri" w:hAnsiTheme="minorHAnsi"/>
          <w:b/>
          <w:sz w:val="20"/>
          <w:szCs w:val="20"/>
        </w:rPr>
        <w:t xml:space="preserve">kukurydzy </w:t>
      </w:r>
      <w:r w:rsidR="00F51B8E" w:rsidRPr="00F51B8E">
        <w:rPr>
          <w:rFonts w:asciiTheme="minorHAnsi" w:hAnsiTheme="minorHAnsi"/>
          <w:b/>
          <w:bCs/>
          <w:sz w:val="20"/>
          <w:szCs w:val="20"/>
        </w:rPr>
        <w:t xml:space="preserve">potrzeby Sieć Badawcza Łukasiewicz – Instytutu Nowych Syntez Chemicznych część nr </w:t>
      </w:r>
      <w:r w:rsidR="00A93121" w:rsidRPr="00F51B8E">
        <w:rPr>
          <w:rFonts w:asciiTheme="minorHAnsi" w:hAnsiTheme="minorHAnsi"/>
          <w:b/>
          <w:bCs/>
          <w:sz w:val="20"/>
          <w:szCs w:val="20"/>
        </w:rPr>
        <w:t xml:space="preserve"> ………………..</w:t>
      </w:r>
      <w:r w:rsidR="00A93121">
        <w:rPr>
          <w:rFonts w:asciiTheme="majorHAnsi" w:hAnsiTheme="majorHAnsi"/>
          <w:b/>
          <w:bCs/>
          <w:sz w:val="20"/>
          <w:szCs w:val="20"/>
        </w:rPr>
        <w:t xml:space="preserve"> </w:t>
      </w:r>
      <w:r w:rsidR="00F51B8E">
        <w:rPr>
          <w:rFonts w:asciiTheme="majorHAnsi" w:hAnsiTheme="majorHAnsi"/>
          <w:b/>
          <w:bCs/>
          <w:sz w:val="20"/>
          <w:szCs w:val="20"/>
        </w:rPr>
        <w:t xml:space="preserve">zgodnie z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Dostawcy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F51B8E">
        <w:rPr>
          <w:rFonts w:asciiTheme="minorHAnsi" w:hAnsiTheme="minorHAnsi"/>
          <w:sz w:val="20"/>
          <w:szCs w:val="20"/>
        </w:rPr>
        <w:t>ą</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0297E335" w14:textId="77777777" w:rsidR="004F5588" w:rsidRDefault="004F5588" w:rsidP="00D77C80">
      <w:pPr>
        <w:pStyle w:val="UMnr"/>
        <w:rPr>
          <w:rFonts w:asciiTheme="minorHAnsi" w:hAnsiTheme="minorHAnsi"/>
          <w:b/>
          <w:sz w:val="20"/>
          <w:szCs w:val="20"/>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1EFD1B1B"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F51B8E">
        <w:rPr>
          <w:rFonts w:asciiTheme="minorHAnsi" w:hAnsiTheme="minorHAnsi"/>
          <w:b/>
          <w:kern w:val="3"/>
          <w:sz w:val="20"/>
          <w:lang w:val="pl-PL"/>
        </w:rPr>
        <w:t>29 marca 2024r.</w:t>
      </w:r>
      <w:r w:rsidR="00361B9F">
        <w:rPr>
          <w:rFonts w:asciiTheme="minorHAnsi" w:hAnsiTheme="minorHAnsi"/>
          <w:b/>
          <w:kern w:val="3"/>
          <w:sz w:val="20"/>
          <w:lang w:val="pl-PL"/>
        </w:rPr>
        <w:t xml:space="preserve"> </w:t>
      </w:r>
    </w:p>
    <w:p w14:paraId="6B51E4E0" w14:textId="453B80A7"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Sieć Badawcza Łukasiewicz – Instytut Nowych Syntez Chemicznych, Dział Produkcji Rolnej, Goczałków Górny 8, 5</w:t>
      </w:r>
      <w:r w:rsidR="00F51B8E">
        <w:rPr>
          <w:rFonts w:ascii="Verdana" w:eastAsia="Palatino Linotype" w:hAnsi="Verdana"/>
          <w:b/>
          <w:sz w:val="20"/>
          <w:szCs w:val="20"/>
          <w:lang w:val="pl-PL"/>
        </w:rPr>
        <w:t>8</w:t>
      </w:r>
      <w:r w:rsidRPr="00361B9F">
        <w:rPr>
          <w:rFonts w:ascii="Verdana" w:eastAsia="Palatino Linotype" w:hAnsi="Verdana"/>
          <w:b/>
          <w:sz w:val="20"/>
          <w:szCs w:val="20"/>
          <w:lang w:val="pl-PL"/>
        </w:rPr>
        <w:t xml:space="preserve">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2D5FEBC8" w14:textId="77777777" w:rsidR="005207D9" w:rsidRPr="00330CE5" w:rsidRDefault="005207D9" w:rsidP="005207D9">
      <w:pPr>
        <w:pStyle w:val="Default"/>
        <w:autoSpaceDE/>
        <w:autoSpaceDN/>
        <w:adjustRightInd/>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16C3714B"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7C15F473"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w:t>
      </w:r>
      <w:r w:rsidR="00F51B8E">
        <w:rPr>
          <w:rFonts w:ascii="Verdana" w:eastAsia="Palatino Linotype" w:hAnsi="Verdana"/>
        </w:rPr>
        <w:t>8</w:t>
      </w:r>
      <w:r w:rsidR="005207D9" w:rsidRPr="005207D9">
        <w:rPr>
          <w:rFonts w:ascii="Verdana" w:eastAsia="Palatino Linotype" w:hAnsi="Verdana"/>
        </w:rPr>
        <w:t xml:space="preserve">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77777777"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(3)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1FA6D97D"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Al. </w:t>
      </w:r>
      <w:r w:rsidR="0067386E" w:rsidRPr="001D26AD">
        <w:rPr>
          <w:rFonts w:asciiTheme="minorHAnsi" w:hAnsiTheme="minorHAnsi"/>
          <w:sz w:val="20"/>
          <w:szCs w:val="20"/>
          <w:lang w:val="pl-PL"/>
        </w:rPr>
        <w:t xml:space="preserve">Tysiąclecia Państwa Polskiego </w:t>
      </w:r>
      <w:r w:rsidR="0067386E" w:rsidRPr="001D26AD">
        <w:rPr>
          <w:rFonts w:asciiTheme="minorHAnsi" w:hAnsiTheme="minorHAnsi"/>
          <w:sz w:val="20"/>
          <w:szCs w:val="20"/>
          <w:lang w:val="pl-PL"/>
        </w:rPr>
        <w:lastRenderedPageBreak/>
        <w:t>13A, 24-110 Puławy</w:t>
      </w:r>
      <w:r w:rsidR="00DF0DF0" w:rsidRPr="001D26AD">
        <w:rPr>
          <w:rFonts w:asciiTheme="minorHAnsi" w:hAnsiTheme="minorHAnsi"/>
          <w:sz w:val="20"/>
          <w:szCs w:val="20"/>
          <w:lang w:val="pl-PL"/>
        </w:rPr>
        <w:t>,</w:t>
      </w:r>
      <w:r w:rsidR="0067386E" w:rsidRPr="001D26AD">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w:t>
      </w:r>
      <w:r w:rsidR="00F51B8E">
        <w:rPr>
          <w:rFonts w:ascii="Verdana" w:eastAsia="Palatino Linotype" w:hAnsi="Verdana"/>
          <w:sz w:val="20"/>
          <w:szCs w:val="20"/>
          <w:lang w:val="pl-PL"/>
        </w:rPr>
        <w:t>8</w:t>
      </w:r>
      <w:r w:rsidR="00DF0DF0" w:rsidRPr="001D26AD">
        <w:rPr>
          <w:rFonts w:ascii="Verdana" w:eastAsia="Palatino Linotype" w:hAnsi="Verdana"/>
          <w:sz w:val="20"/>
          <w:szCs w:val="20"/>
          <w:lang w:val="pl-PL"/>
        </w:rPr>
        <w:t xml:space="preserve"> – 150 Strzegom</w:t>
      </w:r>
      <w:r w:rsidR="00DF0DF0" w:rsidRPr="001D26AD">
        <w:rPr>
          <w:rFonts w:ascii="Verdana" w:eastAsia="Palatino Linotype" w:hAnsi="Verdana"/>
          <w:lang w:val="pl-PL"/>
        </w:rPr>
        <w:t>.</w:t>
      </w:r>
    </w:p>
    <w:p w14:paraId="182B04C4" w14:textId="4C15E5AA"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 lub </w:t>
      </w:r>
      <w:r w:rsidR="005613A4">
        <w:rPr>
          <w:rFonts w:asciiTheme="minorHAnsi" w:hAnsiTheme="minorHAnsi"/>
          <w:kern w:val="3"/>
          <w:sz w:val="20"/>
          <w:lang w:val="pl-PL"/>
        </w:rPr>
        <w:t xml:space="preserve">w </w:t>
      </w:r>
      <w:r>
        <w:rPr>
          <w:rFonts w:asciiTheme="minorHAnsi" w:hAnsiTheme="minorHAnsi"/>
          <w:kern w:val="3"/>
          <w:sz w:val="20"/>
          <w:lang w:val="pl-PL"/>
        </w:rPr>
        <w:t xml:space="preserve">podpisanym </w:t>
      </w:r>
      <w:r w:rsidR="005613A4">
        <w:rPr>
          <w:rFonts w:asciiTheme="minorHAnsi" w:hAnsiTheme="minorHAnsi"/>
          <w:kern w:val="3"/>
          <w:sz w:val="20"/>
          <w:lang w:val="pl-PL"/>
        </w:rPr>
        <w:t xml:space="preserve">przez Zamawiającego </w:t>
      </w:r>
      <w:r>
        <w:rPr>
          <w:rFonts w:asciiTheme="minorHAnsi" w:hAnsiTheme="minorHAnsi"/>
          <w:kern w:val="3"/>
          <w:sz w:val="20"/>
          <w:lang w:val="pl-PL"/>
        </w:rPr>
        <w:t>dokumen</w:t>
      </w:r>
      <w:r w:rsidR="005613A4">
        <w:rPr>
          <w:rFonts w:asciiTheme="minorHAnsi" w:hAnsiTheme="minorHAnsi"/>
          <w:kern w:val="3"/>
          <w:sz w:val="20"/>
          <w:lang w:val="pl-PL"/>
        </w:rPr>
        <w:t>cie</w:t>
      </w:r>
      <w:r>
        <w:rPr>
          <w:rFonts w:asciiTheme="minorHAnsi" w:hAnsiTheme="minorHAnsi"/>
          <w:kern w:val="3"/>
          <w:sz w:val="20"/>
          <w:lang w:val="pl-PL"/>
        </w:rPr>
        <w:t xml:space="preserve"> WZ</w:t>
      </w:r>
      <w:r w:rsidR="00E95B85">
        <w:rPr>
          <w:rFonts w:asciiTheme="minorHAnsi" w:hAnsiTheme="minorHAnsi"/>
          <w:kern w:val="3"/>
          <w:sz w:val="20"/>
          <w:lang w:val="pl-PL"/>
        </w:rPr>
        <w:t>.</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565DEEA4" w14:textId="381F8919"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w:t>
      </w:r>
      <w:r w:rsidR="00F51B8E">
        <w:rPr>
          <w:rFonts w:asciiTheme="minorHAnsi" w:hAnsiTheme="minorHAnsi" w:cs="Arial"/>
          <w:b/>
          <w:kern w:val="3"/>
        </w:rPr>
        <w:t>5</w:t>
      </w:r>
      <w:r w:rsidR="00D77C80" w:rsidRPr="00D77C80">
        <w:rPr>
          <w:rFonts w:asciiTheme="minorHAnsi" w:hAnsiTheme="minorHAnsi" w:cs="Arial"/>
          <w:b/>
          <w:kern w:val="3"/>
        </w:rPr>
        <w:t xml:space="preserve">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1106176A"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F51B8E">
        <w:rPr>
          <w:rFonts w:asciiTheme="minorHAnsi" w:hAnsiTheme="minorHAnsi"/>
          <w:kern w:val="3"/>
          <w:sz w:val="20"/>
          <w:szCs w:val="20"/>
          <w:lang w:val="pl-PL"/>
        </w:rPr>
        <w:t xml:space="preserve"> </w:t>
      </w:r>
      <w:r w:rsidR="0017260A">
        <w:rPr>
          <w:rFonts w:asciiTheme="minorHAnsi" w:hAnsiTheme="minorHAnsi"/>
          <w:kern w:val="3"/>
          <w:sz w:val="20"/>
          <w:szCs w:val="20"/>
          <w:lang w:val="pl-PL"/>
        </w:rPr>
        <w:t>–</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E56A70"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F51B8E">
        <w:rPr>
          <w:rFonts w:asciiTheme="minorHAnsi" w:hAnsiTheme="minorHAnsi"/>
          <w:b/>
          <w:sz w:val="20"/>
          <w:szCs w:val="20"/>
        </w:rPr>
        <w:t>6</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7242873F"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w:t>
      </w:r>
      <w:r w:rsidR="00C97FE7">
        <w:rPr>
          <w:rFonts w:asciiTheme="minorHAnsi" w:hAnsiTheme="minorHAnsi" w:cs="Arial"/>
          <w:kern w:val="3"/>
        </w:rPr>
        <w:t xml:space="preserve">dla danej części </w:t>
      </w:r>
      <w:r>
        <w:rPr>
          <w:rFonts w:asciiTheme="minorHAnsi" w:hAnsiTheme="minorHAnsi" w:cs="Arial"/>
          <w:kern w:val="3"/>
        </w:rPr>
        <w:t xml:space="preserve">określonego w </w:t>
      </w:r>
      <w:r w:rsidR="00F07332">
        <w:rPr>
          <w:rFonts w:asciiTheme="minorHAnsi" w:hAnsiTheme="minorHAnsi" w:cs="Arial"/>
          <w:kern w:val="3"/>
        </w:rPr>
        <w:t xml:space="preserve">§ </w:t>
      </w:r>
      <w:r>
        <w:rPr>
          <w:rFonts w:asciiTheme="minorHAnsi" w:hAnsiTheme="minorHAnsi" w:cs="Arial"/>
          <w:kern w:val="3"/>
        </w:rPr>
        <w:t>3 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w:t>
      </w:r>
      <w:r w:rsidRPr="00767EBF">
        <w:rPr>
          <w:rFonts w:asciiTheme="minorHAnsi" w:hAnsiTheme="minorHAnsi" w:cs="Times New Roman"/>
          <w:sz w:val="20"/>
          <w:szCs w:val="20"/>
          <w:shd w:val="clear" w:color="auto" w:fill="FFFFFF"/>
        </w:rPr>
        <w:lastRenderedPageBreak/>
        <w:t>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58C472E"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F51B8E">
        <w:rPr>
          <w:rFonts w:asciiTheme="minorHAnsi" w:hAnsiTheme="minorHAnsi" w:cs="Arial"/>
          <w:b/>
          <w:sz w:val="20"/>
          <w:szCs w:val="20"/>
        </w:rPr>
        <w:t>7</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393DDC47"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F51B8E">
        <w:rPr>
          <w:rFonts w:asciiTheme="minorHAnsi" w:hAnsiTheme="minorHAnsi"/>
          <w:b/>
          <w:sz w:val="20"/>
          <w:szCs w:val="20"/>
        </w:rPr>
        <w:t>8</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7CCC5827"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3BFCDA66"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0BFB5D3D"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125078DE"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21B0D266"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4C473666"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65543F2B"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12DF600A" w14:textId="77777777" w:rsidR="00964E3C" w:rsidRPr="00964E3C" w:rsidRDefault="00964E3C" w:rsidP="00964E3C">
      <w:pPr>
        <w:pStyle w:val="Akapitzlist"/>
        <w:numPr>
          <w:ilvl w:val="0"/>
          <w:numId w:val="37"/>
        </w:numPr>
        <w:suppressAutoHyphens/>
        <w:spacing w:after="120" w:line="276" w:lineRule="auto"/>
        <w:jc w:val="both"/>
        <w:textAlignment w:val="baseline"/>
        <w:rPr>
          <w:rFonts w:asciiTheme="minorHAnsi" w:hAnsiTheme="minorHAnsi"/>
          <w:vanish/>
          <w:kern w:val="3"/>
          <w:sz w:val="20"/>
          <w:szCs w:val="20"/>
          <w:lang w:val="pl-PL"/>
        </w:rPr>
      </w:pPr>
    </w:p>
    <w:p w14:paraId="71FCA932" w14:textId="6C083B7F" w:rsidR="00964E3C" w:rsidRPr="0020083A" w:rsidRDefault="00964E3C" w:rsidP="00964E3C">
      <w:pPr>
        <w:pStyle w:val="Akapitzlist"/>
        <w:numPr>
          <w:ilvl w:val="1"/>
          <w:numId w:val="37"/>
        </w:numPr>
        <w:suppressAutoHyphens/>
        <w:spacing w:after="120" w:line="276" w:lineRule="auto"/>
        <w:ind w:left="794" w:hanging="794"/>
        <w:contextualSpacing w:val="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14:paraId="04F3EA90" w14:textId="77777777" w:rsidR="00964E3C" w:rsidRPr="007D308F" w:rsidRDefault="00964E3C" w:rsidP="00964E3C">
      <w:pPr>
        <w:pStyle w:val="Akapitzlist"/>
        <w:numPr>
          <w:ilvl w:val="1"/>
          <w:numId w:val="37"/>
        </w:numPr>
        <w:suppressAutoHyphens/>
        <w:spacing w:after="120" w:line="276" w:lineRule="auto"/>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1C7A527B" w14:textId="77777777" w:rsidR="00964E3C" w:rsidRPr="00E2279B" w:rsidRDefault="00964E3C" w:rsidP="00964E3C">
      <w:pPr>
        <w:pStyle w:val="Akapitzlist"/>
        <w:numPr>
          <w:ilvl w:val="1"/>
          <w:numId w:val="37"/>
        </w:numPr>
        <w:suppressAutoHyphens/>
        <w:spacing w:after="120" w:line="276" w:lineRule="auto"/>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E2279B">
        <w:rPr>
          <w:rFonts w:asciiTheme="minorHAnsi" w:hAnsiTheme="minorHAnsi"/>
          <w:kern w:val="3"/>
          <w:sz w:val="20"/>
          <w:szCs w:val="20"/>
          <w:lang w:val="pl-PL"/>
        </w:rPr>
        <w:t>Sądem wyłącznie właściwym, który będzie rozstrzygał spory będzie Sąd Powszechny właściwy miejscowo dla siedziby Zamawiającego.</w:t>
      </w:r>
    </w:p>
    <w:p w14:paraId="1BBB0D0E" w14:textId="77777777" w:rsidR="00964E3C" w:rsidRPr="007D308F" w:rsidRDefault="00964E3C" w:rsidP="00964E3C">
      <w:pPr>
        <w:pStyle w:val="Akapitzlist"/>
        <w:numPr>
          <w:ilvl w:val="1"/>
          <w:numId w:val="37"/>
        </w:numPr>
        <w:suppressAutoHyphens/>
        <w:spacing w:after="120" w:line="276" w:lineRule="auto"/>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14:paraId="71F099CA" w14:textId="77777777" w:rsidR="00964E3C" w:rsidRPr="00964E3C" w:rsidRDefault="00964E3C" w:rsidP="00964E3C">
      <w:pPr>
        <w:numPr>
          <w:ilvl w:val="0"/>
          <w:numId w:val="36"/>
        </w:numPr>
        <w:suppressAutoHyphens/>
        <w:autoSpaceDN w:val="0"/>
        <w:ind w:left="851"/>
        <w:jc w:val="both"/>
        <w:textAlignment w:val="baseline"/>
        <w:rPr>
          <w:rFonts w:asciiTheme="minorHAnsi" w:hAnsiTheme="minorHAnsi" w:cs="Arial"/>
          <w:kern w:val="3"/>
        </w:rPr>
      </w:pPr>
      <w:r w:rsidRPr="00964E3C">
        <w:rPr>
          <w:rFonts w:asciiTheme="minorHAnsi" w:hAnsiTheme="minorHAnsi" w:cs="Arial"/>
          <w:kern w:val="3"/>
        </w:rPr>
        <w:t>Załącznik Nr 1– Oferta Dostawcy,</w:t>
      </w:r>
    </w:p>
    <w:p w14:paraId="3648D411" w14:textId="77777777" w:rsidR="00964E3C" w:rsidRPr="00964E3C" w:rsidRDefault="00964E3C" w:rsidP="00964E3C">
      <w:pPr>
        <w:suppressAutoHyphens/>
        <w:autoSpaceDN w:val="0"/>
        <w:ind w:left="1418"/>
        <w:textAlignment w:val="baseline"/>
        <w:rPr>
          <w:rFonts w:asciiTheme="minorHAnsi" w:hAnsiTheme="minorHAnsi" w:cs="Arial"/>
          <w:kern w:val="3"/>
        </w:rPr>
      </w:pPr>
      <w:r w:rsidRPr="00964E3C">
        <w:rPr>
          <w:rFonts w:asciiTheme="minorHAnsi" w:hAnsiTheme="minorHAnsi" w:cs="Arial"/>
          <w:kern w:val="3"/>
        </w:rPr>
        <w:t>stanowi całość porozumienia między Stronami.</w:t>
      </w:r>
    </w:p>
    <w:p w14:paraId="22FC696B" w14:textId="77777777" w:rsidR="00964E3C" w:rsidRPr="007D308F" w:rsidRDefault="00964E3C" w:rsidP="00964E3C">
      <w:pPr>
        <w:suppressAutoHyphens/>
        <w:autoSpaceDN w:val="0"/>
        <w:ind w:left="1418"/>
        <w:textAlignment w:val="baseline"/>
        <w:rPr>
          <w:rFonts w:cs="Arial"/>
          <w:kern w:val="3"/>
        </w:rPr>
      </w:pPr>
    </w:p>
    <w:p w14:paraId="2468831F"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030EEC03"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61838638"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3FF4B8EF"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5D88A266"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4F9F6B80"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43363958"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27090C94" w14:textId="77777777" w:rsidR="00964E3C" w:rsidRPr="00964E3C" w:rsidRDefault="00964E3C" w:rsidP="00964E3C">
      <w:pPr>
        <w:pStyle w:val="Akapitzlist"/>
        <w:numPr>
          <w:ilvl w:val="0"/>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6EB92730" w14:textId="77777777" w:rsidR="00964E3C" w:rsidRPr="00964E3C" w:rsidRDefault="00964E3C" w:rsidP="00964E3C">
      <w:pPr>
        <w:pStyle w:val="Akapitzlist"/>
        <w:numPr>
          <w:ilvl w:val="1"/>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2B4D8CEE" w14:textId="77777777" w:rsidR="00964E3C" w:rsidRPr="00964E3C" w:rsidRDefault="00964E3C" w:rsidP="00964E3C">
      <w:pPr>
        <w:pStyle w:val="Akapitzlist"/>
        <w:numPr>
          <w:ilvl w:val="1"/>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60C93B96" w14:textId="77777777" w:rsidR="00964E3C" w:rsidRPr="00964E3C" w:rsidRDefault="00964E3C" w:rsidP="00964E3C">
      <w:pPr>
        <w:pStyle w:val="Akapitzlist"/>
        <w:numPr>
          <w:ilvl w:val="1"/>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4BF4E305" w14:textId="77777777" w:rsidR="00964E3C" w:rsidRPr="00964E3C" w:rsidRDefault="00964E3C" w:rsidP="00964E3C">
      <w:pPr>
        <w:pStyle w:val="Akapitzlist"/>
        <w:numPr>
          <w:ilvl w:val="1"/>
          <w:numId w:val="38"/>
        </w:numPr>
        <w:suppressAutoHyphens/>
        <w:spacing w:after="120" w:line="276" w:lineRule="auto"/>
        <w:contextualSpacing w:val="0"/>
        <w:jc w:val="both"/>
        <w:textAlignment w:val="baseline"/>
        <w:rPr>
          <w:rFonts w:asciiTheme="minorHAnsi" w:hAnsiTheme="minorHAnsi"/>
          <w:vanish/>
          <w:kern w:val="3"/>
          <w:sz w:val="20"/>
          <w:szCs w:val="20"/>
          <w:lang w:val="pl-PL"/>
        </w:rPr>
      </w:pPr>
    </w:p>
    <w:p w14:paraId="4E75C25C" w14:textId="22FFD757" w:rsidR="00964E3C" w:rsidRPr="007D308F" w:rsidRDefault="00964E3C" w:rsidP="00964E3C">
      <w:pPr>
        <w:pStyle w:val="Akapitzlist"/>
        <w:numPr>
          <w:ilvl w:val="1"/>
          <w:numId w:val="38"/>
        </w:numPr>
        <w:suppressAutoHyphens/>
        <w:spacing w:after="120" w:line="276" w:lineRule="auto"/>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Pr="007D308F">
        <w:rPr>
          <w:rFonts w:asciiTheme="minorHAnsi" w:hAnsiTheme="minorHAnsi"/>
          <w:kern w:val="3"/>
          <w:sz w:val="20"/>
          <w:szCs w:val="20"/>
          <w:lang w:val="pl-PL"/>
        </w:rPr>
        <w:t xml:space="preserve">Wszelkie zmiany i uzupełnienia w niniejszej umowie wymagają formy pisemnej, pod rygorem nieważności, i mogą być dokonywane tylko za zgodą obu stron. Prawo do akceptacji zmian i uzupełnień w formie Aneksu/ów do </w:t>
      </w:r>
      <w:r w:rsidRPr="007D308F">
        <w:rPr>
          <w:rFonts w:asciiTheme="minorHAnsi" w:hAnsiTheme="minorHAnsi"/>
          <w:kern w:val="3"/>
          <w:sz w:val="20"/>
          <w:szCs w:val="20"/>
          <w:lang w:val="pl-PL"/>
        </w:rPr>
        <w:lastRenderedPageBreak/>
        <w:t>niniejszej umowy mają sygnatariusze umowy i/lub inne osoby należycie umocowane.</w:t>
      </w:r>
    </w:p>
    <w:p w14:paraId="16AE2CD9" w14:textId="370BC8D9" w:rsidR="00964E3C" w:rsidRPr="007D308F" w:rsidRDefault="00964E3C" w:rsidP="00964E3C">
      <w:pPr>
        <w:pStyle w:val="Akapitzlist"/>
        <w:numPr>
          <w:ilvl w:val="1"/>
          <w:numId w:val="38"/>
        </w:numPr>
        <w:suppressAutoHyphens/>
        <w:spacing w:after="120" w:line="276" w:lineRule="auto"/>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Pr>
          <w:rFonts w:asciiTheme="minorHAnsi" w:hAnsiTheme="minorHAnsi"/>
          <w:kern w:val="3"/>
          <w:sz w:val="20"/>
          <w:szCs w:val="20"/>
          <w:lang w:val="pl-PL"/>
        </w:rPr>
        <w:t>amawiającego pod numerem INS/BPR – ……</w:t>
      </w:r>
      <w:r w:rsidRPr="007D308F">
        <w:rPr>
          <w:rFonts w:asciiTheme="minorHAnsi" w:hAnsiTheme="minorHAnsi"/>
          <w:kern w:val="3"/>
          <w:sz w:val="20"/>
          <w:szCs w:val="20"/>
          <w:lang w:val="pl-PL"/>
        </w:rPr>
        <w:t>/202</w:t>
      </w:r>
      <w:r>
        <w:rPr>
          <w:rFonts w:asciiTheme="minorHAnsi" w:hAnsiTheme="minorHAnsi"/>
          <w:kern w:val="3"/>
          <w:sz w:val="20"/>
          <w:szCs w:val="20"/>
          <w:lang w:val="pl-PL"/>
        </w:rPr>
        <w:t>4</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14:paraId="32FB4A1D" w14:textId="77777777" w:rsidR="00964E3C" w:rsidRPr="007D308F" w:rsidRDefault="00964E3C" w:rsidP="00964E3C">
      <w:pPr>
        <w:pStyle w:val="Akapitzlist"/>
        <w:numPr>
          <w:ilvl w:val="1"/>
          <w:numId w:val="38"/>
        </w:numPr>
        <w:suppressAutoHyphens/>
        <w:spacing w:after="120" w:line="276" w:lineRule="auto"/>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14:paraId="6D5706BC" w14:textId="77777777" w:rsidR="00964E3C" w:rsidRPr="00964E3C" w:rsidRDefault="00964E3C" w:rsidP="00964E3C">
      <w:pPr>
        <w:suppressAutoHyphens/>
        <w:spacing w:after="120" w:line="276" w:lineRule="auto"/>
        <w:ind w:left="851"/>
        <w:textAlignment w:val="baseline"/>
        <w:rPr>
          <w:rFonts w:asciiTheme="minorHAnsi" w:hAnsiTheme="minorHAnsi" w:cs="Arial"/>
          <w:kern w:val="3"/>
        </w:rPr>
      </w:pPr>
      <w:r w:rsidRPr="00964E3C">
        <w:rPr>
          <w:rFonts w:asciiTheme="minorHAnsi" w:hAnsiTheme="minorHAnsi" w:cs="Arial"/>
          <w:kern w:val="3"/>
        </w:rPr>
        <w:t>Koordynatorem ze strony Dostawcy jest: ………………………………………</w:t>
      </w:r>
    </w:p>
    <w:p w14:paraId="1B38ED8D"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3915955A"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4567371A"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25E4A2F0"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20862FEA"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3E2F3B41"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012DFB2A"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676B941F" w14:textId="77777777" w:rsidR="00964E3C" w:rsidRPr="00964E3C" w:rsidRDefault="00964E3C" w:rsidP="00964E3C">
      <w:pPr>
        <w:pStyle w:val="Akapitzlist"/>
        <w:numPr>
          <w:ilvl w:val="0"/>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1A50B0F3"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529F0B04"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6E44CAD2"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23173552"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63042905"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5E5B01EA"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1D093B6E" w14:textId="77777777" w:rsidR="00964E3C" w:rsidRPr="00964E3C" w:rsidRDefault="00964E3C" w:rsidP="00964E3C">
      <w:pPr>
        <w:pStyle w:val="Akapitzlist"/>
        <w:numPr>
          <w:ilvl w:val="1"/>
          <w:numId w:val="39"/>
        </w:numPr>
        <w:suppressAutoHyphens/>
        <w:spacing w:after="120" w:line="276" w:lineRule="auto"/>
        <w:contextualSpacing w:val="0"/>
        <w:jc w:val="both"/>
        <w:textAlignment w:val="baseline"/>
        <w:rPr>
          <w:rFonts w:asciiTheme="minorHAnsi" w:hAnsiTheme="minorHAnsi"/>
          <w:vanish/>
          <w:kern w:val="3"/>
          <w:sz w:val="20"/>
          <w:szCs w:val="20"/>
          <w:lang w:val="pl-PL"/>
        </w:rPr>
      </w:pPr>
    </w:p>
    <w:p w14:paraId="0ADF8498" w14:textId="30AD4980" w:rsidR="00964E3C" w:rsidRPr="007D308F" w:rsidRDefault="00964E3C" w:rsidP="00964E3C">
      <w:pPr>
        <w:pStyle w:val="Akapitzlist"/>
        <w:numPr>
          <w:ilvl w:val="1"/>
          <w:numId w:val="39"/>
        </w:numPr>
        <w:suppressAutoHyphens/>
        <w:spacing w:after="120" w:line="276" w:lineRule="auto"/>
        <w:ind w:left="709" w:hanging="709"/>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Pr="007D308F">
        <w:rPr>
          <w:rFonts w:asciiTheme="minorHAnsi" w:hAnsiTheme="minorHAnsi"/>
          <w:sz w:val="20"/>
          <w:szCs w:val="20"/>
          <w:lang w:val="pl-PL"/>
        </w:rPr>
        <w:t>przepisy obowiązującego w tym zakresie prawa</w:t>
      </w:r>
      <w:r>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14:paraId="3BEE81E0" w14:textId="68B52797" w:rsidR="00964E3C" w:rsidRPr="00C97FE7" w:rsidRDefault="00964E3C" w:rsidP="00964E3C">
      <w:pPr>
        <w:pStyle w:val="Akapitzlist"/>
        <w:numPr>
          <w:ilvl w:val="1"/>
          <w:numId w:val="39"/>
        </w:numPr>
        <w:suppressAutoHyphens/>
        <w:spacing w:after="120" w:line="276" w:lineRule="auto"/>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14:paraId="48E733A5" w14:textId="77777777" w:rsidR="00C97FE7" w:rsidRPr="00C97FE7" w:rsidRDefault="00C97FE7" w:rsidP="00C97FE7">
      <w:pPr>
        <w:pStyle w:val="Akapitzlist"/>
        <w:numPr>
          <w:ilvl w:val="1"/>
          <w:numId w:val="39"/>
        </w:numPr>
        <w:suppressAutoHyphens/>
        <w:spacing w:after="120" w:line="276" w:lineRule="auto"/>
        <w:ind w:left="794" w:hanging="794"/>
        <w:contextualSpacing w:val="0"/>
        <w:jc w:val="both"/>
        <w:textAlignment w:val="baseline"/>
        <w:rPr>
          <w:rFonts w:asciiTheme="minorHAnsi" w:hAnsiTheme="minorHAnsi"/>
          <w:sz w:val="18"/>
          <w:szCs w:val="20"/>
          <w:lang w:val="pl-PL"/>
        </w:rPr>
      </w:pPr>
      <w:r w:rsidRPr="00C97FE7">
        <w:rPr>
          <w:rFonts w:ascii="Verdana" w:hAnsi="Verdana" w:cs="Arial"/>
          <w:bCs/>
          <w:color w:val="00000A"/>
          <w:sz w:val="20"/>
          <w:szCs w:val="20"/>
          <w:lang w:val="pl-PL"/>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w:t>
      </w:r>
      <w:r w:rsidRPr="003471EA">
        <w:rPr>
          <w:rFonts w:ascii="Verdana" w:hAnsi="Verdana" w:cs="Arial"/>
          <w:bCs/>
          <w:color w:val="00000A"/>
          <w:sz w:val="20"/>
          <w:szCs w:val="20"/>
          <w:lang w:val="pl-PL"/>
        </w:rPr>
        <w:t>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F6C4D89" w14:textId="77777777" w:rsidR="00C97FE7" w:rsidRPr="002774B2" w:rsidRDefault="00C97FE7" w:rsidP="00C97FE7">
      <w:pPr>
        <w:pStyle w:val="Akapitzlist"/>
        <w:suppressAutoHyphens/>
        <w:spacing w:after="120" w:line="276" w:lineRule="auto"/>
        <w:ind w:left="794"/>
        <w:contextualSpacing w:val="0"/>
        <w:jc w:val="both"/>
        <w:textAlignment w:val="baseline"/>
        <w:rPr>
          <w:rFonts w:asciiTheme="minorHAnsi" w:hAnsiTheme="minorHAnsi"/>
          <w:sz w:val="18"/>
          <w:szCs w:val="20"/>
          <w:lang w:val="pl-PL"/>
        </w:rPr>
      </w:pP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3471EA">
      <w:fldChar w:fldCharType="begin"/>
    </w:r>
    <w:r w:rsidR="003471EA">
      <w:instrText>NUMPAGES  \* Arabic  \* MERGEFORMAT</w:instrText>
    </w:r>
    <w:r w:rsidR="003471EA">
      <w:fldChar w:fldCharType="separate"/>
    </w:r>
    <w:r w:rsidR="004F0C42">
      <w:rPr>
        <w:noProof/>
      </w:rPr>
      <w:t>6</w:t>
    </w:r>
    <w:r w:rsidR="003471EA">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3E7743"/>
    <w:multiLevelType w:val="multilevel"/>
    <w:tmpl w:val="0B7CD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4"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B3156E"/>
    <w:multiLevelType w:val="multilevel"/>
    <w:tmpl w:val="7CE49C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1"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3"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616432"/>
    <w:multiLevelType w:val="multilevel"/>
    <w:tmpl w:val="C652C2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7"/>
  </w:num>
  <w:num w:numId="3">
    <w:abstractNumId w:val="27"/>
  </w:num>
  <w:num w:numId="4">
    <w:abstractNumId w:val="31"/>
  </w:num>
  <w:num w:numId="5">
    <w:abstractNumId w:val="30"/>
  </w:num>
  <w:num w:numId="6">
    <w:abstractNumId w:val="30"/>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2"/>
  </w:num>
  <w:num w:numId="9">
    <w:abstractNumId w:val="21"/>
  </w:num>
  <w:num w:numId="10">
    <w:abstractNumId w:val="5"/>
  </w:num>
  <w:num w:numId="11">
    <w:abstractNumId w:val="25"/>
  </w:num>
  <w:num w:numId="12">
    <w:abstractNumId w:val="28"/>
  </w:num>
  <w:num w:numId="13">
    <w:abstractNumId w:val="9"/>
  </w:num>
  <w:num w:numId="14">
    <w:abstractNumId w:val="17"/>
  </w:num>
  <w:num w:numId="15">
    <w:abstractNumId w:val="33"/>
  </w:num>
  <w:num w:numId="16">
    <w:abstractNumId w:val="23"/>
  </w:num>
  <w:num w:numId="17">
    <w:abstractNumId w:val="19"/>
  </w:num>
  <w:num w:numId="18">
    <w:abstractNumId w:val="7"/>
  </w:num>
  <w:num w:numId="19">
    <w:abstractNumId w:val="26"/>
  </w:num>
  <w:num w:numId="20">
    <w:abstractNumId w:val="18"/>
  </w:num>
  <w:num w:numId="21">
    <w:abstractNumId w:val="38"/>
  </w:num>
  <w:num w:numId="22">
    <w:abstractNumId w:val="6"/>
  </w:num>
  <w:num w:numId="23">
    <w:abstractNumId w:val="32"/>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5"/>
  </w:num>
  <w:num w:numId="28">
    <w:abstractNumId w:val="4"/>
  </w:num>
  <w:num w:numId="29">
    <w:abstractNumId w:val="3"/>
  </w:num>
  <w:num w:numId="30">
    <w:abstractNumId w:val="10"/>
  </w:num>
  <w:num w:numId="31">
    <w:abstractNumId w:val="15"/>
  </w:num>
  <w:num w:numId="32">
    <w:abstractNumId w:val="13"/>
  </w:num>
  <w:num w:numId="33">
    <w:abstractNumId w:val="20"/>
  </w:num>
  <w:num w:numId="34">
    <w:abstractNumId w:val="22"/>
  </w:num>
  <w:num w:numId="35">
    <w:abstractNumId w:val="30"/>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6"/>
  </w:num>
  <w:num w:numId="37">
    <w:abstractNumId w:val="29"/>
  </w:num>
  <w:num w:numId="38">
    <w:abstractNumId w:val="34"/>
  </w:num>
  <w:num w:numId="3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4B9D"/>
    <w:rsid w:val="001A7C4E"/>
    <w:rsid w:val="001B3F84"/>
    <w:rsid w:val="001D26AD"/>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0CE5"/>
    <w:rsid w:val="00335F9F"/>
    <w:rsid w:val="00337BF6"/>
    <w:rsid w:val="00346C00"/>
    <w:rsid w:val="003471EA"/>
    <w:rsid w:val="00354A18"/>
    <w:rsid w:val="00357215"/>
    <w:rsid w:val="00361B9F"/>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64E3C"/>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97FE7"/>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20BE6"/>
    <w:rsid w:val="00F51B8E"/>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9E11C-9100-4698-958E-59C30E91B505}">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813F11ED-F092-4C72-B55B-0BFF7829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5</TotalTime>
  <Pages>5</Pages>
  <Words>1487</Words>
  <Characters>8926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4</cp:revision>
  <cp:lastPrinted>2023-03-06T08:50:00Z</cp:lastPrinted>
  <dcterms:created xsi:type="dcterms:W3CDTF">2024-01-04T11:15:00Z</dcterms:created>
  <dcterms:modified xsi:type="dcterms:W3CDTF">2024-01-11T06:40:00Z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