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4538E" w14:textId="6053E24B" w:rsidR="00E579B0" w:rsidRPr="00B71F66" w:rsidRDefault="00E579B0" w:rsidP="00E579B0">
      <w:p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Cs w:val="24"/>
        </w:rPr>
        <w:t xml:space="preserve">Załącznik nr 11 do Umowy zawartej w dniu … </w:t>
      </w:r>
      <w:r w:rsidRPr="00B71F66">
        <w:rPr>
          <w:rFonts w:ascii="Times New Roman" w:hAnsi="Times New Roman" w:cs="Times New Roman"/>
          <w:szCs w:val="24"/>
        </w:rPr>
        <w:t>w wyniku przeprowadzonego postępowania o udzielenie zamówienia publicznego w trybie przetargu nieograniczonego z zastosowaniem Prawa Zam</w:t>
      </w:r>
      <w:r w:rsidRPr="00B71F66">
        <w:rPr>
          <w:rFonts w:ascii="Times New Roman" w:hAnsi="Times New Roman" w:cs="Times New Roman" w:hint="eastAsia"/>
          <w:szCs w:val="24"/>
        </w:rPr>
        <w:t>ó</w:t>
      </w:r>
      <w:r w:rsidRPr="00B71F66">
        <w:rPr>
          <w:rFonts w:ascii="Times New Roman" w:hAnsi="Times New Roman" w:cs="Times New Roman"/>
          <w:szCs w:val="24"/>
        </w:rPr>
        <w:t>wie</w:t>
      </w:r>
      <w:r w:rsidRPr="00B71F66">
        <w:rPr>
          <w:rFonts w:ascii="Times New Roman" w:hAnsi="Times New Roman" w:cs="Times New Roman" w:hint="eastAsia"/>
          <w:szCs w:val="24"/>
        </w:rPr>
        <w:t>ń</w:t>
      </w:r>
      <w:r w:rsidRPr="00B71F66">
        <w:rPr>
          <w:rFonts w:ascii="Times New Roman" w:hAnsi="Times New Roman" w:cs="Times New Roman"/>
          <w:szCs w:val="24"/>
        </w:rPr>
        <w:t xml:space="preserve"> Publicznych pn.: </w:t>
      </w:r>
      <w:r w:rsidR="00A352F5">
        <w:rPr>
          <w:rFonts w:ascii="Times New Roman" w:hAnsi="Times New Roman" w:cs="Times New Roman"/>
          <w:szCs w:val="24"/>
        </w:rPr>
        <w:t>„</w:t>
      </w:r>
      <w:r w:rsidR="00A352F5" w:rsidRPr="00A352F5">
        <w:rPr>
          <w:rFonts w:ascii="Calibri" w:eastAsia="Times New Roman" w:hAnsi="Calibri" w:cs="Times New Roman"/>
        </w:rPr>
        <w:t>Zaprojektowanie oraz budowa Łódzkiego Centrum Recyklingu w Łodzi przy ulicy Zamiejskiej 1</w:t>
      </w:r>
      <w:r w:rsidR="00A352F5">
        <w:rPr>
          <w:rFonts w:ascii="Times New Roman" w:hAnsi="Times New Roman" w:cs="Times New Roman"/>
          <w:szCs w:val="24"/>
        </w:rPr>
        <w:t>”</w:t>
      </w:r>
    </w:p>
    <w:p w14:paraId="4FB6711C" w14:textId="77777777" w:rsidR="00E579B0" w:rsidRPr="00B71F66" w:rsidRDefault="00E579B0" w:rsidP="00E579B0">
      <w:pPr>
        <w:pStyle w:val="Nagwek2"/>
        <w:tabs>
          <w:tab w:val="left" w:pos="885"/>
        </w:tabs>
        <w:spacing w:line="256" w:lineRule="exact"/>
        <w:ind w:left="410"/>
        <w:jc w:val="center"/>
        <w:rPr>
          <w:rFonts w:ascii="Times New Roman" w:hAnsi="Times New Roman" w:cs="Times New Roman"/>
          <w:b/>
          <w:bCs/>
          <w:color w:val="auto"/>
          <w:sz w:val="22"/>
          <w:szCs w:val="24"/>
        </w:rPr>
      </w:pPr>
    </w:p>
    <w:p w14:paraId="251E2933" w14:textId="77777777" w:rsidR="00E579B0" w:rsidRPr="00E579B0" w:rsidRDefault="00E579B0" w:rsidP="00E579B0">
      <w:pPr>
        <w:widowControl w:val="0"/>
        <w:tabs>
          <w:tab w:val="left" w:leader="dot" w:pos="892"/>
          <w:tab w:val="left" w:leader="dot" w:pos="2539"/>
          <w:tab w:val="left" w:leader="dot" w:pos="6288"/>
        </w:tabs>
        <w:autoSpaceDE w:val="0"/>
        <w:autoSpaceDN w:val="0"/>
        <w:adjustRightInd w:val="0"/>
        <w:ind w:right="110"/>
        <w:jc w:val="center"/>
        <w:rPr>
          <w:rFonts w:ascii="Times New Roman" w:hAnsi="Times New Roman" w:cs="Times New Roman"/>
          <w:b/>
          <w:bCs/>
          <w:szCs w:val="24"/>
        </w:rPr>
      </w:pPr>
      <w:r w:rsidRPr="00E579B0">
        <w:rPr>
          <w:rFonts w:ascii="Times New Roman" w:hAnsi="Times New Roman" w:cs="Times New Roman"/>
          <w:b/>
          <w:bCs/>
          <w:szCs w:val="24"/>
        </w:rPr>
        <w:t>Warunki przeniesienia praw własności intelektualnej na Zamawiającego</w:t>
      </w:r>
    </w:p>
    <w:p w14:paraId="659AE613" w14:textId="77777777" w:rsidR="00135621" w:rsidRDefault="00E579B0" w:rsidP="00E579B0">
      <w:p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związku z</w:t>
      </w:r>
      <w:r w:rsidR="00135621">
        <w:rPr>
          <w:rFonts w:ascii="Times New Roman" w:hAnsi="Times New Roman" w:cs="Times New Roman"/>
          <w:szCs w:val="24"/>
        </w:rPr>
        <w:t>:</w:t>
      </w:r>
    </w:p>
    <w:p w14:paraId="6D420666" w14:textId="2139216E" w:rsidR="00135621" w:rsidRDefault="00E579B0" w:rsidP="00135621">
      <w:pPr>
        <w:pStyle w:val="Akapitzlist"/>
        <w:numPr>
          <w:ilvl w:val="0"/>
          <w:numId w:val="2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135621">
        <w:rPr>
          <w:rFonts w:ascii="Times New Roman" w:hAnsi="Times New Roman" w:cs="Times New Roman"/>
          <w:szCs w:val="24"/>
        </w:rPr>
        <w:t>zawarciem umowy w wyniku przeprowadzonego postępowania o udzielenie zamówienia publicznego w trybie przetargu nieograniczonego z zastosowaniem Prawa Zam</w:t>
      </w:r>
      <w:r w:rsidRPr="00135621">
        <w:rPr>
          <w:rFonts w:ascii="Times New Roman" w:hAnsi="Times New Roman" w:cs="Times New Roman" w:hint="eastAsia"/>
          <w:szCs w:val="24"/>
        </w:rPr>
        <w:t>ó</w:t>
      </w:r>
      <w:r w:rsidRPr="00135621">
        <w:rPr>
          <w:rFonts w:ascii="Times New Roman" w:hAnsi="Times New Roman" w:cs="Times New Roman"/>
          <w:szCs w:val="24"/>
        </w:rPr>
        <w:t>wie</w:t>
      </w:r>
      <w:r w:rsidRPr="00135621">
        <w:rPr>
          <w:rFonts w:ascii="Times New Roman" w:hAnsi="Times New Roman" w:cs="Times New Roman" w:hint="eastAsia"/>
          <w:szCs w:val="24"/>
        </w:rPr>
        <w:t>ń</w:t>
      </w:r>
      <w:r w:rsidRPr="00135621">
        <w:rPr>
          <w:rFonts w:ascii="Times New Roman" w:hAnsi="Times New Roman" w:cs="Times New Roman"/>
          <w:szCs w:val="24"/>
        </w:rPr>
        <w:t xml:space="preserve"> Publicznych pn.: </w:t>
      </w:r>
      <w:r w:rsidR="00A352F5">
        <w:rPr>
          <w:rFonts w:ascii="Times New Roman" w:hAnsi="Times New Roman" w:cs="Times New Roman"/>
          <w:szCs w:val="24"/>
        </w:rPr>
        <w:t>„</w:t>
      </w:r>
      <w:r w:rsidR="00A352F5" w:rsidRPr="00A352F5">
        <w:rPr>
          <w:rFonts w:ascii="Times New Roman" w:hAnsi="Times New Roman" w:cs="Times New Roman"/>
          <w:szCs w:val="24"/>
        </w:rPr>
        <w:t>Zaprojektowanie oraz budowa Łódzkiego Centrum Recyklingu w Łodzi przy ulicy Zamiejskiej 1</w:t>
      </w:r>
      <w:r w:rsidR="00A352F5">
        <w:rPr>
          <w:rFonts w:ascii="Times New Roman" w:hAnsi="Times New Roman" w:cs="Times New Roman"/>
          <w:szCs w:val="24"/>
        </w:rPr>
        <w:t xml:space="preserve">”  - </w:t>
      </w:r>
      <w:r w:rsidRPr="00135621">
        <w:rPr>
          <w:rFonts w:ascii="Times New Roman" w:hAnsi="Times New Roman" w:cs="Times New Roman"/>
          <w:szCs w:val="24"/>
        </w:rPr>
        <w:t xml:space="preserve">zwanej dalej „Umową”), </w:t>
      </w:r>
    </w:p>
    <w:p w14:paraId="46DC721D" w14:textId="2E372729" w:rsidR="00135621" w:rsidRDefault="00135621" w:rsidP="00135621">
      <w:pPr>
        <w:pStyle w:val="Akapitzlist"/>
        <w:numPr>
          <w:ilvl w:val="0"/>
          <w:numId w:val="2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obowiązkiem zapewnienia Zamawiającemu </w:t>
      </w:r>
      <w:r w:rsidRPr="00135621">
        <w:rPr>
          <w:rFonts w:ascii="Times New Roman" w:hAnsi="Times New Roman" w:cs="Times New Roman"/>
          <w:szCs w:val="24"/>
        </w:rPr>
        <w:t>system</w:t>
      </w:r>
      <w:r>
        <w:rPr>
          <w:rFonts w:ascii="Times New Roman" w:hAnsi="Times New Roman" w:cs="Times New Roman"/>
          <w:szCs w:val="24"/>
        </w:rPr>
        <w:t>u</w:t>
      </w:r>
      <w:r w:rsidRPr="00135621">
        <w:rPr>
          <w:rFonts w:ascii="Times New Roman" w:hAnsi="Times New Roman" w:cs="Times New Roman"/>
          <w:szCs w:val="24"/>
        </w:rPr>
        <w:t xml:space="preserve"> nadzorując</w:t>
      </w:r>
      <w:r>
        <w:rPr>
          <w:rFonts w:ascii="Times New Roman" w:hAnsi="Times New Roman" w:cs="Times New Roman"/>
          <w:szCs w:val="24"/>
        </w:rPr>
        <w:t xml:space="preserve">ego </w:t>
      </w:r>
      <w:r w:rsidRPr="00135621">
        <w:rPr>
          <w:rFonts w:ascii="Times New Roman" w:hAnsi="Times New Roman" w:cs="Times New Roman"/>
          <w:szCs w:val="24"/>
        </w:rPr>
        <w:t>przebieg procesu technologicznego lub produkcyjnego</w:t>
      </w:r>
      <w:r>
        <w:rPr>
          <w:rFonts w:ascii="Times New Roman" w:hAnsi="Times New Roman" w:cs="Times New Roman"/>
          <w:szCs w:val="24"/>
        </w:rPr>
        <w:t xml:space="preserve"> SCADA</w:t>
      </w:r>
      <w:r w:rsidR="000F0E66">
        <w:rPr>
          <w:rFonts w:ascii="Times New Roman" w:hAnsi="Times New Roman" w:cs="Times New Roman"/>
          <w:szCs w:val="24"/>
        </w:rPr>
        <w:t xml:space="preserve"> o parametrach i wymogach technicznych wskazanych w </w:t>
      </w:r>
      <w:r w:rsidR="008F5A8E">
        <w:rPr>
          <w:rFonts w:ascii="Times New Roman" w:hAnsi="Times New Roman" w:cs="Times New Roman"/>
          <w:szCs w:val="24"/>
        </w:rPr>
        <w:t xml:space="preserve">Załączniku </w:t>
      </w:r>
      <w:r w:rsidR="000F0E66">
        <w:rPr>
          <w:rFonts w:ascii="Times New Roman" w:hAnsi="Times New Roman" w:cs="Times New Roman"/>
          <w:szCs w:val="24"/>
        </w:rPr>
        <w:t>nr 1</w:t>
      </w:r>
      <w:r w:rsidR="00A352F5">
        <w:rPr>
          <w:rFonts w:ascii="Times New Roman" w:hAnsi="Times New Roman" w:cs="Times New Roman"/>
          <w:szCs w:val="24"/>
        </w:rPr>
        <w:t xml:space="preserve"> do umowy</w:t>
      </w:r>
      <w:r>
        <w:rPr>
          <w:rFonts w:ascii="Times New Roman" w:hAnsi="Times New Roman" w:cs="Times New Roman"/>
          <w:szCs w:val="24"/>
        </w:rPr>
        <w:t>,</w:t>
      </w:r>
    </w:p>
    <w:p w14:paraId="111F3DD5" w14:textId="6C3EA2C2" w:rsidR="00E579B0" w:rsidRPr="00135621" w:rsidRDefault="00E579B0" w:rsidP="00135621">
      <w:pPr>
        <w:spacing w:line="278" w:lineRule="auto"/>
        <w:ind w:left="360" w:right="109"/>
        <w:jc w:val="both"/>
        <w:rPr>
          <w:rFonts w:ascii="Times New Roman" w:hAnsi="Times New Roman" w:cs="Times New Roman"/>
          <w:szCs w:val="24"/>
        </w:rPr>
      </w:pPr>
      <w:r w:rsidRPr="00135621">
        <w:rPr>
          <w:rFonts w:ascii="Times New Roman" w:hAnsi="Times New Roman" w:cs="Times New Roman"/>
          <w:szCs w:val="24"/>
        </w:rPr>
        <w:t>Strony zgodnie postanawiają ustalić następujące warunki przeniesienia praw do systemu SCADA</w:t>
      </w:r>
      <w:r w:rsidR="003B0FED">
        <w:rPr>
          <w:rFonts w:ascii="Times New Roman" w:hAnsi="Times New Roman" w:cs="Times New Roman"/>
          <w:szCs w:val="24"/>
        </w:rPr>
        <w:t xml:space="preserve"> oraz wszystkich innych elementów programów sterujących</w:t>
      </w:r>
      <w:r w:rsidRPr="00135621">
        <w:rPr>
          <w:rFonts w:ascii="Times New Roman" w:hAnsi="Times New Roman" w:cs="Times New Roman"/>
          <w:szCs w:val="24"/>
        </w:rPr>
        <w:t>, zwanego dalej „Utworem”.</w:t>
      </w:r>
    </w:p>
    <w:p w14:paraId="7693BF9C" w14:textId="42D1E65B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bookmarkStart w:id="1" w:name="_heading=h.1fob9te"/>
      <w:bookmarkEnd w:id="1"/>
      <w:r>
        <w:rPr>
          <w:rFonts w:ascii="Times New Roman" w:hAnsi="Times New Roman" w:cs="Times New Roman"/>
          <w:szCs w:val="24"/>
        </w:rPr>
        <w:t>[</w:t>
      </w:r>
      <w:r w:rsidRPr="00345EC1">
        <w:rPr>
          <w:rFonts w:ascii="Times New Roman" w:hAnsi="Times New Roman" w:cs="Times New Roman"/>
          <w:b/>
          <w:bCs/>
          <w:szCs w:val="24"/>
        </w:rPr>
        <w:t>Definicje</w:t>
      </w:r>
      <w:r>
        <w:rPr>
          <w:rFonts w:ascii="Times New Roman" w:hAnsi="Times New Roman" w:cs="Times New Roman"/>
          <w:szCs w:val="24"/>
        </w:rPr>
        <w:t>] Na gruncie niniejszego Załącznika wyrazy pisane wielką literą mają znaczenie wynikające z Umowy</w:t>
      </w:r>
      <w:r w:rsidR="00852172">
        <w:rPr>
          <w:rFonts w:ascii="Times New Roman" w:hAnsi="Times New Roman" w:cs="Times New Roman"/>
          <w:szCs w:val="24"/>
        </w:rPr>
        <w:t>, w tym</w:t>
      </w:r>
      <w:r>
        <w:rPr>
          <w:rFonts w:ascii="Times New Roman" w:hAnsi="Times New Roman" w:cs="Times New Roman"/>
          <w:szCs w:val="24"/>
        </w:rPr>
        <w:t xml:space="preserve"> niniejszego Załącznika.</w:t>
      </w:r>
    </w:p>
    <w:p w14:paraId="1D2ABC75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[</w:t>
      </w:r>
      <w:r w:rsidRPr="00345EC1">
        <w:rPr>
          <w:rFonts w:ascii="Times New Roman" w:hAnsi="Times New Roman" w:cs="Times New Roman"/>
          <w:b/>
          <w:bCs/>
          <w:szCs w:val="24"/>
        </w:rPr>
        <w:t>Zasady przeniesienia praw</w:t>
      </w:r>
      <w:r>
        <w:rPr>
          <w:rFonts w:ascii="Times New Roman" w:hAnsi="Times New Roman" w:cs="Times New Roman"/>
          <w:szCs w:val="24"/>
        </w:rPr>
        <w:t>] Generalny Wykonawca oświadcza, iż a</w:t>
      </w:r>
      <w:r w:rsidRPr="00345EC1">
        <w:rPr>
          <w:rFonts w:ascii="Times New Roman" w:hAnsi="Times New Roman" w:cs="Times New Roman"/>
          <w:szCs w:val="24"/>
        </w:rPr>
        <w:t>utorskie prawa majątkowe do Utworu przysługują Generalnemu Wykonawcy i nie są obciążone prawami osób trzecich oraz naruszają praw osób trzecich</w:t>
      </w:r>
      <w:r>
        <w:rPr>
          <w:rFonts w:ascii="Times New Roman" w:hAnsi="Times New Roman" w:cs="Times New Roman"/>
          <w:szCs w:val="24"/>
        </w:rPr>
        <w:t>.</w:t>
      </w:r>
    </w:p>
    <w:p w14:paraId="0B8CA6DB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Wykonawca przenosi na Zamawiającego całość autorskich praw majątkowych do Utworu przyjętego przez Zamawiającego wraz z wyłącznym prawem do wykonywania i do zezwalania na wykonywanie zależnych praw autorskich do tego Utworu oraz prawa własności nośników, na jakich Utwór przekazano </w:t>
      </w:r>
      <w:r w:rsidRPr="000605DA">
        <w:rPr>
          <w:rFonts w:ascii="Times New Roman" w:hAnsi="Times New Roman" w:cs="Times New Roman"/>
          <w:szCs w:val="24"/>
        </w:rPr>
        <w:t>Zamawiające</w:t>
      </w:r>
      <w:r>
        <w:rPr>
          <w:rFonts w:ascii="Times New Roman" w:hAnsi="Times New Roman" w:cs="Times New Roman"/>
          <w:szCs w:val="24"/>
        </w:rPr>
        <w:t>mu</w:t>
      </w:r>
      <w:r w:rsidRPr="00345EC1">
        <w:rPr>
          <w:rFonts w:ascii="Times New Roman" w:hAnsi="Times New Roman" w:cs="Times New Roman"/>
          <w:szCs w:val="24"/>
        </w:rPr>
        <w:t>, w tym prawa własności oryginaln</w:t>
      </w:r>
      <w:r>
        <w:rPr>
          <w:rFonts w:ascii="Times New Roman" w:hAnsi="Times New Roman" w:cs="Times New Roman"/>
          <w:szCs w:val="24"/>
        </w:rPr>
        <w:t xml:space="preserve">ego </w:t>
      </w:r>
      <w:r w:rsidRPr="00345EC1">
        <w:rPr>
          <w:rFonts w:ascii="Times New Roman" w:hAnsi="Times New Roman" w:cs="Times New Roman"/>
          <w:szCs w:val="24"/>
        </w:rPr>
        <w:t>egzemplarz</w:t>
      </w:r>
      <w:r>
        <w:rPr>
          <w:rFonts w:ascii="Times New Roman" w:hAnsi="Times New Roman" w:cs="Times New Roman"/>
          <w:szCs w:val="24"/>
        </w:rPr>
        <w:t>a</w:t>
      </w:r>
      <w:r w:rsidRPr="00345EC1">
        <w:rPr>
          <w:rFonts w:ascii="Times New Roman" w:hAnsi="Times New Roman" w:cs="Times New Roman"/>
          <w:szCs w:val="24"/>
        </w:rPr>
        <w:t xml:space="preserve">, a także ich kopii uznanych za oryginalne egzemplarze. </w:t>
      </w:r>
    </w:p>
    <w:p w14:paraId="2DE9C493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Każdorazowo, z chwilą </w:t>
      </w:r>
      <w:r w:rsidRPr="009A55B3">
        <w:rPr>
          <w:rFonts w:ascii="Times New Roman" w:hAnsi="Times New Roman" w:cs="Times New Roman"/>
          <w:szCs w:val="24"/>
        </w:rPr>
        <w:t xml:space="preserve">przekazania Zamawiającemu egzemplarza </w:t>
      </w:r>
      <w:r>
        <w:rPr>
          <w:rFonts w:ascii="Times New Roman" w:hAnsi="Times New Roman" w:cs="Times New Roman"/>
          <w:szCs w:val="24"/>
        </w:rPr>
        <w:t>U</w:t>
      </w:r>
      <w:r w:rsidRPr="009A55B3">
        <w:rPr>
          <w:rFonts w:ascii="Times New Roman" w:hAnsi="Times New Roman" w:cs="Times New Roman"/>
          <w:szCs w:val="24"/>
        </w:rPr>
        <w:t xml:space="preserve">tworu </w:t>
      </w:r>
      <w:r w:rsidRPr="00345EC1">
        <w:rPr>
          <w:rFonts w:ascii="Times New Roman" w:hAnsi="Times New Roman" w:cs="Times New Roman"/>
          <w:szCs w:val="24"/>
        </w:rPr>
        <w:t>w każdej wersji, choćby nieukończonej</w:t>
      </w:r>
      <w:r w:rsidRPr="009A55B3">
        <w:rPr>
          <w:rFonts w:ascii="Times New Roman" w:hAnsi="Times New Roman" w:cs="Times New Roman"/>
          <w:szCs w:val="24"/>
        </w:rPr>
        <w:t xml:space="preserve"> lub pierwszej najbliższej płatności części Ceny (w zależności od tego, co nastąpi wcześniej)</w:t>
      </w:r>
      <w:r>
        <w:rPr>
          <w:rFonts w:ascii="Times New Roman" w:hAnsi="Times New Roman" w:cs="Times New Roman"/>
          <w:szCs w:val="24"/>
        </w:rPr>
        <w:t xml:space="preserve">, Generalny </w:t>
      </w:r>
      <w:r w:rsidRPr="00345EC1">
        <w:rPr>
          <w:rFonts w:ascii="Times New Roman" w:hAnsi="Times New Roman" w:cs="Times New Roman"/>
          <w:szCs w:val="24"/>
        </w:rPr>
        <w:t xml:space="preserve">Wykonawca przenosi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autorskie prawa majątkowe do Utworu, bez ograniczeń terytorialnych i czasowych.  Przeniesienie autorskich praw majątkowych obejmuje każdą część składową Utworu, mogącą stanowić utwór samodzielny,  wkład twórczy do innych utworów, w tym wytworzonych przez osoby trzecie, a w odniesieniu Utworów będących programami komputerowymi - przeniesienie autorskich praw majątkowych obejmuje każdą formę wyrażenia takiego Utworu, w tym formę kodu źródłowego. </w:t>
      </w:r>
    </w:p>
    <w:p w14:paraId="7C270AE6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Autorskie prawa majątkowe do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nie powracają do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 xml:space="preserve">Wykonawcy, nawet jeśli </w:t>
      </w:r>
      <w:r>
        <w:rPr>
          <w:rFonts w:ascii="Times New Roman" w:hAnsi="Times New Roman" w:cs="Times New Roman"/>
          <w:szCs w:val="24"/>
        </w:rPr>
        <w:t>Zamawiający</w:t>
      </w:r>
      <w:r w:rsidRPr="00345EC1">
        <w:rPr>
          <w:rFonts w:ascii="Times New Roman" w:hAnsi="Times New Roman" w:cs="Times New Roman"/>
          <w:szCs w:val="24"/>
        </w:rPr>
        <w:t xml:space="preserve"> nie przystąpi do rozpowszechniania Utworu.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zobowiązuje się nie odstępować od umowy na podstawie art. 56 </w:t>
      </w:r>
      <w:r>
        <w:rPr>
          <w:rFonts w:ascii="Times New Roman" w:hAnsi="Times New Roman" w:cs="Times New Roman"/>
          <w:szCs w:val="24"/>
        </w:rPr>
        <w:t>Prawa Autorskiego</w:t>
      </w:r>
      <w:r w:rsidRPr="00345EC1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>Zamawiającemu</w:t>
      </w:r>
      <w:r w:rsidRPr="00345EC1">
        <w:rPr>
          <w:rFonts w:ascii="Times New Roman" w:hAnsi="Times New Roman" w:cs="Times New Roman"/>
          <w:szCs w:val="24"/>
        </w:rPr>
        <w:t xml:space="preserve"> przysługuje prawo zniszczenia oryginalnych egzemplarzy, a także ich kopii uznanych za oryginalne egzemplarze Utworów, bez konieczności uzyskania odrębnej zgody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>Wykonawcy i bez konieczności uprzedniego informowania go o takim zamiarze</w:t>
      </w:r>
      <w:r>
        <w:rPr>
          <w:rFonts w:ascii="Times New Roman" w:hAnsi="Times New Roman" w:cs="Times New Roman"/>
          <w:szCs w:val="24"/>
        </w:rPr>
        <w:t>.</w:t>
      </w:r>
    </w:p>
    <w:p w14:paraId="00DA0F0C" w14:textId="781B398E" w:rsidR="00E579B0" w:rsidRDefault="00766B51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Przeniesienie p</w:t>
      </w:r>
      <w:r w:rsidR="00E579B0" w:rsidRPr="00345EC1">
        <w:rPr>
          <w:rFonts w:ascii="Times New Roman" w:hAnsi="Times New Roman" w:cs="Times New Roman"/>
          <w:szCs w:val="24"/>
        </w:rPr>
        <w:t>rzysługujących Wykonawcy autorskich praw majątkowych do Utworów obejmuje wszystkie znane pola eksploatacji, a w szczególności</w:t>
      </w:r>
    </w:p>
    <w:p w14:paraId="487FEBA4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lastRenderedPageBreak/>
        <w:t>w odniesieniu do Utworów nie będących programami komputerowymi:</w:t>
      </w:r>
    </w:p>
    <w:p w14:paraId="6E7FD9D4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wytwarzanie dowolną techniką nieograniczonej ilości egzemplarzy Utworu, w tym techniką drukarską, reprograficzną, zapisu magnetycznego oraz techniką cyfrową (z uwzględnieniem zapisu kwantowego) i optyczną;</w:t>
      </w:r>
    </w:p>
    <w:p w14:paraId="39D48ADC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wprowadzanie do obrotu, użyczenie, najem oryginału albo egzemplarzy;</w:t>
      </w:r>
    </w:p>
    <w:p w14:paraId="29DFE2AE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publiczne wykonanie, wystawienie, wyświetlenie, odtworzenie oraz nadawanie i reemitowanie  Utworu bez względu na rodzaj i zasięg kanału rozpowszechniania  w taki sposób, aby każdy mógł mieć do niego dostęp w miejscu i w czasie przez siebie wybranym, w tym publikowanie w sieci Internet, rozpowszechnianie za pomocą poczty elektronicznej lub innych zdalnych  kanałów komunikacji;</w:t>
      </w:r>
    </w:p>
    <w:p w14:paraId="0D07EF00" w14:textId="77777777" w:rsidR="00E579B0" w:rsidRPr="00345EC1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tłumaczenie, przeróbki, adaptacje, wykorzystywanie w części, fragmentach i jako elementy innych utworów.;</w:t>
      </w:r>
    </w:p>
    <w:p w14:paraId="046898E9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w odniesieniu do Utworów  będącymi programami komputerowymi w każdej formie ich wyrażenia (w tym w formie kodu źródłowego):</w:t>
      </w:r>
    </w:p>
    <w:p w14:paraId="3BBEE82E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korzystanie z programu komputerowego zgodnie z jego przeznaczeniem; </w:t>
      </w:r>
    </w:p>
    <w:p w14:paraId="25DDF5C5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trwałe lub czasowe zwielokrotnienie programu komputerowego w nieograniczonej ilości kopii w całości lub w części jakimikolwiek środkami i w jakiejkolwiek formie;</w:t>
      </w:r>
    </w:p>
    <w:p w14:paraId="4F2A3DDD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tłumaczenie, przystosowywanie, zmiana układu lub jakiekolwiek inne zmiany w programie komputerowym, z zachowaniem praw osoby, która tych zmian dokonała;</w:t>
      </w:r>
    </w:p>
    <w:p w14:paraId="22942313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rozpowszechnianie, bez względu na rodzaj i zasięg kanału rozpowszechniania, w tym w tym publikowanie w sieci Internet, rozpowszechnianie za pomocą poczty elektronicznej lub innych internetowych kanałów komunikacji; </w:t>
      </w:r>
    </w:p>
    <w:p w14:paraId="281256F0" w14:textId="77777777" w:rsidR="00E579B0" w:rsidRPr="00345EC1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rozpowszechnianie, w tym użyczenie lub najem, programu komputerowego lub jego kopii.</w:t>
      </w:r>
    </w:p>
    <w:p w14:paraId="629DF027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Razem z przeniesieniem autorskich praw majątkowych do Utworów w ramach </w:t>
      </w:r>
      <w:r>
        <w:rPr>
          <w:rFonts w:ascii="Times New Roman" w:hAnsi="Times New Roman" w:cs="Times New Roman"/>
          <w:szCs w:val="24"/>
        </w:rPr>
        <w:t>Ceny</w:t>
      </w:r>
      <w:r w:rsidRPr="00345EC1">
        <w:rPr>
          <w:rFonts w:ascii="Times New Roman" w:hAnsi="Times New Roman" w:cs="Times New Roman"/>
          <w:szCs w:val="24"/>
        </w:rPr>
        <w:t>:</w:t>
      </w:r>
    </w:p>
    <w:p w14:paraId="6013067F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Wykonawca, na zasadach wyłączności: </w:t>
      </w:r>
    </w:p>
    <w:p w14:paraId="54ED196A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zezwala </w:t>
      </w:r>
      <w:r>
        <w:rPr>
          <w:rFonts w:ascii="Times New Roman" w:hAnsi="Times New Roman" w:cs="Times New Roman"/>
          <w:szCs w:val="24"/>
        </w:rPr>
        <w:t xml:space="preserve">Zamawiającemu </w:t>
      </w:r>
      <w:r w:rsidRPr="00345EC1">
        <w:rPr>
          <w:rFonts w:ascii="Times New Roman" w:hAnsi="Times New Roman" w:cs="Times New Roman"/>
          <w:szCs w:val="24"/>
        </w:rPr>
        <w:t>na wykonywanie praw zależnych do Utworów oraz</w:t>
      </w:r>
    </w:p>
    <w:p w14:paraId="26F4EB33" w14:textId="77777777" w:rsidR="00E579B0" w:rsidRDefault="00E579B0" w:rsidP="00E579B0">
      <w:pPr>
        <w:pStyle w:val="Akapitzlist"/>
        <w:numPr>
          <w:ilvl w:val="2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przenosi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prawo zezwalania na wykonywanie zależnych praw autorskich do </w:t>
      </w:r>
      <w:r>
        <w:rPr>
          <w:rFonts w:ascii="Times New Roman" w:hAnsi="Times New Roman" w:cs="Times New Roman"/>
          <w:szCs w:val="24"/>
        </w:rPr>
        <w:t>Utworu</w:t>
      </w:r>
      <w:r w:rsidRPr="00345EC1">
        <w:rPr>
          <w:rFonts w:ascii="Times New Roman" w:hAnsi="Times New Roman" w:cs="Times New Roman"/>
          <w:szCs w:val="24"/>
        </w:rPr>
        <w:t xml:space="preserve"> - w zakresie opisanym w ustępach poprzedzających w </w:t>
      </w:r>
      <w:r>
        <w:rPr>
          <w:rFonts w:ascii="Times New Roman" w:hAnsi="Times New Roman" w:cs="Times New Roman"/>
          <w:szCs w:val="24"/>
        </w:rPr>
        <w:t>pkt</w:t>
      </w:r>
      <w:r w:rsidRPr="00345EC1">
        <w:rPr>
          <w:rFonts w:ascii="Times New Roman" w:hAnsi="Times New Roman" w:cs="Times New Roman"/>
          <w:szCs w:val="24"/>
        </w:rPr>
        <w:t xml:space="preserve">. 4 oraz  na wszystkich polach eksploatacji wymienionych  w </w:t>
      </w:r>
      <w:r>
        <w:rPr>
          <w:rFonts w:ascii="Times New Roman" w:hAnsi="Times New Roman" w:cs="Times New Roman"/>
          <w:szCs w:val="24"/>
        </w:rPr>
        <w:t>pkt. 6</w:t>
      </w:r>
      <w:r w:rsidRPr="00345EC1">
        <w:rPr>
          <w:rFonts w:ascii="Times New Roman" w:hAnsi="Times New Roman" w:cs="Times New Roman"/>
          <w:szCs w:val="24"/>
        </w:rPr>
        <w:t xml:space="preserve"> powyżej</w:t>
      </w:r>
      <w:r>
        <w:rPr>
          <w:rFonts w:ascii="Times New Roman" w:hAnsi="Times New Roman" w:cs="Times New Roman"/>
          <w:szCs w:val="24"/>
        </w:rPr>
        <w:t>.</w:t>
      </w:r>
    </w:p>
    <w:p w14:paraId="1CEFC864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Zamawiający</w:t>
      </w:r>
      <w:r w:rsidRPr="00345EC1">
        <w:rPr>
          <w:rFonts w:ascii="Times New Roman" w:hAnsi="Times New Roman" w:cs="Times New Roman"/>
          <w:szCs w:val="24"/>
        </w:rPr>
        <w:t xml:space="preserve"> nabywa własność wszystkich egzemplarzy </w:t>
      </w:r>
      <w:r>
        <w:rPr>
          <w:rFonts w:ascii="Times New Roman" w:hAnsi="Times New Roman" w:cs="Times New Roman"/>
          <w:szCs w:val="24"/>
        </w:rPr>
        <w:t>Utworu</w:t>
      </w:r>
      <w:r w:rsidRPr="00345EC1">
        <w:rPr>
          <w:rFonts w:ascii="Times New Roman" w:hAnsi="Times New Roman" w:cs="Times New Roman"/>
          <w:szCs w:val="24"/>
        </w:rPr>
        <w:t>, w szczególności nośników, na których je utrwalono</w:t>
      </w:r>
      <w:r>
        <w:rPr>
          <w:rFonts w:ascii="Times New Roman" w:hAnsi="Times New Roman" w:cs="Times New Roman"/>
          <w:szCs w:val="24"/>
        </w:rPr>
        <w:t>.</w:t>
      </w:r>
    </w:p>
    <w:p w14:paraId="35E75508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Wynagrodzenie z tytułu przeniesienia autorskich praw majątkowych do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  na każdym polu eksploatacji opisanym w </w:t>
      </w:r>
      <w:r>
        <w:rPr>
          <w:rFonts w:ascii="Times New Roman" w:hAnsi="Times New Roman" w:cs="Times New Roman"/>
          <w:szCs w:val="24"/>
        </w:rPr>
        <w:t>pkt 6 powyżej</w:t>
      </w:r>
      <w:r w:rsidRPr="00345EC1">
        <w:rPr>
          <w:rFonts w:ascii="Times New Roman" w:hAnsi="Times New Roman" w:cs="Times New Roman"/>
          <w:szCs w:val="24"/>
        </w:rPr>
        <w:t xml:space="preserve">  jest uwzględnione w </w:t>
      </w:r>
      <w:r>
        <w:rPr>
          <w:rFonts w:ascii="Times New Roman" w:hAnsi="Times New Roman" w:cs="Times New Roman"/>
          <w:szCs w:val="24"/>
        </w:rPr>
        <w:t>Cenie wskazanej w Umowie</w:t>
      </w:r>
      <w:r w:rsidRPr="00345EC1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Generalnemu </w:t>
      </w:r>
      <w:r w:rsidRPr="00345EC1">
        <w:rPr>
          <w:rFonts w:ascii="Times New Roman" w:hAnsi="Times New Roman" w:cs="Times New Roman"/>
          <w:szCs w:val="24"/>
        </w:rPr>
        <w:t>Wykonawcy nie przysługuje żadne dodatkowe wynagrodzenie za przeniesienie autorskich praw majątkowych do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na rzecz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. Powyższe dotyczy również nośnika, na jakim Utwory zostały utrwalone. </w:t>
      </w:r>
    </w:p>
    <w:p w14:paraId="06B5F04C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Postanowienia dotyczące przeniesienia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autorskich praw majątkowych do wszystkich Utwo</w:t>
      </w:r>
      <w:r>
        <w:rPr>
          <w:rFonts w:ascii="Times New Roman" w:hAnsi="Times New Roman" w:cs="Times New Roman"/>
          <w:szCs w:val="24"/>
        </w:rPr>
        <w:t>ru</w:t>
      </w:r>
      <w:r w:rsidRPr="00345EC1">
        <w:rPr>
          <w:rFonts w:ascii="Times New Roman" w:hAnsi="Times New Roman" w:cs="Times New Roman"/>
          <w:szCs w:val="24"/>
        </w:rPr>
        <w:t xml:space="preserve"> stosuje się również do</w:t>
      </w:r>
      <w:r>
        <w:rPr>
          <w:rFonts w:ascii="Times New Roman" w:hAnsi="Times New Roman" w:cs="Times New Roman"/>
          <w:szCs w:val="24"/>
        </w:rPr>
        <w:t xml:space="preserve"> całości lub części</w:t>
      </w:r>
      <w:r w:rsidRPr="00345EC1">
        <w:rPr>
          <w:rFonts w:ascii="Times New Roman" w:hAnsi="Times New Roman" w:cs="Times New Roman"/>
          <w:szCs w:val="24"/>
        </w:rPr>
        <w:t xml:space="preserve">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stworzon</w:t>
      </w:r>
      <w:r>
        <w:rPr>
          <w:rFonts w:ascii="Times New Roman" w:hAnsi="Times New Roman" w:cs="Times New Roman"/>
          <w:szCs w:val="24"/>
        </w:rPr>
        <w:t>ego</w:t>
      </w:r>
      <w:r w:rsidRPr="00345EC1">
        <w:rPr>
          <w:rFonts w:ascii="Times New Roman" w:hAnsi="Times New Roman" w:cs="Times New Roman"/>
          <w:szCs w:val="24"/>
        </w:rPr>
        <w:t xml:space="preserve"> przez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>Wykonawcę wspólnie z innymi osobami. W szczególności, wynagrodzenie należne każdemu ze współtwórców Utworu  stanowi odpowiednią część wynagrodzenia wspólnego</w:t>
      </w:r>
      <w:r>
        <w:rPr>
          <w:rFonts w:ascii="Times New Roman" w:hAnsi="Times New Roman" w:cs="Times New Roman"/>
          <w:szCs w:val="24"/>
        </w:rPr>
        <w:t xml:space="preserve"> uwzględnionego w ramach Ceny</w:t>
      </w:r>
      <w:r w:rsidRPr="00345EC1">
        <w:rPr>
          <w:rFonts w:ascii="Times New Roman" w:hAnsi="Times New Roman" w:cs="Times New Roman"/>
          <w:szCs w:val="24"/>
        </w:rPr>
        <w:t xml:space="preserve">, która odpowiada wielkości udziału danego </w:t>
      </w:r>
      <w:r w:rsidRPr="00345EC1">
        <w:rPr>
          <w:rFonts w:ascii="Times New Roman" w:hAnsi="Times New Roman" w:cs="Times New Roman"/>
          <w:szCs w:val="24"/>
        </w:rPr>
        <w:lastRenderedPageBreak/>
        <w:t xml:space="preserve">współtwórcy w Utworze. Z chwilą przejścia autorskich praw majątkowych do części Utworu wspólnego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, współtwórca traci wszelkie prawa odnoszące się zarówno do przypadającej mu części Utworu, jak i do całości Utworu.  </w:t>
      </w:r>
    </w:p>
    <w:p w14:paraId="0CD045AA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zobowiązuje się nie wykonywać w stosunku do Utworów, do których autorskie prawa majątkowe przeszły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, jakichkolwiek osobistych praw autorskich i upoważnia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do wykonywania tych praw w imieniu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>Wykonawcy w maksymalnym zakresie dopuszczonym przez prawo, a w szczególności do:</w:t>
      </w:r>
    </w:p>
    <w:p w14:paraId="2D0D4B1F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dokonywania w nich wszelkich zmian (przeróbek, adaptacji), w tym do naruszenia ich treści i formy oraz włączania ich do innych dzieł;</w:t>
      </w:r>
    </w:p>
    <w:p w14:paraId="7207BF39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podjęcia decyzji o pierwszym udostępnieniu;</w:t>
      </w:r>
    </w:p>
    <w:p w14:paraId="2E3FDB2E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nadzoru nad sposobem korzystania;</w:t>
      </w:r>
    </w:p>
    <w:p w14:paraId="62C835B9" w14:textId="77777777" w:rsidR="00E579B0" w:rsidRDefault="00E579B0" w:rsidP="00E579B0">
      <w:pPr>
        <w:pStyle w:val="Akapitzlist"/>
        <w:numPr>
          <w:ilvl w:val="1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anonimowego rozpowszechniania Utworu</w:t>
      </w:r>
    </w:p>
    <w:p w14:paraId="35C1D505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Wykonawca zobowiązuje się nie odwoływać upoważnienia wskazanego w </w:t>
      </w:r>
      <w:r>
        <w:rPr>
          <w:rFonts w:ascii="Times New Roman" w:hAnsi="Times New Roman" w:cs="Times New Roman"/>
          <w:szCs w:val="24"/>
        </w:rPr>
        <w:t>punkcie 10 powyżej</w:t>
      </w:r>
      <w:r w:rsidRPr="00345EC1">
        <w:rPr>
          <w:rFonts w:ascii="Times New Roman" w:hAnsi="Times New Roman" w:cs="Times New Roman"/>
          <w:szCs w:val="24"/>
        </w:rPr>
        <w:t xml:space="preserve"> przez cały czas, w którym inny podmiot niż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(w tym </w:t>
      </w:r>
      <w:r>
        <w:rPr>
          <w:rFonts w:ascii="Times New Roman" w:hAnsi="Times New Roman" w:cs="Times New Roman"/>
          <w:szCs w:val="24"/>
        </w:rPr>
        <w:t>Zamawiający</w:t>
      </w:r>
      <w:r w:rsidRPr="00345EC1">
        <w:rPr>
          <w:rFonts w:ascii="Times New Roman" w:hAnsi="Times New Roman" w:cs="Times New Roman"/>
          <w:szCs w:val="24"/>
        </w:rPr>
        <w:t>) pozostaje właścicielem autorskich praw majątkowych do Utworów.</w:t>
      </w:r>
    </w:p>
    <w:p w14:paraId="68160059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Niezależnie od innych postanowień Umowy, w zamian za </w:t>
      </w:r>
      <w:r>
        <w:rPr>
          <w:rFonts w:ascii="Times New Roman" w:hAnsi="Times New Roman" w:cs="Times New Roman"/>
          <w:szCs w:val="24"/>
        </w:rPr>
        <w:t>zapłatę Ceny</w:t>
      </w:r>
      <w:r w:rsidRPr="00345EC1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Zamawiający</w:t>
      </w:r>
      <w:r w:rsidRPr="00345EC1">
        <w:rPr>
          <w:rFonts w:ascii="Times New Roman" w:hAnsi="Times New Roman" w:cs="Times New Roman"/>
          <w:szCs w:val="24"/>
        </w:rPr>
        <w:t xml:space="preserve"> nabywa prawo do wszelkich innych wytworów pracy intelektualnej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 xml:space="preserve">Wykonawcy, stworzonych w na podstawie niniejszej Umowy, oraz do wyłącznego korzystania z nich bez konieczności zapłaty na rzecz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>Wykonawcy dodatkowego wynagrodzenia. Postanowienie to dotyczy w szczególności nabycia projektów wynalazczych określonych w ustawie z dnia 30 czerwca 2000 r. Prawo własności przemysłowej na zasadach w niej określonych, korzystania z ww. projektów wynalazczych oraz nabycia i korzystania z know-how i baz danych nie będących utworami</w:t>
      </w:r>
      <w:r>
        <w:rPr>
          <w:rFonts w:ascii="Times New Roman" w:hAnsi="Times New Roman" w:cs="Times New Roman"/>
          <w:szCs w:val="24"/>
        </w:rPr>
        <w:t xml:space="preserve"> w rozumieniu Prawa Autorskiego.</w:t>
      </w:r>
    </w:p>
    <w:p w14:paraId="2F1846E0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>Wykonawca zobowiązuje się do niekorzystania z ww.  wytworów swojej pracy intelektualnej we własnym zakresie.</w:t>
      </w:r>
    </w:p>
    <w:p w14:paraId="5163D278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[</w:t>
      </w:r>
      <w:r w:rsidRPr="00345EC1">
        <w:rPr>
          <w:rFonts w:ascii="Times New Roman" w:hAnsi="Times New Roman" w:cs="Times New Roman"/>
          <w:b/>
          <w:bCs/>
          <w:szCs w:val="24"/>
        </w:rPr>
        <w:t>Klauzula</w:t>
      </w:r>
      <w:r w:rsidRPr="00345EC1">
        <w:rPr>
          <w:rFonts w:ascii="Times New Roman" w:hAnsi="Times New Roman" w:cs="Times New Roman"/>
          <w:szCs w:val="24"/>
        </w:rPr>
        <w:t xml:space="preserve"> </w:t>
      </w:r>
      <w:r w:rsidRPr="00345EC1">
        <w:rPr>
          <w:rFonts w:ascii="Times New Roman" w:hAnsi="Times New Roman" w:cs="Times New Roman"/>
          <w:b/>
          <w:bCs/>
          <w:szCs w:val="24"/>
        </w:rPr>
        <w:t>interpretacyjna</w:t>
      </w:r>
      <w:r w:rsidRPr="00345EC1">
        <w:rPr>
          <w:rFonts w:ascii="Times New Roman" w:hAnsi="Times New Roman" w:cs="Times New Roman"/>
          <w:szCs w:val="24"/>
        </w:rPr>
        <w:t xml:space="preserve">] Intencją i wolą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 xml:space="preserve">Wykonawcy i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jest przeniesienie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autorskich praw majątkowych oraz pozostałych praw i zezwoleń opisanych w niniejszym </w:t>
      </w:r>
      <w:r>
        <w:rPr>
          <w:rFonts w:ascii="Times New Roman" w:hAnsi="Times New Roman" w:cs="Times New Roman"/>
          <w:szCs w:val="24"/>
        </w:rPr>
        <w:t>Załączniku</w:t>
      </w:r>
      <w:r w:rsidRPr="00345EC1">
        <w:rPr>
          <w:rFonts w:ascii="Times New Roman" w:hAnsi="Times New Roman" w:cs="Times New Roman"/>
          <w:szCs w:val="24"/>
        </w:rPr>
        <w:t xml:space="preserve">, w możliwie najszerszym zakresie. Dlatego też Strony zgodnie oświadczają, iż nabycie przez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autorskich praw majątkowych do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oraz nabycie pozostałych praw i uprawnień opisanych w niniejszym </w:t>
      </w:r>
      <w:r>
        <w:rPr>
          <w:rFonts w:ascii="Times New Roman" w:hAnsi="Times New Roman" w:cs="Times New Roman"/>
          <w:szCs w:val="24"/>
        </w:rPr>
        <w:t>Załączniku</w:t>
      </w:r>
      <w:r w:rsidRPr="00345EC1">
        <w:rPr>
          <w:rFonts w:ascii="Times New Roman" w:hAnsi="Times New Roman" w:cs="Times New Roman"/>
          <w:szCs w:val="24"/>
        </w:rPr>
        <w:t xml:space="preserve">, należy interpretować możliwie szeroko. </w:t>
      </w:r>
    </w:p>
    <w:p w14:paraId="7D8E304A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W przypadku, gdy po przeniesieniu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autorskich praw majątkowych do Utwor</w:t>
      </w:r>
      <w:r>
        <w:rPr>
          <w:rFonts w:ascii="Times New Roman" w:hAnsi="Times New Roman" w:cs="Times New Roman"/>
          <w:szCs w:val="24"/>
        </w:rPr>
        <w:t xml:space="preserve">u </w:t>
      </w:r>
      <w:r w:rsidRPr="00345EC1">
        <w:rPr>
          <w:rFonts w:ascii="Times New Roman" w:hAnsi="Times New Roman" w:cs="Times New Roman"/>
          <w:szCs w:val="24"/>
        </w:rPr>
        <w:t>powstanie nowe pole eksploatacji t</w:t>
      </w:r>
      <w:r>
        <w:rPr>
          <w:rFonts w:ascii="Times New Roman" w:hAnsi="Times New Roman" w:cs="Times New Roman"/>
          <w:szCs w:val="24"/>
        </w:rPr>
        <w:t>ego</w:t>
      </w:r>
      <w:r w:rsidRPr="00345EC1">
        <w:rPr>
          <w:rFonts w:ascii="Times New Roman" w:hAnsi="Times New Roman" w:cs="Times New Roman"/>
          <w:szCs w:val="24"/>
        </w:rPr>
        <w:t xml:space="preserve">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zawrze na żądanie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aneks do niniejszej Umowy przenoszący autorskie prawa majątkowe do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na nowych polach eksploatacji. </w:t>
      </w:r>
      <w:r>
        <w:rPr>
          <w:rFonts w:ascii="Times New Roman" w:hAnsi="Times New Roman" w:cs="Times New Roman"/>
          <w:szCs w:val="24"/>
        </w:rPr>
        <w:t>Zamawiający</w:t>
      </w:r>
      <w:r w:rsidRPr="00345EC1">
        <w:rPr>
          <w:rFonts w:ascii="Times New Roman" w:hAnsi="Times New Roman" w:cs="Times New Roman"/>
          <w:szCs w:val="24"/>
        </w:rPr>
        <w:t xml:space="preserve"> może wystąpić z powyższym żądaniem w okresie 10 lat od dnia powstania nowego pola eksploatacji. </w:t>
      </w:r>
    </w:p>
    <w:p w14:paraId="52DF79E6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Korzystanie ze </w:t>
      </w:r>
      <w:r>
        <w:rPr>
          <w:rFonts w:ascii="Times New Roman" w:hAnsi="Times New Roman" w:cs="Times New Roman"/>
          <w:szCs w:val="24"/>
        </w:rPr>
        <w:t>Utworu</w:t>
      </w:r>
      <w:r w:rsidRPr="00345EC1">
        <w:rPr>
          <w:rFonts w:ascii="Times New Roman" w:hAnsi="Times New Roman" w:cs="Times New Roman"/>
          <w:szCs w:val="24"/>
        </w:rPr>
        <w:t xml:space="preserve"> nie jest ograniczone przedmiotowo i dotyczy wszelkich rodzajów korzystania i publicznego udostępniania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>. Korzystanie z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(np. w całości lub we fragmentach, pojedynczo lub zbiorowo w dowolnym wyborze, samodzielnie lub w innych utworach i in.) obejmuje również możliwość ich wykorzystania i publicznego udostępniania: po opracowaniu przy zastosowaniu wszelkich technik; po włączeniu do innych utworów; wydania zbiorowe; we wszelkich formach promocji i reklam</w:t>
      </w:r>
      <w:r>
        <w:rPr>
          <w:rFonts w:ascii="Times New Roman" w:hAnsi="Times New Roman" w:cs="Times New Roman"/>
          <w:szCs w:val="24"/>
        </w:rPr>
        <w:t>y</w:t>
      </w:r>
      <w:r w:rsidRPr="00345EC1">
        <w:rPr>
          <w:rFonts w:ascii="Times New Roman" w:hAnsi="Times New Roman" w:cs="Times New Roman"/>
          <w:szCs w:val="24"/>
        </w:rPr>
        <w:t>; wykorzystywanie i zarejestrowanie jako znaku towarowego. Wszelkie wykorzystanie i publiczne udostępnianie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>, o którym mowa powyżej, nie stanowi jakiegokolwiek uszczerbku dla autorskich praw osobistych</w:t>
      </w:r>
      <w:r>
        <w:rPr>
          <w:rFonts w:ascii="Times New Roman" w:hAnsi="Times New Roman" w:cs="Times New Roman"/>
          <w:szCs w:val="24"/>
        </w:rPr>
        <w:t xml:space="preserve"> Generalnego</w:t>
      </w:r>
      <w:r w:rsidRPr="00345EC1">
        <w:rPr>
          <w:rFonts w:ascii="Times New Roman" w:hAnsi="Times New Roman" w:cs="Times New Roman"/>
          <w:szCs w:val="24"/>
        </w:rPr>
        <w:t xml:space="preserve"> Wykonawcy</w:t>
      </w:r>
    </w:p>
    <w:p w14:paraId="62543F80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b/>
          <w:bCs/>
          <w:szCs w:val="24"/>
        </w:rPr>
        <w:lastRenderedPageBreak/>
        <w:t>[Open Source]</w:t>
      </w:r>
      <w:r w:rsidRPr="00345EC1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>Wykonawca</w:t>
      </w:r>
      <w:r>
        <w:rPr>
          <w:rFonts w:ascii="Times New Roman" w:hAnsi="Times New Roman" w:cs="Times New Roman"/>
          <w:szCs w:val="24"/>
        </w:rPr>
        <w:t xml:space="preserve"> lub Wykonawca lub Podwykonawca</w:t>
      </w:r>
      <w:r w:rsidRPr="00345EC1">
        <w:rPr>
          <w:rFonts w:ascii="Times New Roman" w:hAnsi="Times New Roman" w:cs="Times New Roman"/>
          <w:szCs w:val="24"/>
        </w:rPr>
        <w:t xml:space="preserve">, w toku wykonywania Umowy, może korzystać z elementów programów komputerowych licencjonowanych na wolnych licencjach (oprogramowania typu „open </w:t>
      </w:r>
      <w:proofErr w:type="spellStart"/>
      <w:r w:rsidRPr="00345EC1">
        <w:rPr>
          <w:rFonts w:ascii="Times New Roman" w:hAnsi="Times New Roman" w:cs="Times New Roman"/>
          <w:szCs w:val="24"/>
        </w:rPr>
        <w:t>source</w:t>
      </w:r>
      <w:proofErr w:type="spellEnd"/>
      <w:r w:rsidRPr="00345EC1">
        <w:rPr>
          <w:rFonts w:ascii="Times New Roman" w:hAnsi="Times New Roman" w:cs="Times New Roman"/>
          <w:szCs w:val="24"/>
        </w:rPr>
        <w:t>”) jedynie wówczas, gdy wykorzystanie takich programów komputerowych do stworzenia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nie uniemożliwi </w:t>
      </w:r>
      <w:r>
        <w:rPr>
          <w:rFonts w:ascii="Times New Roman" w:hAnsi="Times New Roman" w:cs="Times New Roman"/>
          <w:szCs w:val="24"/>
        </w:rPr>
        <w:t xml:space="preserve">Generalnemu </w:t>
      </w:r>
      <w:r w:rsidRPr="00345EC1">
        <w:rPr>
          <w:rFonts w:ascii="Times New Roman" w:hAnsi="Times New Roman" w:cs="Times New Roman"/>
          <w:szCs w:val="24"/>
        </w:rPr>
        <w:t xml:space="preserve">Wykonawcy przeniesienia na rzecz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autorskich praw majątkowych lub rozporządzenia prawami i zezwoleniami opisanymi powyżej, do stworzonego </w:t>
      </w:r>
      <w:r>
        <w:rPr>
          <w:rFonts w:ascii="Times New Roman" w:hAnsi="Times New Roman" w:cs="Times New Roman"/>
          <w:szCs w:val="24"/>
        </w:rPr>
        <w:t>systemu</w:t>
      </w:r>
      <w:r w:rsidRPr="00345EC1">
        <w:rPr>
          <w:rFonts w:ascii="Times New Roman" w:hAnsi="Times New Roman" w:cs="Times New Roman"/>
          <w:szCs w:val="24"/>
        </w:rPr>
        <w:t xml:space="preserve"> na zasadach określonych w niniejszym </w:t>
      </w:r>
      <w:r>
        <w:rPr>
          <w:rFonts w:ascii="Times New Roman" w:hAnsi="Times New Roman" w:cs="Times New Roman"/>
          <w:szCs w:val="24"/>
        </w:rPr>
        <w:t>Załączniku</w:t>
      </w:r>
      <w:r w:rsidRPr="00345EC1">
        <w:rPr>
          <w:rFonts w:ascii="Times New Roman" w:hAnsi="Times New Roman" w:cs="Times New Roman"/>
          <w:szCs w:val="24"/>
        </w:rPr>
        <w:t xml:space="preserve">, a w szczególności polach eksploatacji. W razie wystąpienia okoliczności, o których mowa w zdaniu pierwszym, traktowane one będą jako wada prawna Utworu, za którą pełną odpowiedzialność ponosi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>Wykonawca.</w:t>
      </w:r>
    </w:p>
    <w:p w14:paraId="5514EE43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[</w:t>
      </w:r>
      <w:r w:rsidRPr="00345EC1">
        <w:rPr>
          <w:rFonts w:ascii="Times New Roman" w:hAnsi="Times New Roman" w:cs="Times New Roman"/>
          <w:b/>
          <w:bCs/>
          <w:szCs w:val="24"/>
        </w:rPr>
        <w:t>Kod źródłowy, dokumentacja</w:t>
      </w:r>
      <w:r w:rsidRPr="00345EC1">
        <w:rPr>
          <w:rFonts w:ascii="Times New Roman" w:hAnsi="Times New Roman" w:cs="Times New Roman"/>
          <w:szCs w:val="24"/>
        </w:rPr>
        <w:t xml:space="preserve">] </w:t>
      </w:r>
      <w:r>
        <w:rPr>
          <w:rFonts w:ascii="Times New Roman" w:hAnsi="Times New Roman" w:cs="Times New Roman"/>
          <w:szCs w:val="24"/>
        </w:rPr>
        <w:t>Generalny</w:t>
      </w:r>
      <w:r w:rsidRPr="00345EC1">
        <w:rPr>
          <w:rFonts w:ascii="Times New Roman" w:hAnsi="Times New Roman" w:cs="Times New Roman"/>
          <w:szCs w:val="24"/>
        </w:rPr>
        <w:t xml:space="preserve"> Wykonawca jest </w:t>
      </w:r>
      <w:r>
        <w:rPr>
          <w:rFonts w:ascii="Times New Roman" w:hAnsi="Times New Roman" w:cs="Times New Roman"/>
          <w:szCs w:val="24"/>
        </w:rPr>
        <w:t>z</w:t>
      </w:r>
      <w:r w:rsidRPr="00345EC1">
        <w:rPr>
          <w:rFonts w:ascii="Times New Roman" w:hAnsi="Times New Roman" w:cs="Times New Roman"/>
          <w:szCs w:val="24"/>
        </w:rPr>
        <w:t xml:space="preserve">obowiązany przekazać </w:t>
      </w:r>
      <w:r>
        <w:rPr>
          <w:rFonts w:ascii="Times New Roman" w:hAnsi="Times New Roman" w:cs="Times New Roman"/>
          <w:szCs w:val="24"/>
        </w:rPr>
        <w:t xml:space="preserve">Zamawiającemu </w:t>
      </w:r>
      <w:r w:rsidRPr="00345EC1">
        <w:rPr>
          <w:rFonts w:ascii="Times New Roman" w:hAnsi="Times New Roman" w:cs="Times New Roman"/>
          <w:szCs w:val="24"/>
        </w:rPr>
        <w:t xml:space="preserve">wytworzoną dokumentację oraz aktualne kody źródłowe Utworu, na zasadach opisanych poniżej. </w:t>
      </w:r>
    </w:p>
    <w:p w14:paraId="1F05553C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 xml:space="preserve">W związku z faktem, iż </w:t>
      </w:r>
      <w:r>
        <w:rPr>
          <w:rFonts w:ascii="Times New Roman" w:hAnsi="Times New Roman" w:cs="Times New Roman"/>
          <w:szCs w:val="24"/>
        </w:rPr>
        <w:t>Zamawiający</w:t>
      </w:r>
      <w:r w:rsidRPr="00345EC1">
        <w:rPr>
          <w:rFonts w:ascii="Times New Roman" w:hAnsi="Times New Roman" w:cs="Times New Roman"/>
          <w:szCs w:val="24"/>
        </w:rPr>
        <w:t xml:space="preserve"> będzie miał prawo modyfikować na własne potrzeby dostarczone mu oprogramowanie</w:t>
      </w:r>
      <w:r>
        <w:rPr>
          <w:rFonts w:ascii="Times New Roman" w:hAnsi="Times New Roman" w:cs="Times New Roman"/>
          <w:szCs w:val="24"/>
        </w:rPr>
        <w:t xml:space="preserve"> obejmujące Utwór (zwane dalej „Oprogramowaniem”)</w:t>
      </w:r>
      <w:r w:rsidRPr="00345EC1">
        <w:rPr>
          <w:rFonts w:ascii="Times New Roman" w:hAnsi="Times New Roman" w:cs="Times New Roman"/>
          <w:szCs w:val="24"/>
        </w:rPr>
        <w:t xml:space="preserve">, Wykonawca dostarczy </w:t>
      </w:r>
      <w:r>
        <w:rPr>
          <w:rFonts w:ascii="Times New Roman" w:hAnsi="Times New Roman" w:cs="Times New Roman"/>
          <w:szCs w:val="24"/>
        </w:rPr>
        <w:t>Zamawiającemu</w:t>
      </w:r>
      <w:r w:rsidRPr="00345EC1">
        <w:rPr>
          <w:rFonts w:ascii="Times New Roman" w:hAnsi="Times New Roman" w:cs="Times New Roman"/>
          <w:szCs w:val="24"/>
        </w:rPr>
        <w:t xml:space="preserve"> w ramach </w:t>
      </w:r>
      <w:r>
        <w:rPr>
          <w:rFonts w:ascii="Times New Roman" w:hAnsi="Times New Roman" w:cs="Times New Roman"/>
          <w:szCs w:val="24"/>
        </w:rPr>
        <w:t>Ceny</w:t>
      </w:r>
      <w:r w:rsidRPr="00345EC1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O</w:t>
      </w:r>
      <w:r w:rsidRPr="00345EC1">
        <w:rPr>
          <w:rFonts w:ascii="Times New Roman" w:hAnsi="Times New Roman" w:cs="Times New Roman"/>
          <w:szCs w:val="24"/>
        </w:rPr>
        <w:t xml:space="preserve">programowanie w postaci kodu źródłowego w formie pozwalającej na nieskrępowane i bez utrudnień rozwijanie </w:t>
      </w:r>
      <w:r>
        <w:rPr>
          <w:rFonts w:ascii="Times New Roman" w:hAnsi="Times New Roman" w:cs="Times New Roman"/>
          <w:szCs w:val="24"/>
        </w:rPr>
        <w:t>O</w:t>
      </w:r>
      <w:r w:rsidRPr="00345EC1">
        <w:rPr>
          <w:rFonts w:ascii="Times New Roman" w:hAnsi="Times New Roman" w:cs="Times New Roman"/>
          <w:szCs w:val="24"/>
        </w:rPr>
        <w:t xml:space="preserve">programowania przez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lub przez podmioty wybrane przez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>. Wykonawca jest zobowiązany w sposób czytelny i jasny dokonywać opisu kodu źródłowego.</w:t>
      </w:r>
    </w:p>
    <w:p w14:paraId="2AA3B0EB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Generalny Wykonawca zobowiązany jest utrzymywać repozytorium kodów źródłowych </w:t>
      </w:r>
      <w:r w:rsidRPr="00345EC1">
        <w:rPr>
          <w:rFonts w:ascii="Times New Roman" w:hAnsi="Times New Roman" w:cs="Times New Roman"/>
          <w:szCs w:val="24"/>
        </w:rPr>
        <w:t xml:space="preserve">i udzielić nieskrępowanego dostępu </w:t>
      </w:r>
      <w:r>
        <w:rPr>
          <w:rFonts w:ascii="Times New Roman" w:hAnsi="Times New Roman" w:cs="Times New Roman"/>
          <w:szCs w:val="24"/>
        </w:rPr>
        <w:t>do ww. repozytorium Zamawiającemu lub podmiotowi przez niego wskazanemu</w:t>
      </w:r>
      <w:r w:rsidRPr="00345EC1">
        <w:rPr>
          <w:rFonts w:ascii="Times New Roman" w:hAnsi="Times New Roman" w:cs="Times New Roman"/>
          <w:szCs w:val="24"/>
        </w:rPr>
        <w:t>.</w:t>
      </w:r>
    </w:p>
    <w:p w14:paraId="64C70435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Utw</w:t>
      </w:r>
      <w:r>
        <w:rPr>
          <w:rFonts w:ascii="Times New Roman" w:hAnsi="Times New Roman" w:cs="Times New Roman"/>
          <w:szCs w:val="24"/>
        </w:rPr>
        <w:t>ór</w:t>
      </w:r>
      <w:r w:rsidRPr="00345EC1">
        <w:rPr>
          <w:rFonts w:ascii="Times New Roman" w:hAnsi="Times New Roman" w:cs="Times New Roman"/>
          <w:szCs w:val="24"/>
        </w:rPr>
        <w:t>, dostarczon</w:t>
      </w:r>
      <w:r>
        <w:rPr>
          <w:rFonts w:ascii="Times New Roman" w:hAnsi="Times New Roman" w:cs="Times New Roman"/>
          <w:szCs w:val="24"/>
        </w:rPr>
        <w:t>y</w:t>
      </w:r>
      <w:r w:rsidRPr="00345EC1">
        <w:rPr>
          <w:rFonts w:ascii="Times New Roman" w:hAnsi="Times New Roman" w:cs="Times New Roman"/>
          <w:szCs w:val="24"/>
        </w:rPr>
        <w:t xml:space="preserve"> w formie kodu źródłowego, zawierać będ</w:t>
      </w:r>
      <w:r>
        <w:rPr>
          <w:rFonts w:ascii="Times New Roman" w:hAnsi="Times New Roman" w:cs="Times New Roman"/>
          <w:szCs w:val="24"/>
        </w:rPr>
        <w:t>zie</w:t>
      </w:r>
      <w:r w:rsidRPr="00345EC1">
        <w:rPr>
          <w:rFonts w:ascii="Times New Roman" w:hAnsi="Times New Roman" w:cs="Times New Roman"/>
          <w:szCs w:val="24"/>
        </w:rPr>
        <w:t xml:space="preserve"> komentarze, w szczególności komentarze umieszczone w trakcie realizacji Utworu, wykonane zgodnie z regułami sztuki i metodyką wdrożenia stosowaną przez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>Wykonawcę</w:t>
      </w:r>
      <w:r>
        <w:rPr>
          <w:rFonts w:ascii="Times New Roman" w:hAnsi="Times New Roman" w:cs="Times New Roman"/>
          <w:szCs w:val="24"/>
        </w:rPr>
        <w:t>, Wykonawcę lub Podwykonawcę</w:t>
      </w:r>
      <w:r w:rsidRPr="00345EC1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Generalny </w:t>
      </w:r>
      <w:r w:rsidRPr="00345EC1">
        <w:rPr>
          <w:rFonts w:ascii="Times New Roman" w:hAnsi="Times New Roman" w:cs="Times New Roman"/>
          <w:szCs w:val="24"/>
        </w:rPr>
        <w:t>Wykonawca</w:t>
      </w:r>
      <w:r>
        <w:rPr>
          <w:rFonts w:ascii="Times New Roman" w:hAnsi="Times New Roman" w:cs="Times New Roman"/>
          <w:szCs w:val="24"/>
        </w:rPr>
        <w:t xml:space="preserve"> </w:t>
      </w:r>
      <w:r w:rsidRPr="00345EC1">
        <w:rPr>
          <w:rFonts w:ascii="Times New Roman" w:hAnsi="Times New Roman" w:cs="Times New Roman"/>
          <w:szCs w:val="24"/>
        </w:rPr>
        <w:t>przed</w:t>
      </w:r>
      <w:r>
        <w:rPr>
          <w:rFonts w:ascii="Times New Roman" w:hAnsi="Times New Roman" w:cs="Times New Roman"/>
          <w:szCs w:val="24"/>
        </w:rPr>
        <w:t xml:space="preserve"> </w:t>
      </w:r>
      <w:r w:rsidRPr="00345EC1">
        <w:rPr>
          <w:rFonts w:ascii="Times New Roman" w:hAnsi="Times New Roman" w:cs="Times New Roman"/>
          <w:szCs w:val="24"/>
        </w:rPr>
        <w:t xml:space="preserve">dostarczeniem kodu źródłowego </w:t>
      </w:r>
      <w:r>
        <w:rPr>
          <w:rFonts w:ascii="Times New Roman" w:hAnsi="Times New Roman" w:cs="Times New Roman"/>
          <w:szCs w:val="24"/>
        </w:rPr>
        <w:t xml:space="preserve">Zamawiającemu </w:t>
      </w:r>
      <w:r w:rsidRPr="00345EC1">
        <w:rPr>
          <w:rFonts w:ascii="Times New Roman" w:hAnsi="Times New Roman" w:cs="Times New Roman"/>
          <w:szCs w:val="24"/>
        </w:rPr>
        <w:t>nie będzie</w:t>
      </w:r>
      <w:r>
        <w:rPr>
          <w:rFonts w:ascii="Times New Roman" w:hAnsi="Times New Roman" w:cs="Times New Roman"/>
          <w:szCs w:val="24"/>
        </w:rPr>
        <w:t xml:space="preserve"> </w:t>
      </w:r>
      <w:r w:rsidRPr="00345EC1">
        <w:rPr>
          <w:rFonts w:ascii="Times New Roman" w:hAnsi="Times New Roman" w:cs="Times New Roman"/>
          <w:szCs w:val="24"/>
        </w:rPr>
        <w:t>z jego treśc</w:t>
      </w:r>
      <w:r>
        <w:rPr>
          <w:rFonts w:ascii="Times New Roman" w:hAnsi="Times New Roman" w:cs="Times New Roman"/>
          <w:szCs w:val="24"/>
        </w:rPr>
        <w:t xml:space="preserve">i </w:t>
      </w:r>
      <w:r w:rsidRPr="00345EC1">
        <w:rPr>
          <w:rFonts w:ascii="Times New Roman" w:hAnsi="Times New Roman" w:cs="Times New Roman"/>
          <w:szCs w:val="24"/>
        </w:rPr>
        <w:t>usuwał komentarzy oraz innych informacji technicznych z kodu źródłowego danego Utworu,</w:t>
      </w:r>
      <w:r>
        <w:rPr>
          <w:rFonts w:ascii="Times New Roman" w:hAnsi="Times New Roman" w:cs="Times New Roman"/>
          <w:szCs w:val="24"/>
        </w:rPr>
        <w:t xml:space="preserve"> </w:t>
      </w:r>
      <w:r w:rsidRPr="00345EC1">
        <w:rPr>
          <w:rFonts w:ascii="Times New Roman" w:hAnsi="Times New Roman" w:cs="Times New Roman"/>
          <w:szCs w:val="24"/>
        </w:rPr>
        <w:t xml:space="preserve">chyba że ich dalsze występowanie okaże się zbędne, a ich usunięcie nie spowoduje utrudnienia w dalszym korzystaniu lub modyfikacji kodu źródłowego Utworu.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>Wykonawca nie jest również uprawniony do stosowania jakichkolwiek technik lub ograniczeń, które uniemożliwiłyby uprawnionym odczyt lub zapisywanie kodu źródłowego.</w:t>
      </w:r>
    </w:p>
    <w:p w14:paraId="41F9411E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b/>
          <w:bCs/>
          <w:szCs w:val="24"/>
        </w:rPr>
        <w:t>[Utwory osób trzecich]</w:t>
      </w:r>
      <w:r w:rsidRPr="00345EC1">
        <w:rPr>
          <w:rFonts w:ascii="Times New Roman" w:hAnsi="Times New Roman" w:cs="Times New Roman"/>
          <w:szCs w:val="24"/>
        </w:rPr>
        <w:t xml:space="preserve"> W przypadku dostarczenia przez </w:t>
      </w:r>
      <w:r>
        <w:rPr>
          <w:rFonts w:ascii="Times New Roman" w:hAnsi="Times New Roman" w:cs="Times New Roman"/>
          <w:szCs w:val="24"/>
        </w:rPr>
        <w:t xml:space="preserve">Generalnego </w:t>
      </w:r>
      <w:r w:rsidRPr="00345EC1">
        <w:rPr>
          <w:rFonts w:ascii="Times New Roman" w:hAnsi="Times New Roman" w:cs="Times New Roman"/>
          <w:szCs w:val="24"/>
        </w:rPr>
        <w:t>Wykonawcę w ramach realizacji Umowy Utworów stworzonych przez osoby trzecie będące twórcami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, w stosunku do których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nie jest uprawniony do przeniesienia autorskich praw majątkowych  lub rozporządzenia prawami i zezwoleniami opisanymi w niniejszym </w:t>
      </w:r>
      <w:r>
        <w:rPr>
          <w:rFonts w:ascii="Times New Roman" w:hAnsi="Times New Roman" w:cs="Times New Roman"/>
          <w:szCs w:val="24"/>
        </w:rPr>
        <w:t>Załączniku</w:t>
      </w:r>
      <w:r w:rsidRPr="00345EC1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zapewni od właściciela praw do Utworu przeniesie na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autorskich prawa majątkowych do Utworu oraz  praw do wykonywania praw zależnych do Utworów wraz z upoważnieniem  do wykonywania praw zależnych przez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, na zasadach oraz warunkach nie mniej korzystnych niż opisane w niniejszym </w:t>
      </w:r>
      <w:r>
        <w:rPr>
          <w:rFonts w:ascii="Times New Roman" w:hAnsi="Times New Roman" w:cs="Times New Roman"/>
          <w:szCs w:val="24"/>
        </w:rPr>
        <w:t>Załączniku</w:t>
      </w:r>
      <w:r w:rsidRPr="00345EC1">
        <w:rPr>
          <w:rFonts w:ascii="Times New Roman" w:hAnsi="Times New Roman" w:cs="Times New Roman"/>
          <w:szCs w:val="24"/>
        </w:rPr>
        <w:t xml:space="preserve">. </w:t>
      </w:r>
    </w:p>
    <w:p w14:paraId="1243E9E7" w14:textId="77777777" w:rsidR="00E579B0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 w:rsidRPr="00345EC1">
        <w:rPr>
          <w:rFonts w:ascii="Times New Roman" w:hAnsi="Times New Roman" w:cs="Times New Roman"/>
          <w:szCs w:val="24"/>
        </w:rPr>
        <w:t>Generalny Wykonawca zapewnia, iż dostarcza</w:t>
      </w:r>
      <w:r>
        <w:rPr>
          <w:rFonts w:ascii="Times New Roman" w:hAnsi="Times New Roman" w:cs="Times New Roman"/>
          <w:szCs w:val="24"/>
        </w:rPr>
        <w:t>ny</w:t>
      </w:r>
      <w:r w:rsidRPr="00345EC1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Zamawiającemu</w:t>
      </w:r>
      <w:r w:rsidRPr="00345EC1">
        <w:rPr>
          <w:rFonts w:ascii="Times New Roman" w:hAnsi="Times New Roman" w:cs="Times New Roman"/>
          <w:szCs w:val="24"/>
        </w:rPr>
        <w:t xml:space="preserve"> </w:t>
      </w:r>
      <w:r w:rsidRPr="00DE4295">
        <w:rPr>
          <w:rFonts w:ascii="Times New Roman" w:hAnsi="Times New Roman" w:cs="Times New Roman"/>
          <w:szCs w:val="24"/>
        </w:rPr>
        <w:t>Utw</w:t>
      </w:r>
      <w:r>
        <w:rPr>
          <w:rFonts w:ascii="Times New Roman" w:hAnsi="Times New Roman" w:cs="Times New Roman"/>
          <w:szCs w:val="24"/>
        </w:rPr>
        <w:t>ór</w:t>
      </w:r>
      <w:r w:rsidRPr="00345EC1">
        <w:rPr>
          <w:rFonts w:ascii="Times New Roman" w:hAnsi="Times New Roman" w:cs="Times New Roman"/>
          <w:szCs w:val="24"/>
        </w:rPr>
        <w:t xml:space="preserve"> będ</w:t>
      </w:r>
      <w:r>
        <w:rPr>
          <w:rFonts w:ascii="Times New Roman" w:hAnsi="Times New Roman" w:cs="Times New Roman"/>
          <w:szCs w:val="24"/>
        </w:rPr>
        <w:t>zie</w:t>
      </w:r>
      <w:r w:rsidRPr="00345EC1">
        <w:rPr>
          <w:rFonts w:ascii="Times New Roman" w:hAnsi="Times New Roman" w:cs="Times New Roman"/>
          <w:szCs w:val="24"/>
        </w:rPr>
        <w:t xml:space="preserve"> utwor</w:t>
      </w:r>
      <w:r>
        <w:rPr>
          <w:rFonts w:ascii="Times New Roman" w:hAnsi="Times New Roman" w:cs="Times New Roman"/>
          <w:szCs w:val="24"/>
        </w:rPr>
        <w:t>em</w:t>
      </w:r>
      <w:r w:rsidRPr="00345EC1">
        <w:rPr>
          <w:rFonts w:ascii="Times New Roman" w:hAnsi="Times New Roman" w:cs="Times New Roman"/>
          <w:szCs w:val="24"/>
        </w:rPr>
        <w:t xml:space="preserve"> oryginalnym, wolnym od wad prawnych i od jakichkolwiek obciążeń oraz nie bę</w:t>
      </w:r>
      <w:r>
        <w:rPr>
          <w:rFonts w:ascii="Times New Roman" w:hAnsi="Times New Roman" w:cs="Times New Roman"/>
          <w:szCs w:val="24"/>
        </w:rPr>
        <w:t>dzie</w:t>
      </w:r>
      <w:r w:rsidRPr="00345EC1">
        <w:rPr>
          <w:rFonts w:ascii="Times New Roman" w:hAnsi="Times New Roman" w:cs="Times New Roman"/>
          <w:szCs w:val="24"/>
        </w:rPr>
        <w:t xml:space="preserve"> naruszał przepisów prawa, ani też praw czy interesów osób trzecich, zaś </w:t>
      </w:r>
      <w:r>
        <w:rPr>
          <w:rFonts w:ascii="Times New Roman" w:hAnsi="Times New Roman" w:cs="Times New Roman"/>
          <w:szCs w:val="24"/>
        </w:rPr>
        <w:t xml:space="preserve">Generalnemu </w:t>
      </w:r>
      <w:r w:rsidRPr="00345EC1">
        <w:rPr>
          <w:rFonts w:ascii="Times New Roman" w:hAnsi="Times New Roman" w:cs="Times New Roman"/>
          <w:szCs w:val="24"/>
        </w:rPr>
        <w:t>Wykonawcy będą przysługiwały do ni</w:t>
      </w:r>
      <w:r>
        <w:rPr>
          <w:rFonts w:ascii="Times New Roman" w:hAnsi="Times New Roman" w:cs="Times New Roman"/>
          <w:szCs w:val="24"/>
        </w:rPr>
        <w:t>ego</w:t>
      </w:r>
      <w:r w:rsidRPr="00345EC1">
        <w:rPr>
          <w:rFonts w:ascii="Times New Roman" w:hAnsi="Times New Roman" w:cs="Times New Roman"/>
          <w:szCs w:val="24"/>
        </w:rPr>
        <w:t xml:space="preserve"> wyłączne i nieograniczone autorskie prawa majątkowe. Nadto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oświadcza, iż nie jest członkiem żadnej organizacji zbiorowego zarządzania prawami autorskimi oraz oświadcza, że będzie </w:t>
      </w:r>
      <w:r w:rsidRPr="00345EC1">
        <w:rPr>
          <w:rFonts w:ascii="Times New Roman" w:hAnsi="Times New Roman" w:cs="Times New Roman"/>
          <w:szCs w:val="24"/>
        </w:rPr>
        <w:lastRenderedPageBreak/>
        <w:t>uprawniony do rozporządzania prawami do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osobiście bez pośrednictwa jakichkolwiek podmiotów trzecich, w tym organizacji zbiorowego zarządzania bez żadnych ograniczeń.</w:t>
      </w:r>
    </w:p>
    <w:p w14:paraId="5270F9C4" w14:textId="77777777" w:rsidR="00E579B0" w:rsidRPr="00345EC1" w:rsidRDefault="00E579B0" w:rsidP="00E579B0">
      <w:pPr>
        <w:pStyle w:val="Akapitzlist"/>
        <w:numPr>
          <w:ilvl w:val="0"/>
          <w:numId w:val="1"/>
        </w:numPr>
        <w:spacing w:line="278" w:lineRule="auto"/>
        <w:ind w:right="1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zobowiązuje się do zaspokojenia na swój koszt wszelkich roszczeń osób trzecich z tytułu naruszenia praw tych osób wskutek niezgodności ze stanem rzeczywistym oświadczeń zawartych w </w:t>
      </w:r>
      <w:r>
        <w:rPr>
          <w:rFonts w:ascii="Times New Roman" w:hAnsi="Times New Roman" w:cs="Times New Roman"/>
          <w:szCs w:val="24"/>
        </w:rPr>
        <w:t>niniejszym Załączniku</w:t>
      </w:r>
      <w:r w:rsidRPr="00345EC1">
        <w:rPr>
          <w:rFonts w:ascii="Times New Roman" w:hAnsi="Times New Roman" w:cs="Times New Roman"/>
          <w:szCs w:val="24"/>
        </w:rPr>
        <w:t xml:space="preserve">, a w razie zaspokojenia tych roszczeń przez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lub zasądzenia ich </w:t>
      </w:r>
      <w:r>
        <w:rPr>
          <w:rFonts w:ascii="Times New Roman" w:hAnsi="Times New Roman" w:cs="Times New Roman"/>
          <w:szCs w:val="24"/>
        </w:rPr>
        <w:t>od Zamawiającego</w:t>
      </w:r>
      <w:r w:rsidRPr="00345EC1">
        <w:rPr>
          <w:rFonts w:ascii="Times New Roman" w:hAnsi="Times New Roman" w:cs="Times New Roman"/>
          <w:szCs w:val="24"/>
        </w:rPr>
        <w:t xml:space="preserve"> - do zwrotu regresowo na wezwanie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 całości pokrytych roszczeń, kar lub odszkodowań oraz wszelkich związanych z tym wydatków, włączając w to koszty postępowania sądowego, arbitrażowego, administracyjnego lub ugodowego.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zobowiązuje się nadto do przystąpienia na swój własny koszt, na wezwanie </w:t>
      </w:r>
      <w:r>
        <w:rPr>
          <w:rFonts w:ascii="Times New Roman" w:hAnsi="Times New Roman" w:cs="Times New Roman"/>
          <w:szCs w:val="24"/>
        </w:rPr>
        <w:t>Zamawiającego</w:t>
      </w:r>
      <w:r w:rsidRPr="000F4B76">
        <w:rPr>
          <w:rFonts w:ascii="Times New Roman" w:hAnsi="Times New Roman" w:cs="Times New Roman"/>
          <w:szCs w:val="24"/>
        </w:rPr>
        <w:t xml:space="preserve"> </w:t>
      </w:r>
      <w:r w:rsidRPr="00345EC1">
        <w:rPr>
          <w:rFonts w:ascii="Times New Roman" w:hAnsi="Times New Roman" w:cs="Times New Roman"/>
          <w:szCs w:val="24"/>
        </w:rPr>
        <w:t xml:space="preserve">lub kompetentnego organu, do jakiegokolwiek postępowania sądowego lub pozasądowego toczącego się z udziałem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 xml:space="preserve">, a wynikłego z okoliczności, o których mowa w zdaniu poprzedzającym. Nadto </w:t>
      </w:r>
      <w:r>
        <w:rPr>
          <w:rFonts w:ascii="Times New Roman" w:hAnsi="Times New Roman" w:cs="Times New Roman"/>
          <w:szCs w:val="24"/>
        </w:rPr>
        <w:t xml:space="preserve">Generalny </w:t>
      </w:r>
      <w:r w:rsidRPr="00345EC1">
        <w:rPr>
          <w:rFonts w:ascii="Times New Roman" w:hAnsi="Times New Roman" w:cs="Times New Roman"/>
          <w:szCs w:val="24"/>
        </w:rPr>
        <w:t xml:space="preserve">Wykonawca zobowiązuje się do udostępnienia </w:t>
      </w:r>
      <w:r>
        <w:rPr>
          <w:rFonts w:ascii="Times New Roman" w:hAnsi="Times New Roman" w:cs="Times New Roman"/>
          <w:szCs w:val="24"/>
        </w:rPr>
        <w:t>Zamawiającemu</w:t>
      </w:r>
      <w:r w:rsidRPr="00345EC1">
        <w:rPr>
          <w:rFonts w:ascii="Times New Roman" w:hAnsi="Times New Roman" w:cs="Times New Roman"/>
          <w:szCs w:val="24"/>
        </w:rPr>
        <w:t xml:space="preserve"> wszystkich niezbędnych dokumentów niezbędnych dla obrony praw </w:t>
      </w:r>
      <w:r>
        <w:rPr>
          <w:rFonts w:ascii="Times New Roman" w:hAnsi="Times New Roman" w:cs="Times New Roman"/>
          <w:szCs w:val="24"/>
        </w:rPr>
        <w:t xml:space="preserve">Zamawiającego </w:t>
      </w:r>
      <w:r w:rsidRPr="00345EC1">
        <w:rPr>
          <w:rFonts w:ascii="Times New Roman" w:hAnsi="Times New Roman" w:cs="Times New Roman"/>
          <w:szCs w:val="24"/>
        </w:rPr>
        <w:t>w postępowaniu wszczętym na skutek roszczenia, w tym uprzednich negocjacjach. W przypadku dokonywania dalszych modyfikacji Utwor</w:t>
      </w:r>
      <w:r>
        <w:rPr>
          <w:rFonts w:ascii="Times New Roman" w:hAnsi="Times New Roman" w:cs="Times New Roman"/>
          <w:szCs w:val="24"/>
        </w:rPr>
        <w:t>u</w:t>
      </w:r>
      <w:r w:rsidRPr="00345EC1">
        <w:rPr>
          <w:rFonts w:ascii="Times New Roman" w:hAnsi="Times New Roman" w:cs="Times New Roman"/>
          <w:szCs w:val="24"/>
        </w:rPr>
        <w:t xml:space="preserve"> przez </w:t>
      </w:r>
      <w:r>
        <w:rPr>
          <w:rFonts w:ascii="Times New Roman" w:hAnsi="Times New Roman" w:cs="Times New Roman"/>
          <w:szCs w:val="24"/>
        </w:rPr>
        <w:t>Zamawiającego</w:t>
      </w:r>
      <w:r w:rsidRPr="00345EC1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Generalny</w:t>
      </w:r>
      <w:r w:rsidRPr="00345EC1">
        <w:rPr>
          <w:rFonts w:ascii="Times New Roman" w:hAnsi="Times New Roman" w:cs="Times New Roman"/>
          <w:szCs w:val="24"/>
        </w:rPr>
        <w:t xml:space="preserve"> Wykonawca jest zwolniony z odpowiedzialności wobec osób trzecich, jeśli szkoda powstała wyłącznie w wyniku takiej modyfikacji.</w:t>
      </w:r>
    </w:p>
    <w:p w14:paraId="532AAC8B" w14:textId="77777777" w:rsidR="00CD60BD" w:rsidRDefault="00CD60BD"/>
    <w:sectPr w:rsidR="00CD6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37B6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AC9B2" w16cex:dateUtc="2023-04-19T18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37B68D" w16cid:durableId="27EAC9B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5183"/>
    <w:multiLevelType w:val="hybridMultilevel"/>
    <w:tmpl w:val="22162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089C8C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C7FA4"/>
    <w:multiLevelType w:val="hybridMultilevel"/>
    <w:tmpl w:val="E0280416"/>
    <w:lvl w:ilvl="0" w:tplc="AA424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Łukasz Banach">
    <w15:presenceInfo w15:providerId="AD" w15:userId="S::l.banach@konto1066906.onmicrosoft.com::b5f56e13-8438-4b4a-9f4e-13627dae34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B0"/>
    <w:rsid w:val="00083557"/>
    <w:rsid w:val="000F0E66"/>
    <w:rsid w:val="00135621"/>
    <w:rsid w:val="002A5F80"/>
    <w:rsid w:val="003B0FED"/>
    <w:rsid w:val="00694A0C"/>
    <w:rsid w:val="007268AD"/>
    <w:rsid w:val="00766B51"/>
    <w:rsid w:val="00852172"/>
    <w:rsid w:val="00887D90"/>
    <w:rsid w:val="008F5A8E"/>
    <w:rsid w:val="009F6704"/>
    <w:rsid w:val="00A352F5"/>
    <w:rsid w:val="00C44629"/>
    <w:rsid w:val="00CD60BD"/>
    <w:rsid w:val="00E579B0"/>
    <w:rsid w:val="00F17C31"/>
    <w:rsid w:val="00F2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3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9B0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2">
    <w:name w:val="heading 2"/>
    <w:aliases w:val="Podtytuł1,Podtytu31,Paragraaf,Podrozdział"/>
    <w:basedOn w:val="Normalny"/>
    <w:next w:val="Normalny"/>
    <w:link w:val="Nagwek2Znak"/>
    <w:uiPriority w:val="99"/>
    <w:unhideWhenUsed/>
    <w:qFormat/>
    <w:rsid w:val="00E579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Podtytuł1 Znak,Podtytu31 Znak,Paragraaf Znak,Podrozdział Znak"/>
    <w:basedOn w:val="Domylnaczcionkaakapitu"/>
    <w:link w:val="Nagwek2"/>
    <w:uiPriority w:val="99"/>
    <w:rsid w:val="00E579B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aliases w:val="Normal,Nag 1,BulletC,normalny tekst,Akapit z listą 1,maz_wyliczenie,opis dzialania,K-P_odwolanie,A_wyliczenie,Akapit z listą5,Akapit z listą3,Akapit z listą31,Normal2,Akapit z numeracją,Akapit z listą kropka,Numerowanie,List Paragraph"/>
    <w:basedOn w:val="Normalny"/>
    <w:link w:val="AkapitzlistZnak"/>
    <w:uiPriority w:val="1"/>
    <w:qFormat/>
    <w:rsid w:val="00E579B0"/>
    <w:pPr>
      <w:ind w:left="720"/>
      <w:contextualSpacing/>
    </w:pPr>
  </w:style>
  <w:style w:type="character" w:customStyle="1" w:styleId="AkapitzlistZnak">
    <w:name w:val="Akapit z listą Znak"/>
    <w:aliases w:val="Normal Znak,Nag 1 Znak,BulletC Znak,normalny tekst Znak,Akapit z listą 1 Znak,maz_wyliczenie Znak,opis dzialania Znak,K-P_odwolanie Znak,A_wyliczenie Znak,Akapit z listą5 Znak,Akapit z listą3 Znak,Akapit z listą31 Znak,Normal2 Znak"/>
    <w:basedOn w:val="Domylnaczcionkaakapitu"/>
    <w:link w:val="Akapitzlist"/>
    <w:uiPriority w:val="1"/>
    <w:rsid w:val="00E579B0"/>
    <w:rPr>
      <w:rFonts w:eastAsiaTheme="minorEastAsia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3B0FED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5F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5F80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F80"/>
    <w:rPr>
      <w:rFonts w:eastAsiaTheme="minorEastAsia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2F5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9B0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2">
    <w:name w:val="heading 2"/>
    <w:aliases w:val="Podtytuł1,Podtytu31,Paragraaf,Podrozdział"/>
    <w:basedOn w:val="Normalny"/>
    <w:next w:val="Normalny"/>
    <w:link w:val="Nagwek2Znak"/>
    <w:uiPriority w:val="99"/>
    <w:unhideWhenUsed/>
    <w:qFormat/>
    <w:rsid w:val="00E579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Podtytuł1 Znak,Podtytu31 Znak,Paragraaf Znak,Podrozdział Znak"/>
    <w:basedOn w:val="Domylnaczcionkaakapitu"/>
    <w:link w:val="Nagwek2"/>
    <w:uiPriority w:val="99"/>
    <w:rsid w:val="00E579B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paragraph" w:styleId="Akapitzlist">
    <w:name w:val="List Paragraph"/>
    <w:aliases w:val="Normal,Nag 1,BulletC,normalny tekst,Akapit z listą 1,maz_wyliczenie,opis dzialania,K-P_odwolanie,A_wyliczenie,Akapit z listą5,Akapit z listą3,Akapit z listą31,Normal2,Akapit z numeracją,Akapit z listą kropka,Numerowanie,List Paragraph"/>
    <w:basedOn w:val="Normalny"/>
    <w:link w:val="AkapitzlistZnak"/>
    <w:uiPriority w:val="1"/>
    <w:qFormat/>
    <w:rsid w:val="00E579B0"/>
    <w:pPr>
      <w:ind w:left="720"/>
      <w:contextualSpacing/>
    </w:pPr>
  </w:style>
  <w:style w:type="character" w:customStyle="1" w:styleId="AkapitzlistZnak">
    <w:name w:val="Akapit z listą Znak"/>
    <w:aliases w:val="Normal Znak,Nag 1 Znak,BulletC Znak,normalny tekst Znak,Akapit z listą 1 Znak,maz_wyliczenie Znak,opis dzialania Znak,K-P_odwolanie Znak,A_wyliczenie Znak,Akapit z listą5 Znak,Akapit z listą3 Znak,Akapit z listą31 Znak,Normal2 Znak"/>
    <w:basedOn w:val="Domylnaczcionkaakapitu"/>
    <w:link w:val="Akapitzlist"/>
    <w:uiPriority w:val="1"/>
    <w:rsid w:val="00E579B0"/>
    <w:rPr>
      <w:rFonts w:eastAsiaTheme="minorEastAsia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3B0FED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5F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5F80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F80"/>
    <w:rPr>
      <w:rFonts w:eastAsiaTheme="minorEastAsia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2F5"/>
    <w:rPr>
      <w:rFonts w:ascii="Tahoma" w:eastAsiaTheme="minorEastAsia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2078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Pogoda</dc:creator>
  <cp:lastModifiedBy>Agata Baranowska</cp:lastModifiedBy>
  <cp:revision>2</cp:revision>
  <dcterms:created xsi:type="dcterms:W3CDTF">2023-04-20T08:44:00Z</dcterms:created>
  <dcterms:modified xsi:type="dcterms:W3CDTF">2023-04-20T08:44:00Z</dcterms:modified>
</cp:coreProperties>
</file>