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59" w:rsidRDefault="001439A7">
      <w:pPr>
        <w:pStyle w:val="TitleStyle"/>
      </w:pPr>
      <w:r>
        <w:t>Zasady postępowania w kontaktach z wykonawcami.</w:t>
      </w:r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r>
        <w:br/>
      </w:r>
      <w:bookmarkStart w:id="0" w:name="_GoBack"/>
      <w:bookmarkEnd w:id="0"/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 xml:space="preserve">6) bezstronności oraz unikania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 xml:space="preserve">2.  Podmiot wnioskujący może zastrzec we wniosku, o którym mowa w ust. 1, </w:t>
      </w:r>
      <w:proofErr w:type="spellStart"/>
      <w:r>
        <w:rPr>
          <w:color w:val="000000"/>
        </w:rPr>
        <w:t>anonimizację</w:t>
      </w:r>
      <w:proofErr w:type="spellEnd"/>
      <w:r>
        <w:rPr>
          <w:color w:val="000000"/>
        </w:rPr>
        <w:t xml:space="preserve">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7E" w:rsidRDefault="00D1427E" w:rsidP="006177F2">
      <w:pPr>
        <w:spacing w:after="0" w:line="240" w:lineRule="auto"/>
      </w:pPr>
      <w:r>
        <w:separator/>
      </w:r>
    </w:p>
  </w:endnote>
  <w:endnote w:type="continuationSeparator" w:id="0">
    <w:p w:rsidR="00D1427E" w:rsidRDefault="00D1427E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117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117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7E" w:rsidRDefault="00D1427E" w:rsidP="006177F2">
      <w:pPr>
        <w:spacing w:after="0" w:line="240" w:lineRule="auto"/>
      </w:pPr>
      <w:r>
        <w:separator/>
      </w:r>
    </w:p>
  </w:footnote>
  <w:footnote w:type="continuationSeparator" w:id="0">
    <w:p w:rsidR="00D1427E" w:rsidRDefault="00D1427E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1170">
          <w:rPr>
            <w:rFonts w:ascii="Arial" w:hAnsi="Arial" w:cs="Arial"/>
            <w:szCs w:val="24"/>
          </w:rPr>
          <w:t>Załącznik nr 5</w:t>
        </w:r>
      </w:sdtContent>
    </w:sdt>
  </w:p>
  <w:p w:rsidR="006177F2" w:rsidRDefault="0061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9"/>
    <w:rsid w:val="00136F5B"/>
    <w:rsid w:val="001439A7"/>
    <w:rsid w:val="00182DC4"/>
    <w:rsid w:val="001F6AF5"/>
    <w:rsid w:val="00250D2D"/>
    <w:rsid w:val="002D48EF"/>
    <w:rsid w:val="002F1170"/>
    <w:rsid w:val="003533F7"/>
    <w:rsid w:val="00486CD4"/>
    <w:rsid w:val="004C4C66"/>
    <w:rsid w:val="006177F2"/>
    <w:rsid w:val="00695C47"/>
    <w:rsid w:val="007B7377"/>
    <w:rsid w:val="00C368AA"/>
    <w:rsid w:val="00D1427E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548A2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B0"/>
    <w:rsid w:val="00163B25"/>
    <w:rsid w:val="00EC55B0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B1C113-6F85-4DFE-AF1A-53C6F38BA5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Karmel Aleksandra</dc:creator>
  <cp:lastModifiedBy>Roszczyński Mirosław</cp:lastModifiedBy>
  <cp:revision>5</cp:revision>
  <cp:lastPrinted>2024-09-23T10:44:00Z</cp:lastPrinted>
  <dcterms:created xsi:type="dcterms:W3CDTF">2023-05-22T10:36:00Z</dcterms:created>
  <dcterms:modified xsi:type="dcterms:W3CDTF">2024-09-23T10:44:00Z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nOEBhgO/B+U2x3wEyZ7ETKJYdgGICPXN</vt:lpwstr>
  </property>
  <property fmtid="{D5CDD505-2E9C-101B-9397-08002B2CF9AE}" pid="9" name="s5636:Creator type=author">
    <vt:lpwstr>Karmel Aleksandra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10.11.187.12</vt:lpwstr>
  </property>
</Properties>
</file>