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0A429" w14:textId="6CC69FF7" w:rsidR="005056E3" w:rsidRPr="00FD1F56" w:rsidRDefault="00B327E8" w:rsidP="00FD1F56">
      <w:pPr>
        <w:pStyle w:val="Standard"/>
        <w:tabs>
          <w:tab w:val="left" w:pos="9588"/>
        </w:tabs>
        <w:jc w:val="right"/>
        <w:rPr>
          <w:rFonts w:ascii="Arial" w:eastAsia="Times New Roman" w:hAnsi="Arial"/>
          <w:b/>
          <w:bCs/>
          <w:lang w:eastAsia="pl-PL" w:bidi="pl-PL"/>
        </w:rPr>
      </w:pPr>
      <w:r w:rsidRPr="00FD1F56">
        <w:rPr>
          <w:rFonts w:ascii="Arial" w:eastAsia="Liberation Serif" w:hAnsi="Arial"/>
          <w:b/>
          <w:bCs/>
          <w:lang w:eastAsia="pl-PL" w:bidi="pl-PL"/>
        </w:rPr>
        <w:t xml:space="preserve">                                                                                                            </w:t>
      </w:r>
      <w:r w:rsidRPr="00FD1F56">
        <w:rPr>
          <w:rFonts w:ascii="Arial" w:eastAsia="Times New Roman" w:hAnsi="Arial"/>
          <w:b/>
          <w:bCs/>
          <w:lang w:eastAsia="pl-PL" w:bidi="pl-PL"/>
        </w:rPr>
        <w:t xml:space="preserve">  </w:t>
      </w:r>
      <w:r w:rsidRPr="00FD1F56">
        <w:rPr>
          <w:rFonts w:ascii="Arial" w:eastAsia="Times New Roman" w:hAnsi="Arial"/>
          <w:lang w:eastAsia="pl-PL" w:bidi="pl-PL"/>
        </w:rPr>
        <w:t xml:space="preserve">                       </w:t>
      </w:r>
      <w:r w:rsidRPr="00FD1F56">
        <w:rPr>
          <w:rFonts w:ascii="Arial" w:eastAsia="Times New Roman" w:hAnsi="Arial"/>
          <w:b/>
          <w:bCs/>
          <w:lang w:eastAsia="pl-PL" w:bidi="pl-PL"/>
        </w:rPr>
        <w:t xml:space="preserve">                                                                              </w:t>
      </w:r>
      <w:r w:rsidR="005056E3" w:rsidRPr="00FD1F56">
        <w:rPr>
          <w:rFonts w:ascii="Arial" w:hAnsi="Arial"/>
          <w:bCs/>
        </w:rPr>
        <w:t xml:space="preserve">Nowa Sól, dnia </w:t>
      </w:r>
      <w:r w:rsidR="00FD1F56" w:rsidRPr="00FD1F56">
        <w:rPr>
          <w:rFonts w:ascii="Arial" w:hAnsi="Arial"/>
          <w:bCs/>
        </w:rPr>
        <w:t>6</w:t>
      </w:r>
      <w:r w:rsidR="005056E3" w:rsidRPr="00FD1F56">
        <w:rPr>
          <w:rFonts w:ascii="Arial" w:hAnsi="Arial"/>
          <w:bCs/>
        </w:rPr>
        <w:t xml:space="preserve"> sierpnia 2024 r.</w:t>
      </w:r>
    </w:p>
    <w:p w14:paraId="0B86ADB6" w14:textId="77777777" w:rsidR="005056E3" w:rsidRPr="00FD1F56" w:rsidRDefault="005056E3" w:rsidP="00FD1F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1F56">
        <w:rPr>
          <w:rFonts w:ascii="Arial" w:hAnsi="Arial" w:cs="Arial"/>
          <w:bCs/>
          <w:sz w:val="24"/>
          <w:szCs w:val="24"/>
        </w:rPr>
        <w:t>Nr postępowania:</w:t>
      </w:r>
      <w:r w:rsidRPr="00FD1F56">
        <w:rPr>
          <w:rFonts w:ascii="Arial" w:hAnsi="Arial" w:cs="Arial"/>
          <w:b/>
          <w:sz w:val="24"/>
          <w:szCs w:val="24"/>
        </w:rPr>
        <w:t xml:space="preserve"> IF.272.9.2024</w:t>
      </w:r>
    </w:p>
    <w:p w14:paraId="158C3F70" w14:textId="77777777" w:rsidR="00B327E8" w:rsidRPr="00FD1F56" w:rsidRDefault="00B327E8" w:rsidP="00FD1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0CEC69" w14:textId="77777777" w:rsidR="005056E3" w:rsidRPr="00FD1F56" w:rsidRDefault="005056E3" w:rsidP="00FD1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FB1E94" w14:textId="77777777" w:rsidR="00FD1F56" w:rsidRDefault="00FD1F56" w:rsidP="00FD1F56">
      <w:pPr>
        <w:spacing w:after="0" w:line="240" w:lineRule="auto"/>
        <w:ind w:left="4251"/>
        <w:contextualSpacing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</w:pPr>
      <w:r w:rsidRPr="00FD1F56"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  <w:t>Wykonawcy</w:t>
      </w:r>
      <w:r w:rsidRPr="00FD1F56"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  <w:tab/>
      </w:r>
      <w:r w:rsidRPr="00FD1F56"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  <w:tab/>
      </w:r>
      <w:r w:rsidRPr="00FD1F56"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  <w:tab/>
      </w:r>
      <w:r w:rsidRPr="00FD1F56"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  <w:tab/>
      </w:r>
    </w:p>
    <w:p w14:paraId="41709657" w14:textId="03E540FF" w:rsidR="00B327E8" w:rsidRPr="00FD1F56" w:rsidRDefault="00FD1F56" w:rsidP="00FD1F56">
      <w:pPr>
        <w:spacing w:after="0" w:line="240" w:lineRule="auto"/>
        <w:ind w:left="4251"/>
        <w:contextualSpacing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</w:pPr>
      <w:r w:rsidRPr="00FD1F56"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  <w:t>ubiegający się o udzielenie zamówienia</w:t>
      </w:r>
      <w:r w:rsidRPr="00FD1F5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2BFB27" w14:textId="77777777" w:rsidR="005056E3" w:rsidRPr="00FD1F56" w:rsidRDefault="005056E3" w:rsidP="00FD1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DC37C6" w14:textId="77777777" w:rsidR="005056E3" w:rsidRPr="00FD1F56" w:rsidRDefault="005056E3" w:rsidP="00FD1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84EADD" w14:textId="3DFE1A28" w:rsidR="00B327E8" w:rsidRPr="00FD1F56" w:rsidRDefault="00B327E8" w:rsidP="00FD1F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>Dotyczy: Zamówienie publiczne prowadzone w trybie w trybie art. 275 pkt 2 (w trybie podstawowym z możliwością prowadzenia negocjacji) na</w:t>
      </w:r>
      <w:r w:rsidRPr="00FD1F56">
        <w:rPr>
          <w:rFonts w:ascii="Arial" w:eastAsiaTheme="minorEastAsia" w:hAnsi="Arial" w:cs="Arial"/>
          <w:sz w:val="24"/>
          <w:szCs w:val="24"/>
          <w:lang w:eastAsia="pl-PL"/>
        </w:rPr>
        <w:t xml:space="preserve"> zadanie: </w:t>
      </w:r>
      <w:r w:rsidR="005056E3" w:rsidRPr="00FD1F56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Utworzenie Branżowego Centrum Umiejętności  w </w:t>
      </w:r>
      <w:proofErr w:type="spellStart"/>
      <w:r w:rsidR="005056E3" w:rsidRPr="00FD1F56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CKZiU</w:t>
      </w:r>
      <w:proofErr w:type="spellEnd"/>
      <w:r w:rsidR="005056E3" w:rsidRPr="00FD1F56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 „Elektryk” w Nowej Soli - wykonanie zadania </w:t>
      </w:r>
      <w:proofErr w:type="spellStart"/>
      <w:r w:rsidR="005056E3" w:rsidRPr="00FD1F56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pn</w:t>
      </w:r>
      <w:proofErr w:type="spellEnd"/>
      <w:r w:rsidR="005056E3" w:rsidRPr="00FD1F56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: Budowa stacji ładowania pojazdów elektrycznych oraz punktów ładowania małej </w:t>
      </w:r>
      <w:proofErr w:type="spellStart"/>
      <w:r w:rsidR="005056E3" w:rsidRPr="00FD1F56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elektromobilności</w:t>
      </w:r>
      <w:proofErr w:type="spellEnd"/>
      <w:r w:rsidR="005056E3" w:rsidRPr="00FD1F56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.</w:t>
      </w:r>
    </w:p>
    <w:p w14:paraId="0A3314BA" w14:textId="77777777" w:rsidR="00B327E8" w:rsidRPr="00FD1F56" w:rsidRDefault="00B327E8" w:rsidP="00FD1F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4AEE162" w14:textId="77777777" w:rsidR="00B327E8" w:rsidRPr="00FD1F56" w:rsidRDefault="00B327E8" w:rsidP="00FD1F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4B56CC6" w14:textId="77777777" w:rsidR="00FD1F56" w:rsidRPr="00FD1F56" w:rsidRDefault="00FD1F56" w:rsidP="00FD1F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1F56">
        <w:rPr>
          <w:rFonts w:ascii="Arial" w:eastAsia="Times New Roman" w:hAnsi="Arial" w:cs="Arial"/>
          <w:b/>
          <w:sz w:val="24"/>
          <w:szCs w:val="24"/>
          <w:lang w:eastAsia="pl-PL"/>
        </w:rPr>
        <w:t>ZAWIADOMIENIE O UNIEWAŻNIENIU POSTĘPOWANIA</w:t>
      </w:r>
    </w:p>
    <w:p w14:paraId="1F1ACF7C" w14:textId="76AE2C75" w:rsidR="00FD1F56" w:rsidRPr="00FD1F56" w:rsidRDefault="00FD1F56" w:rsidP="00FD1F5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D1F5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D1F5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Działając na podstawie art. 260 ust. 2 ustawy z 11 września 2019 r. - Prawo zamówień publicznych Zamawiający </w:t>
      </w:r>
      <w:r w:rsidRPr="00FD1F56">
        <w:rPr>
          <w:rFonts w:ascii="Arial" w:eastAsia="Times New Roman" w:hAnsi="Arial" w:cs="Arial"/>
          <w:sz w:val="24"/>
          <w:szCs w:val="24"/>
          <w:lang w:eastAsia="pl-PL"/>
        </w:rPr>
        <w:t>Powiat Nowosolski</w:t>
      </w:r>
      <w:r w:rsidRPr="00FD1F56">
        <w:rPr>
          <w:rFonts w:ascii="Arial" w:eastAsia="Times New Roman" w:hAnsi="Arial" w:cs="Arial"/>
          <w:sz w:val="24"/>
          <w:szCs w:val="24"/>
          <w:lang w:eastAsia="pl-PL"/>
        </w:rPr>
        <w:t xml:space="preserve">, informuje o unieważnieniu postępowania na </w:t>
      </w:r>
      <w:r w:rsidRPr="00FD1F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Utworzenie Branżowego Centrum Umiejętności  w </w:t>
      </w:r>
      <w:proofErr w:type="spellStart"/>
      <w:r w:rsidRPr="00FD1F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CKZiU</w:t>
      </w:r>
      <w:proofErr w:type="spellEnd"/>
      <w:r w:rsidRPr="00FD1F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„Elektryk” w Nowej Soli - wykonanie zadania </w:t>
      </w:r>
      <w:proofErr w:type="spellStart"/>
      <w:r w:rsidRPr="00FD1F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pn</w:t>
      </w:r>
      <w:proofErr w:type="spellEnd"/>
      <w:r w:rsidRPr="00FD1F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Budowa stacji ładowania pojazdów elektrycznych oraz punktów ładowania małej </w:t>
      </w:r>
      <w:proofErr w:type="spellStart"/>
      <w:r w:rsidRPr="00FD1F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elektromobilności</w:t>
      </w:r>
      <w:proofErr w:type="spellEnd"/>
      <w:r w:rsidRPr="00FD1F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62967C92" w14:textId="77777777" w:rsidR="00FD1F56" w:rsidRPr="00FD1F56" w:rsidRDefault="00FD1F56" w:rsidP="00FD1F5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B1CC8C" w14:textId="4400FE43" w:rsidR="00FD1F56" w:rsidRPr="00FD1F56" w:rsidRDefault="00FD1F56" w:rsidP="00FD1F5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Przed otwarciem ofert Zamawiający na stronie internetowej prowadzonego postępowania udostępnił informację o kwocie jaką zamierza przeznaczyć na realizację zamówienia: </w:t>
      </w: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>295.200,00 zł.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>Do upływu terminu wyznaczonego do składania ofert, wpłynęł</w:t>
      </w: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>dwie oferty:</w:t>
      </w:r>
    </w:p>
    <w:p w14:paraId="0D4490B5" w14:textId="77777777" w:rsidR="00FD1F56" w:rsidRPr="00FD1F56" w:rsidRDefault="00FD1F56" w:rsidP="00FD1F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D1F56">
        <w:rPr>
          <w:rFonts w:ascii="Arial" w:hAnsi="Arial" w:cs="Arial"/>
          <w:b/>
          <w:bCs/>
          <w:sz w:val="24"/>
          <w:szCs w:val="24"/>
        </w:rPr>
        <w:t>Oferta nr 1</w:t>
      </w:r>
    </w:p>
    <w:p w14:paraId="1A70282D" w14:textId="77777777" w:rsidR="00FD1F56" w:rsidRPr="00FD1F56" w:rsidRDefault="00FD1F56" w:rsidP="00FD1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D1F56">
        <w:rPr>
          <w:rFonts w:ascii="Arial" w:hAnsi="Arial" w:cs="Arial"/>
          <w:sz w:val="24"/>
          <w:szCs w:val="24"/>
        </w:rPr>
        <w:t>Tronus</w:t>
      </w:r>
      <w:proofErr w:type="spellEnd"/>
      <w:r w:rsidRPr="00FD1F56">
        <w:rPr>
          <w:rFonts w:ascii="Arial" w:hAnsi="Arial" w:cs="Arial"/>
          <w:sz w:val="24"/>
          <w:szCs w:val="24"/>
        </w:rPr>
        <w:t xml:space="preserve"> Polska Sp. z o.o.</w:t>
      </w:r>
    </w:p>
    <w:p w14:paraId="5BC21792" w14:textId="77777777" w:rsidR="00FD1F56" w:rsidRPr="00FD1F56" w:rsidRDefault="00FD1F56" w:rsidP="00FD1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1F56">
        <w:rPr>
          <w:rFonts w:ascii="Arial" w:hAnsi="Arial" w:cs="Arial"/>
          <w:sz w:val="24"/>
          <w:szCs w:val="24"/>
        </w:rPr>
        <w:t>ul. Ordona 2a, 01-237 Warszawa, mazowieckie</w:t>
      </w:r>
    </w:p>
    <w:p w14:paraId="400F11FB" w14:textId="77777777" w:rsidR="00FD1F56" w:rsidRPr="00FD1F56" w:rsidRDefault="00FD1F56" w:rsidP="00FD1F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F56">
        <w:rPr>
          <w:rFonts w:ascii="Arial" w:hAnsi="Arial" w:cs="Arial"/>
          <w:sz w:val="24"/>
          <w:szCs w:val="24"/>
        </w:rPr>
        <w:t xml:space="preserve">NIP: 5272680141 </w:t>
      </w:r>
    </w:p>
    <w:p w14:paraId="1D31B123" w14:textId="77777777" w:rsidR="00FD1F56" w:rsidRPr="00FD1F56" w:rsidRDefault="00FD1F56" w:rsidP="00FD1F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F56">
        <w:rPr>
          <w:rFonts w:ascii="Arial" w:hAnsi="Arial" w:cs="Arial"/>
          <w:b/>
          <w:bCs/>
          <w:sz w:val="24"/>
          <w:szCs w:val="24"/>
        </w:rPr>
        <w:t>Cena:</w:t>
      </w:r>
      <w:r w:rsidRPr="00FD1F56">
        <w:rPr>
          <w:rFonts w:ascii="Arial" w:hAnsi="Arial" w:cs="Arial"/>
          <w:sz w:val="24"/>
          <w:szCs w:val="24"/>
        </w:rPr>
        <w:t xml:space="preserve"> 498 169,68 zł</w:t>
      </w:r>
    </w:p>
    <w:p w14:paraId="48832673" w14:textId="75271D4A" w:rsidR="00FD1F56" w:rsidRPr="00FD1F56" w:rsidRDefault="00FD1F56" w:rsidP="00FD1F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F56">
        <w:rPr>
          <w:rFonts w:ascii="Arial" w:hAnsi="Arial" w:cs="Arial"/>
          <w:b/>
          <w:bCs/>
          <w:sz w:val="24"/>
          <w:szCs w:val="24"/>
        </w:rPr>
        <w:t>Okres gwarancji jakości:</w:t>
      </w:r>
      <w:r w:rsidRPr="00FD1F56">
        <w:rPr>
          <w:rFonts w:ascii="Arial" w:hAnsi="Arial" w:cs="Arial"/>
          <w:sz w:val="24"/>
          <w:szCs w:val="24"/>
        </w:rPr>
        <w:t xml:space="preserve"> 36 miesięcy</w:t>
      </w:r>
    </w:p>
    <w:p w14:paraId="6A66F333" w14:textId="77777777" w:rsidR="00FD1F56" w:rsidRPr="00FD1F56" w:rsidRDefault="00FD1F56" w:rsidP="00FD1F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D1F56">
        <w:rPr>
          <w:rFonts w:ascii="Arial" w:hAnsi="Arial" w:cs="Arial"/>
          <w:b/>
          <w:bCs/>
          <w:sz w:val="24"/>
          <w:szCs w:val="24"/>
        </w:rPr>
        <w:t>Oferta nr 2</w:t>
      </w:r>
    </w:p>
    <w:p w14:paraId="0A8CDB2D" w14:textId="77777777" w:rsidR="00FD1F56" w:rsidRPr="00FD1F56" w:rsidRDefault="00FD1F56" w:rsidP="00FD1F56">
      <w:pPr>
        <w:pStyle w:val="Default"/>
        <w:rPr>
          <w:rFonts w:ascii="Arial" w:hAnsi="Arial" w:cs="Arial"/>
        </w:rPr>
      </w:pPr>
      <w:r w:rsidRPr="00FD1F56">
        <w:rPr>
          <w:rFonts w:ascii="Arial" w:hAnsi="Arial" w:cs="Arial"/>
        </w:rPr>
        <w:t xml:space="preserve">ZPUE Spółka Akcyjna  </w:t>
      </w:r>
    </w:p>
    <w:p w14:paraId="58C0F32F" w14:textId="77777777" w:rsidR="00FD1F56" w:rsidRPr="00FD1F56" w:rsidRDefault="00FD1F56" w:rsidP="00FD1F56">
      <w:pPr>
        <w:pStyle w:val="Default"/>
        <w:rPr>
          <w:rFonts w:ascii="Arial" w:hAnsi="Arial" w:cs="Arial"/>
        </w:rPr>
      </w:pPr>
      <w:r w:rsidRPr="00FD1F56">
        <w:rPr>
          <w:rFonts w:ascii="Arial" w:hAnsi="Arial" w:cs="Arial"/>
        </w:rPr>
        <w:t xml:space="preserve">ul. Jędrzejowska 79c, 29-100 Włoszczowa, świętokrzyskie, </w:t>
      </w:r>
    </w:p>
    <w:p w14:paraId="7D3E47DC" w14:textId="77777777" w:rsidR="00FD1F56" w:rsidRPr="00FD1F56" w:rsidRDefault="00FD1F56" w:rsidP="00FD1F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F56">
        <w:rPr>
          <w:rFonts w:ascii="Arial" w:hAnsi="Arial" w:cs="Arial"/>
          <w:sz w:val="24"/>
          <w:szCs w:val="24"/>
        </w:rPr>
        <w:t>NIP: 656-14-94-014</w:t>
      </w:r>
    </w:p>
    <w:p w14:paraId="5957B171" w14:textId="77777777" w:rsidR="00FD1F56" w:rsidRPr="00FD1F56" w:rsidRDefault="00FD1F56" w:rsidP="00FD1F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F56">
        <w:rPr>
          <w:rFonts w:ascii="Arial" w:hAnsi="Arial" w:cs="Arial"/>
          <w:b/>
          <w:bCs/>
          <w:sz w:val="24"/>
          <w:szCs w:val="24"/>
        </w:rPr>
        <w:t>Cena:</w:t>
      </w:r>
      <w:r w:rsidRPr="00FD1F56">
        <w:rPr>
          <w:rFonts w:ascii="Arial" w:hAnsi="Arial" w:cs="Arial"/>
          <w:sz w:val="24"/>
          <w:szCs w:val="24"/>
        </w:rPr>
        <w:t xml:space="preserve"> 430 500,00 zł</w:t>
      </w:r>
    </w:p>
    <w:p w14:paraId="6F833D0D" w14:textId="789B8EA0" w:rsidR="00FD1F56" w:rsidRPr="00FD1F56" w:rsidRDefault="00FD1F56" w:rsidP="00FD1F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F56">
        <w:rPr>
          <w:rFonts w:ascii="Arial" w:hAnsi="Arial" w:cs="Arial"/>
          <w:b/>
          <w:bCs/>
          <w:sz w:val="24"/>
          <w:szCs w:val="24"/>
        </w:rPr>
        <w:t>Okres gwarancji jakości:</w:t>
      </w:r>
      <w:r w:rsidRPr="00FD1F56">
        <w:rPr>
          <w:rFonts w:ascii="Arial" w:hAnsi="Arial" w:cs="Arial"/>
          <w:sz w:val="24"/>
          <w:szCs w:val="24"/>
        </w:rPr>
        <w:t xml:space="preserve"> 36 miesięcy</w:t>
      </w:r>
    </w:p>
    <w:p w14:paraId="5BB66023" w14:textId="081B0A01" w:rsidR="00FD1F56" w:rsidRPr="00FD1F56" w:rsidRDefault="00FD1F56" w:rsidP="00FD1F5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>Ofert</w:t>
      </w: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y </w:t>
      </w: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>przekracza</w:t>
      </w: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>ją</w:t>
      </w: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kwotę jaką Zamawiający dysponuje na realizację zamówienia. </w:t>
      </w:r>
      <w:r w:rsidRPr="00FD1F56">
        <w:rPr>
          <w:rFonts w:ascii="Arial" w:hAnsi="Arial" w:cs="Arial"/>
          <w:bCs/>
          <w:sz w:val="24"/>
          <w:szCs w:val="24"/>
        </w:rPr>
        <w:t xml:space="preserve">Zamawiający nie może </w:t>
      </w: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>zwiększyć tej  kwoty do ceny najkorzystniejszej oferty.</w:t>
      </w:r>
    </w:p>
    <w:p w14:paraId="7E92F913" w14:textId="77777777" w:rsidR="00FD1F56" w:rsidRPr="00FD1F56" w:rsidRDefault="00FD1F56" w:rsidP="00FD1F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76A505A" w14:textId="77777777" w:rsidR="00FD1F56" w:rsidRPr="00FD1F56" w:rsidRDefault="00FD1F56" w:rsidP="00FD1F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1F56">
        <w:rPr>
          <w:rFonts w:ascii="Arial" w:eastAsia="Times New Roman" w:hAnsi="Arial" w:cs="Arial"/>
          <w:b/>
          <w:sz w:val="24"/>
          <w:szCs w:val="24"/>
          <w:lang w:eastAsia="pl-PL"/>
        </w:rPr>
        <w:t>Uzasadnienie prawne:</w:t>
      </w:r>
    </w:p>
    <w:p w14:paraId="74996FAC" w14:textId="0C090EF5" w:rsidR="00FD1F56" w:rsidRPr="00FD1F56" w:rsidRDefault="00FD1F56" w:rsidP="00FD1F5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>Zgodnie z art.  255 pkt 3 Ustawy Prawo zamówień publicznych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 Ofert</w:t>
      </w: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Wykonawc</w:t>
      </w: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>ów</w:t>
      </w: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przekracza</w:t>
      </w: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>ją</w:t>
      </w: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kwotę jaką Zamawiający zamierza przeznaczyć na </w:t>
      </w: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sfinansowanie zamówienia i </w:t>
      </w: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Zamawiający nie </w:t>
      </w: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może zwiększyć </w:t>
      </w: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>tej</w:t>
      </w: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kwot</w:t>
      </w: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Pr="00FD1F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ceny najkorzystniejszej oferty. </w:t>
      </w:r>
      <w:r w:rsidRPr="00FD1F56">
        <w:rPr>
          <w:rFonts w:ascii="Arial" w:eastAsia="Times New Roman" w:hAnsi="Arial" w:cs="Arial"/>
          <w:sz w:val="24"/>
          <w:szCs w:val="24"/>
          <w:lang w:eastAsia="pl-PL"/>
        </w:rPr>
        <w:t>Mając na względzie powyższe okoliczności, unieważnienie postępowania jest uzasadnione i konieczne.</w:t>
      </w:r>
    </w:p>
    <w:p w14:paraId="3D5E17AA" w14:textId="77777777" w:rsidR="00FD1F56" w:rsidRPr="00FD1F56" w:rsidRDefault="00FD1F56" w:rsidP="00FD1F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EAA1A" w14:textId="77777777" w:rsidR="00FD1F56" w:rsidRPr="00FD1F56" w:rsidRDefault="00FD1F56" w:rsidP="00FD1F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1F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Środki ochrony prawnej</w:t>
      </w:r>
    </w:p>
    <w:p w14:paraId="76907D03" w14:textId="77777777" w:rsidR="00FD1F56" w:rsidRPr="00FD1F56" w:rsidRDefault="00FD1F56" w:rsidP="00FD1F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1F56">
        <w:rPr>
          <w:rFonts w:ascii="Arial" w:eastAsia="Times New Roman" w:hAnsi="Arial" w:cs="Arial"/>
          <w:sz w:val="24"/>
          <w:szCs w:val="24"/>
          <w:lang w:eastAsia="pl-PL"/>
        </w:rPr>
        <w:t>Informacje dotyczące środków ochrony prawnej znajdują się  w</w:t>
      </w:r>
      <w:r w:rsidRPr="00FD1F56">
        <w:rPr>
          <w:rFonts w:ascii="Arial" w:hAnsi="Arial" w:cs="Arial"/>
          <w:sz w:val="24"/>
          <w:szCs w:val="24"/>
        </w:rPr>
        <w:t xml:space="preserve"> </w:t>
      </w:r>
      <w:r w:rsidRPr="00FD1F56">
        <w:rPr>
          <w:rFonts w:ascii="Arial" w:eastAsia="Times New Roman" w:hAnsi="Arial" w:cs="Arial"/>
          <w:sz w:val="24"/>
          <w:szCs w:val="24"/>
          <w:lang w:eastAsia="pl-PL"/>
        </w:rPr>
        <w:t>Rozdziale SWZ „Pouczenie o środkach ochrony prawnej przysługujących wykonawcy” oraz w Dziale IX ustawy Prawo zamówień publicznych „Środki ochrony prawnej".</w:t>
      </w:r>
    </w:p>
    <w:p w14:paraId="0F97C204" w14:textId="77777777" w:rsidR="00B327E8" w:rsidRPr="00FD1F56" w:rsidRDefault="00B327E8" w:rsidP="00FD1F5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FAD251" w14:textId="77777777" w:rsidR="00B327E8" w:rsidRPr="00FD1F56" w:rsidRDefault="00B327E8" w:rsidP="00FD1F5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635679" w14:textId="77777777" w:rsidR="00B327E8" w:rsidRPr="00FD1F56" w:rsidRDefault="00B327E8" w:rsidP="00FD1F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24A56E" w14:textId="77777777" w:rsidR="006962EC" w:rsidRPr="005056E3" w:rsidRDefault="006962EC" w:rsidP="005056E3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6962EC" w:rsidRPr="005056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92ADE" w14:textId="77777777" w:rsidR="009A353C" w:rsidRDefault="009A353C" w:rsidP="005056E3">
      <w:pPr>
        <w:spacing w:after="0" w:line="240" w:lineRule="auto"/>
      </w:pPr>
      <w:r>
        <w:separator/>
      </w:r>
    </w:p>
  </w:endnote>
  <w:endnote w:type="continuationSeparator" w:id="0">
    <w:p w14:paraId="0B534F15" w14:textId="77777777" w:rsidR="009A353C" w:rsidRDefault="009A353C" w:rsidP="0050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BF2DC" w14:textId="77777777" w:rsidR="009A353C" w:rsidRDefault="009A353C" w:rsidP="005056E3">
      <w:pPr>
        <w:spacing w:after="0" w:line="240" w:lineRule="auto"/>
      </w:pPr>
      <w:r>
        <w:separator/>
      </w:r>
    </w:p>
  </w:footnote>
  <w:footnote w:type="continuationSeparator" w:id="0">
    <w:p w14:paraId="5DFFAECB" w14:textId="77777777" w:rsidR="009A353C" w:rsidRDefault="009A353C" w:rsidP="00505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6E4F8" w14:textId="0435516D" w:rsidR="005056E3" w:rsidRDefault="005056E3" w:rsidP="005056E3">
    <w:pPr>
      <w:pStyle w:val="Nagwek"/>
      <w:jc w:val="center"/>
    </w:pPr>
    <w:r>
      <w:rPr>
        <w:noProof/>
      </w:rPr>
      <w:drawing>
        <wp:inline distT="0" distB="0" distL="0" distR="0" wp14:anchorId="0C817E9E" wp14:editId="5EE339D4">
          <wp:extent cx="4222750" cy="523875"/>
          <wp:effectExtent l="0" t="0" r="0" b="0"/>
          <wp:docPr id="3108078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80780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3"/>
    <w:multiLevelType w:val="singleLevel"/>
    <w:tmpl w:val="1C30BDE6"/>
    <w:name w:val="WW8Num82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cs="Arial"/>
        <w:sz w:val="18"/>
      </w:rPr>
    </w:lvl>
  </w:abstractNum>
  <w:abstractNum w:abstractNumId="1" w15:restartNumberingAfterBreak="0">
    <w:nsid w:val="61217915"/>
    <w:multiLevelType w:val="hybridMultilevel"/>
    <w:tmpl w:val="58B45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928ED36">
      <w:start w:val="1"/>
      <w:numFmt w:val="decimal"/>
      <w:lvlText w:val="%4)"/>
      <w:lvlJc w:val="left"/>
      <w:pPr>
        <w:ind w:left="1778" w:hanging="360"/>
      </w:pPr>
      <w:rPr>
        <w:rFonts w:ascii="Cambria" w:eastAsia="Calibri" w:hAnsi="Cambria" w:cs="Arial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662EF"/>
    <w:multiLevelType w:val="multilevel"/>
    <w:tmpl w:val="1F18476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 w16cid:durableId="2139712952">
    <w:abstractNumId w:val="0"/>
  </w:num>
  <w:num w:numId="2" w16cid:durableId="1626081761">
    <w:abstractNumId w:val="2"/>
  </w:num>
  <w:num w:numId="3" w16cid:durableId="98474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E8"/>
    <w:rsid w:val="005056E3"/>
    <w:rsid w:val="00544101"/>
    <w:rsid w:val="00574DFB"/>
    <w:rsid w:val="006962EC"/>
    <w:rsid w:val="00774EDF"/>
    <w:rsid w:val="009658B7"/>
    <w:rsid w:val="009A353C"/>
    <w:rsid w:val="00B327E8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42C7"/>
  <w15:chartTrackingRefBased/>
  <w15:docId w15:val="{5227C63E-8A62-44BA-B7FE-DFB29129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7E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27E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5056E3"/>
    <w:rPr>
      <w:rFonts w:ascii="Calibri" w:hAnsi="Calibri"/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50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6E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0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6E3"/>
    <w:rPr>
      <w:kern w:val="0"/>
      <w14:ligatures w14:val="none"/>
    </w:rPr>
  </w:style>
  <w:style w:type="paragraph" w:customStyle="1" w:styleId="Default">
    <w:name w:val="Default"/>
    <w:rsid w:val="00FD1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391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4</cp:revision>
  <dcterms:created xsi:type="dcterms:W3CDTF">2024-01-30T21:24:00Z</dcterms:created>
  <dcterms:modified xsi:type="dcterms:W3CDTF">2024-08-06T08:45:00Z</dcterms:modified>
</cp:coreProperties>
</file>