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24E0" w14:textId="23389416" w:rsidR="009C2F28" w:rsidRPr="00570AB4" w:rsidRDefault="0059760B" w:rsidP="009C2F28">
      <w:pPr>
        <w:autoSpaceDE w:val="0"/>
        <w:jc w:val="center"/>
        <w:rPr>
          <w:rFonts w:eastAsia="TimesNewRomanPSMT-Identity-H"/>
          <w:color w:val="000000"/>
        </w:rPr>
      </w:pPr>
      <w:r>
        <w:rPr>
          <w:rFonts w:eastAsia="TimesNewRomanPSMT-Identity-H"/>
          <w:color w:val="000000"/>
        </w:rPr>
        <w:t xml:space="preserve">  </w:t>
      </w:r>
      <w:r w:rsidR="009C2F28" w:rsidRPr="00570AB4">
        <w:rPr>
          <w:rFonts w:eastAsia="TimesNewRomanPSMT-Identity-H"/>
          <w:color w:val="000000"/>
        </w:rPr>
        <w:t>„INSTRUKCJA NA ODTWORZENIE NAWIERZCHNI W OBRĘBIE</w:t>
      </w:r>
      <w:r w:rsidR="009C2F28">
        <w:rPr>
          <w:rFonts w:eastAsia="TimesNewRomanPSMT-Identity-H"/>
          <w:color w:val="000000"/>
        </w:rPr>
        <w:t xml:space="preserve"> </w:t>
      </w:r>
      <w:r w:rsidR="009C2F28" w:rsidRPr="00570AB4">
        <w:rPr>
          <w:rFonts w:eastAsia="TimesNewRomanPSMT-Identity-H"/>
          <w:color w:val="000000"/>
        </w:rPr>
        <w:t>PASA DROGOWEGO NARUSZONYCH W WYNIKU ROBÓT</w:t>
      </w:r>
      <w:r w:rsidR="009C2F28">
        <w:rPr>
          <w:rFonts w:eastAsia="TimesNewRomanPSMT-Identity-H"/>
          <w:color w:val="000000"/>
        </w:rPr>
        <w:t xml:space="preserve"> </w:t>
      </w:r>
      <w:r w:rsidR="009C2F28" w:rsidRPr="00570AB4">
        <w:rPr>
          <w:rFonts w:eastAsia="TimesNewRomanPSMT-Identity-H"/>
          <w:color w:val="000000"/>
        </w:rPr>
        <w:t xml:space="preserve">KANALIZACYJ NYCH, WODOCIĄGOWYCH, </w:t>
      </w:r>
    </w:p>
    <w:p w14:paraId="67FD9338" w14:textId="77777777" w:rsidR="009C2F28" w:rsidRPr="00570AB4" w:rsidRDefault="009C2F28" w:rsidP="009C2F28">
      <w:pPr>
        <w:autoSpaceDE w:val="0"/>
        <w:jc w:val="center"/>
        <w:rPr>
          <w:rFonts w:eastAsia="TimesNewRomanPSMT-Identity-H"/>
          <w:color w:val="000000"/>
        </w:rPr>
      </w:pPr>
      <w:r w:rsidRPr="00570AB4">
        <w:rPr>
          <w:rFonts w:eastAsia="TimesNewRomanPSMT-Identity-H"/>
          <w:color w:val="000000"/>
        </w:rPr>
        <w:t>GAZOCIĄGOWYCH, ELEKTRYCZNYCH,</w:t>
      </w:r>
      <w:r>
        <w:rPr>
          <w:rFonts w:eastAsia="TimesNewRomanPSMT-Identity-H"/>
          <w:color w:val="000000"/>
        </w:rPr>
        <w:t xml:space="preserve"> </w:t>
      </w:r>
      <w:r w:rsidRPr="00570AB4">
        <w:rPr>
          <w:rFonts w:eastAsia="TimesNewRomanPSMT-Identity-H"/>
          <w:color w:val="000000"/>
        </w:rPr>
        <w:t xml:space="preserve">TELEKOMUNIKACYJ NYCH itp.” </w:t>
      </w:r>
    </w:p>
    <w:p w14:paraId="0605B020" w14:textId="77777777" w:rsidR="009C2F28" w:rsidRPr="00570AB4" w:rsidRDefault="009C2F28" w:rsidP="009C2F28">
      <w:pPr>
        <w:autoSpaceDE w:val="0"/>
        <w:rPr>
          <w:rFonts w:eastAsia="TimesNewRomanPSMT-Identity-H"/>
          <w:color w:val="9ACD00"/>
          <w:sz w:val="22"/>
          <w:szCs w:val="22"/>
        </w:rPr>
      </w:pPr>
    </w:p>
    <w:p w14:paraId="23427ADE" w14:textId="11EFB35E" w:rsidR="009C2F28" w:rsidRPr="00570AB4" w:rsidRDefault="009C2F28" w:rsidP="009C2F28">
      <w:pPr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  <w:r w:rsidRPr="00570AB4">
        <w:rPr>
          <w:rFonts w:eastAsia="MonotypeCorsiva-Identity-H"/>
          <w:i/>
          <w:iCs/>
          <w:color w:val="000000"/>
          <w:sz w:val="22"/>
          <w:szCs w:val="22"/>
        </w:rPr>
        <w:t xml:space="preserve">Instrukcja została opracowana w oparciu o obowiązujące prawo i przepisy z niego wynikające,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br/>
        <w:t>a przede wszystkim „Prawo budowlane” – Ustawa z dnia 7 lipca 1994 roku (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t.j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Dz.U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 z 2019 r.,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t xml:space="preserve"> 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>poz.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t xml:space="preserve"> 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1186 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br/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z 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późn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>.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t xml:space="preserve"> 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>zm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.) oraz Ustawa z dnia 21 marca 1985 r. o drogach publicznych (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t.j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Dz.U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 z 20</w:t>
      </w:r>
      <w:r w:rsidR="0044157F">
        <w:rPr>
          <w:rFonts w:eastAsia="MonotypeCorsiva-Identity-H"/>
          <w:i/>
          <w:iCs/>
          <w:color w:val="000000"/>
          <w:sz w:val="22"/>
          <w:szCs w:val="22"/>
        </w:rPr>
        <w:t>20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 r., poz. </w:t>
      </w:r>
      <w:r w:rsidR="0044157F">
        <w:rPr>
          <w:rFonts w:eastAsia="MonotypeCorsiva-Identity-H"/>
          <w:i/>
          <w:iCs/>
          <w:color w:val="000000"/>
          <w:sz w:val="22"/>
          <w:szCs w:val="22"/>
        </w:rPr>
        <w:t>470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 z 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późn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>. zm.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 xml:space="preserve">), 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br/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a także Rozporządzenie Ministra Transportu i Gospodarki Morskiej z dnia 2 marca 1999 roku w sprawie warunków technicznych, jakim powinny odpowiadać drogi publiczne i ich usytuowanie (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t.j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Dz.U.</w:t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 z 2016 r., poz. 124 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br/>
      </w:r>
      <w:r w:rsidR="008E486F">
        <w:rPr>
          <w:rFonts w:eastAsia="MonotypeCorsiva-Identity-H"/>
          <w:i/>
          <w:iCs/>
          <w:color w:val="000000"/>
          <w:sz w:val="22"/>
          <w:szCs w:val="22"/>
        </w:rPr>
        <w:t xml:space="preserve">z </w:t>
      </w:r>
      <w:proofErr w:type="spellStart"/>
      <w:r w:rsidR="008E486F">
        <w:rPr>
          <w:rFonts w:eastAsia="MonotypeCorsiva-Identity-H"/>
          <w:i/>
          <w:iCs/>
          <w:color w:val="000000"/>
          <w:sz w:val="22"/>
          <w:szCs w:val="22"/>
        </w:rPr>
        <w:t>późn</w:t>
      </w:r>
      <w:proofErr w:type="spellEnd"/>
      <w:r w:rsidR="008E486F">
        <w:rPr>
          <w:rFonts w:eastAsia="MonotypeCorsiva-Identity-H"/>
          <w:i/>
          <w:iCs/>
          <w:color w:val="000000"/>
          <w:sz w:val="22"/>
          <w:szCs w:val="22"/>
        </w:rPr>
        <w:t>. zm.</w:t>
      </w:r>
      <w:r w:rsidR="0029014C">
        <w:rPr>
          <w:rFonts w:eastAsia="MonotypeCorsiva-Identity-H"/>
          <w:i/>
          <w:iCs/>
          <w:color w:val="000000"/>
          <w:sz w:val="22"/>
          <w:szCs w:val="22"/>
        </w:rPr>
        <w:t>)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, jak również Specyfikacje Techniczne Wykonania i Odbioru Robót Budowlanych.</w:t>
      </w:r>
    </w:p>
    <w:p w14:paraId="487055D0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1898EB20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Celem instrukcji jest ujednolicenie sposobu przywrócenia nawierzchni w obrębie pasa drogowego tak, aby nie dopuścić do przedwczesnego zniszczenia nawierzchni, obniżenia klasy drogi, zaniżenia kategorii ruchu, ograniczenia jej funkcji, niewłaściwego jej użytkowania oraz pogorszenia warunków bezpieczeństwa ruchu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i stanowi kompendium wymagań, które stawia Zarządzający pasem drogowym na jego odtworzenie na podstawie obowiązujących przepisów.</w:t>
      </w:r>
    </w:p>
    <w:p w14:paraId="3D80E6F1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15288DDC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 p i s  t r e ś c i:</w:t>
      </w:r>
    </w:p>
    <w:p w14:paraId="4FD6F063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</w:p>
    <w:p w14:paraId="03D0DA0A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A. ODTWORZENIE PODŁOŻA GRUNTOWEGO.</w:t>
      </w:r>
    </w:p>
    <w:p w14:paraId="7E495D76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B. ODTWORZENIE WARSTW KONSTRUKCYJNYCH JEZDNI:</w:t>
      </w:r>
    </w:p>
    <w:p w14:paraId="5F938209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1. Odtworzenie warstw podbudowy.</w:t>
      </w:r>
    </w:p>
    <w:p w14:paraId="38F06B03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2. Odtworzenie warstw jezdnych nawierzchni bitumicznej.</w:t>
      </w:r>
    </w:p>
    <w:p w14:paraId="7A462076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3. Odtworzenie warstw jezdnych nawierzchni z kostki kamiennej.</w:t>
      </w:r>
    </w:p>
    <w:p w14:paraId="6F584EEB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4. Odtworzenie warstw jezdnych z kostki betonowej.</w:t>
      </w:r>
    </w:p>
    <w:p w14:paraId="29D8778C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C. ODTWORZENIE WARSTW KONSTRUKCYJNYCH CHODNIKA:</w:t>
      </w:r>
    </w:p>
    <w:p w14:paraId="706EF82B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1. Odtworzenie warstw podbudowy.</w:t>
      </w:r>
    </w:p>
    <w:p w14:paraId="6C33804E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2. Odtworzenie nawierzchni z płytek i kostek betonowych.</w:t>
      </w:r>
    </w:p>
    <w:p w14:paraId="0ECE25C0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3. Odtworzenie nawierzchni z kostki kamiennej.</w:t>
      </w:r>
    </w:p>
    <w:p w14:paraId="158B0281" w14:textId="77777777" w:rsidR="009C2F28" w:rsidRPr="00570AB4" w:rsidRDefault="009C2F28" w:rsidP="009C2F28">
      <w:pPr>
        <w:autoSpaceDE w:val="0"/>
        <w:ind w:firstLine="709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4. Odtworzenie nawierzchni bitumicznych (asfaltobetonowych, z asfaltu lanego).</w:t>
      </w:r>
    </w:p>
    <w:p w14:paraId="10EBDAD8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D. ODTWORZENIE POBOCZY, ZIELEŃCÓW.</w:t>
      </w:r>
    </w:p>
    <w:p w14:paraId="43374AFD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E. ODTWORZENIE OBRAMOWAŃ NAWIERZCHNI.</w:t>
      </w:r>
    </w:p>
    <w:p w14:paraId="3B44A06E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</w:p>
    <w:p w14:paraId="52CB719A" w14:textId="77777777" w:rsidR="009C2F28" w:rsidRPr="00570AB4" w:rsidRDefault="009C2F28" w:rsidP="009C2F28">
      <w:pPr>
        <w:autoSpaceDE w:val="0"/>
        <w:rPr>
          <w:rFonts w:eastAsia="TimesNewRomanPSMT-Identity-H"/>
          <w:color w:val="000000"/>
          <w:sz w:val="22"/>
          <w:szCs w:val="22"/>
        </w:rPr>
      </w:pPr>
    </w:p>
    <w:p w14:paraId="61D21263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t>A. ODTWORZENIE PODŁOŻA GRUNTOWEGO.</w:t>
      </w:r>
    </w:p>
    <w:p w14:paraId="531839F4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6374253F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1. W każdym przypadku  należy dokonać pełnej wymiany gruntu na materiał charakteryzujący się modułami odkształcenia.</w:t>
      </w:r>
    </w:p>
    <w:p w14:paraId="79C5D965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631ED08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2. Bezwzględnie należy dokonać odtworzenia warstwy odsączającej lub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mrozoochronnej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zniszczonej w wyniku dokonanego wykopu. Grubość odtwarzanej warstwy </w:t>
      </w:r>
      <w:r w:rsidRPr="00570AB4">
        <w:rPr>
          <w:rFonts w:eastAsia="TimesNewRomanPSMT-Identity-H"/>
          <w:sz w:val="22"/>
          <w:szCs w:val="22"/>
        </w:rPr>
        <w:t xml:space="preserve">musi być taka sama </w:t>
      </w:r>
      <w:r w:rsidRPr="00570AB4">
        <w:rPr>
          <w:rFonts w:eastAsia="TimesNewRomanPSMT-Identity-H"/>
          <w:color w:val="000000"/>
          <w:sz w:val="22"/>
          <w:szCs w:val="22"/>
        </w:rPr>
        <w:t>jak w-wy istniejącej.</w:t>
      </w:r>
    </w:p>
    <w:p w14:paraId="345F10C4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E130645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t>B. ODTWORZENIE WARSTW KONSTRUKCYJNYCH JEZDNI.</w:t>
      </w:r>
    </w:p>
    <w:p w14:paraId="7AE46173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267B778F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1. Odtworzenie warstw podbudowy.</w:t>
      </w:r>
    </w:p>
    <w:p w14:paraId="69A6694F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022FD07" w14:textId="77777777" w:rsidR="009C2F28" w:rsidRPr="00570AB4" w:rsidRDefault="009C2F28" w:rsidP="009C2F28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Do wykonania warstw podbudowy, zwłaszcza w warstwie dolnej, może być wykorzystany materiał podbudowy pierwotnej, jeżeli był składowany oddzielnie i nie został zanieczyszczony gruntem podłoża oraz innymi materiałami obcymi.</w:t>
      </w:r>
    </w:p>
    <w:p w14:paraId="4951BCA6" w14:textId="77777777" w:rsidR="009C2F28" w:rsidRPr="00570AB4" w:rsidRDefault="009C2F28" w:rsidP="009C2F28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Należy bezwzględnie przestrzegać odbudowy warstw o takiej grubości i z takich materiałów, jakie posiada istniejąca konstrukcja nawierzchni jezdni. Jeżeli nie jest możliwe zastosowanie takich samych materiałów, to należy zastosować materiały podobne o wymaganych parametrach technicznych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 xml:space="preserve">i eksploatacyjnych określonych szczególnie w PNS06102: 1997.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 xml:space="preserve">„Podbudowy z kruszyw stabilizowanych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lastRenderedPageBreak/>
        <w:t>mechanicznie, w dostosowaniu do występującego obciążenia”.</w:t>
      </w:r>
    </w:p>
    <w:p w14:paraId="5FBF149A" w14:textId="77777777" w:rsidR="009C2F28" w:rsidRPr="00570AB4" w:rsidRDefault="009C2F28" w:rsidP="009C2F28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Odtworzenie zarówno podbudowy, jak i warstw jezdnych, można wykonać z materiałów i o grubościach warstw podanych w załączniku nr 5 Rozporządzenia Ministra Transportu i Gospodarki Morskiej z dnia 2 marca 1999 roku (Dz.U.99.43.430) z tym, że jeżeli odtworzenie warstw następuje na obiekcie drogowym po którym poruszają się pojazdy o dopuszczalnym nacisku osi &gt; 80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kN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należy przyjmować je dla kategorii ruchu nie mniejszej niż KR3. Należy jednakże pamiętać o całkowitej grubości nawierzchni, która winna spełniać warunek mrozoodporności!</w:t>
      </w:r>
    </w:p>
    <w:p w14:paraId="40865227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7C0A85D2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2. Odtworzenie warstw jezdnych nawierzchni bitumicznej.</w:t>
      </w:r>
    </w:p>
    <w:p w14:paraId="3ABCB975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75239431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Krawędź przyległej nawierzchni musi być równo obcięta tak, aby powstała po przycięciu figura miała kształt zbliżony do prostokąta lub kwadratu. </w:t>
      </w:r>
      <w:r w:rsidRPr="00570AB4">
        <w:rPr>
          <w:rFonts w:eastAsia="TimesNewRomanPSMT-Identity-H"/>
          <w:sz w:val="22"/>
          <w:szCs w:val="22"/>
        </w:rPr>
        <w:t>Niedopuszczalne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 xml:space="preserve">jest tworzenie figur o kątach ostrych </w:t>
      </w:r>
      <w:r w:rsidR="004E7446"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i rozwartych.</w:t>
      </w:r>
    </w:p>
    <w:p w14:paraId="70F92212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Zaleca się wykonanie na krawędzi wcięcia do połowy grubości warstw bitumicznych, szerokości ok. 10 cm</w:t>
      </w:r>
      <w:r w:rsidR="004E7446"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i zakładkowe połączenie nawierzchni przy jej odbudowie.</w:t>
      </w:r>
    </w:p>
    <w:p w14:paraId="209CF990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Niewykonanie powyższego może być zastąpione frezowaniem na pełną grubość nawierzchni bitumicznej stycznej do wykopu na szerokość w każdym kierunku min. 1,00 m.</w:t>
      </w:r>
    </w:p>
    <w:p w14:paraId="411EC7E1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Wingdings-Regular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Pełne odtworzenie warstw konstrukcji nawierzchni jezdni </w:t>
      </w:r>
      <w:r w:rsidRPr="00570AB4">
        <w:rPr>
          <w:rFonts w:eastAsia="TimesNewRomanPSMT-Identity-H"/>
          <w:sz w:val="22"/>
          <w:szCs w:val="22"/>
        </w:rPr>
        <w:t>musi być dokonane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w pasach przy krawędziach jezdni, jeżeli odległość krawężników, oporników, obrzeży krawędzi jezdni od krawędzi przekopu jest mniejsza niż 1,50 m, o ile zarząd drogi nie wskaże innego sposobu odtworzenia konstrukcji nawierzchni jezdni i warstw bitumicznych.</w:t>
      </w:r>
      <w:r w:rsidRPr="00570AB4">
        <w:rPr>
          <w:rFonts w:eastAsia="Wingdings-Regular"/>
          <w:color w:val="000000"/>
          <w:sz w:val="22"/>
          <w:szCs w:val="22"/>
        </w:rPr>
        <w:t xml:space="preserve"> </w:t>
      </w:r>
    </w:p>
    <w:p w14:paraId="54E6CFEA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Wingdings-Regular"/>
          <w:color w:val="000000"/>
          <w:sz w:val="22"/>
          <w:szCs w:val="22"/>
        </w:rPr>
      </w:pPr>
      <w:r w:rsidRPr="00570AB4">
        <w:rPr>
          <w:rFonts w:eastAsia="Wingdings-Regular"/>
          <w:color w:val="000000"/>
          <w:sz w:val="22"/>
          <w:szCs w:val="22"/>
        </w:rPr>
        <w:t>Odtworzenie nawierzchni bitumicznej (warstwy ścieralnej) pasa ruchu musi nastąpić</w:t>
      </w:r>
      <w:r>
        <w:rPr>
          <w:rFonts w:eastAsia="Wingdings-Regular"/>
          <w:color w:val="000000"/>
          <w:sz w:val="22"/>
          <w:szCs w:val="22"/>
        </w:rPr>
        <w:t xml:space="preserve"> </w:t>
      </w:r>
      <w:r w:rsidRPr="00570AB4">
        <w:rPr>
          <w:rFonts w:eastAsia="Wingdings-Regular"/>
          <w:color w:val="000000"/>
          <w:sz w:val="22"/>
          <w:szCs w:val="22"/>
        </w:rPr>
        <w:t>w przypadku ciągłego podłużnego wykopu oraz poprzecznych przekopów (powyżej</w:t>
      </w:r>
      <w:r>
        <w:rPr>
          <w:rFonts w:eastAsia="Wingdings-Regular"/>
          <w:color w:val="000000"/>
          <w:sz w:val="22"/>
          <w:szCs w:val="22"/>
        </w:rPr>
        <w:t xml:space="preserve"> </w:t>
      </w:r>
      <w:r w:rsidRPr="00570AB4">
        <w:rPr>
          <w:rFonts w:eastAsia="Wingdings-Regular"/>
          <w:color w:val="000000"/>
          <w:sz w:val="22"/>
          <w:szCs w:val="22"/>
        </w:rPr>
        <w:t>2 sztuk) usytuowanych w odległości mniejszej niż 50 m (licząc od osi przekopów),</w:t>
      </w:r>
    </w:p>
    <w:p w14:paraId="35C3214B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Wingdings-Regular"/>
          <w:color w:val="000000"/>
          <w:sz w:val="22"/>
          <w:szCs w:val="22"/>
        </w:rPr>
      </w:pPr>
      <w:r w:rsidRPr="00570AB4">
        <w:rPr>
          <w:rFonts w:eastAsia="Wingdings-Regular"/>
          <w:color w:val="000000"/>
          <w:sz w:val="22"/>
          <w:szCs w:val="22"/>
        </w:rPr>
        <w:t>Odtworzenie nawierzchni bitumicznej (warstwy ścieralnej) jezdni musi nastąpi</w:t>
      </w:r>
      <w:r>
        <w:rPr>
          <w:rFonts w:eastAsia="Wingdings-Regular"/>
          <w:color w:val="000000"/>
          <w:sz w:val="22"/>
          <w:szCs w:val="22"/>
        </w:rPr>
        <w:t xml:space="preserve"> </w:t>
      </w:r>
      <w:r w:rsidRPr="00570AB4">
        <w:rPr>
          <w:rFonts w:eastAsia="Wingdings-Regular"/>
          <w:color w:val="000000"/>
          <w:sz w:val="22"/>
          <w:szCs w:val="22"/>
        </w:rPr>
        <w:t>w</w:t>
      </w:r>
      <w:r>
        <w:rPr>
          <w:rFonts w:eastAsia="Wingdings-Regular"/>
          <w:color w:val="000000"/>
          <w:sz w:val="22"/>
          <w:szCs w:val="22"/>
        </w:rPr>
        <w:t xml:space="preserve"> </w:t>
      </w:r>
      <w:r w:rsidRPr="00570AB4">
        <w:rPr>
          <w:rFonts w:eastAsia="Wingdings-Regular"/>
          <w:color w:val="000000"/>
          <w:sz w:val="22"/>
          <w:szCs w:val="22"/>
        </w:rPr>
        <w:t>przypadku konieczności ciągłego podłużnego wykopu usytuowanego w środku jezdni.</w:t>
      </w:r>
    </w:p>
    <w:p w14:paraId="19E1198F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Castellar-Identity-H"/>
          <w:sz w:val="22"/>
          <w:szCs w:val="22"/>
        </w:rPr>
        <w:t xml:space="preserve">Nie wolno </w:t>
      </w:r>
      <w:r w:rsidRPr="00570AB4">
        <w:rPr>
          <w:rFonts w:eastAsia="TimesNewRomanPSMT-Identity-H"/>
          <w:color w:val="000000"/>
          <w:sz w:val="22"/>
          <w:szCs w:val="22"/>
        </w:rPr>
        <w:t>umieszczać krawędzi cięcia nawierzchni bitumicznej w osi jezdni. Wynika to</w:t>
      </w:r>
      <w:r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z faktu niemożliwości pomalowania pasów segregacyjnych ruchu na zalewanym płynnym bitumem połączeniu nowej i dotychczasowej nawierzchni. Należy zawsze umieszczać cięcie poza osią w minimalnej od niej odległości 30 cm.</w:t>
      </w:r>
    </w:p>
    <w:p w14:paraId="6B9E3839" w14:textId="77777777" w:rsidR="009C2F28" w:rsidRPr="00570AB4" w:rsidRDefault="009C2F28" w:rsidP="009C2F28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Obcięcie lub frezowanie krawędzi i pasów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przywykopowych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istniejącej nawierzchni wskazane jest przy rozpoczęciu wykonania wykopu.</w:t>
      </w:r>
    </w:p>
    <w:p w14:paraId="2FDFC22B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 przygotowanej podbudowie, tj.</w:t>
      </w:r>
      <w:r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oczyszczonej i skropionej asfaltem upłynnionym lub emulsją</w:t>
      </w:r>
      <w:r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 xml:space="preserve">asfaltową, należy rozłożyć warstwę wyrównawczą lub wiążącą, a następnie warstwę ścieralną z mieszanki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mineralno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– asfaltowej. Skład mieszanki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mineralno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– asfaltowej i grubości warstw powinny być zgodne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 xml:space="preserve">z dokumentacją projektową (o ile taka była wymagana i która posiada uzgodnienie z Zarządem Dróg) oraz wymaganiami i warunkami obowiązujących norm przedmiotowych i specyfikacji technicznych. Przypomina się, że grubość warstw jezdnych </w:t>
      </w:r>
      <w:r w:rsidRPr="00570AB4">
        <w:rPr>
          <w:rFonts w:eastAsia="TimesNewRomanPSMT-Identity-H"/>
          <w:sz w:val="22"/>
          <w:szCs w:val="22"/>
        </w:rPr>
        <w:t>nie może być mniejsza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od grubości warstw istniejących.</w:t>
      </w:r>
    </w:p>
    <w:p w14:paraId="3628AEFC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Między warstwami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mineralno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– asfaltowymi należy stosować związanie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międzywarstwowe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przez skropienie podłoża danej warstwy asfaltem upłynnionym lub emulsją asfaltową o właściwościach dostosowanych do istniejących warunków. Podłoże powinno być skropione w ilości wystarczającej do związania warstw, bez nadmiaru lepiszcza, równomiernie na całej powierzchni, zgodnie z zaleceniami normowymi.</w:t>
      </w:r>
    </w:p>
    <w:p w14:paraId="51CDB856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Warstwy nawierzchni powinny być należycie zagęszczone zestawem walców lub zagęszczarkami mechanicznymi (przy małych powierzchniach).</w:t>
      </w:r>
    </w:p>
    <w:p w14:paraId="5C259D52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Nawierzchnia powinna być ułożona w równym poziomie z nawierzchnią dotychczasową przy zachowaniu wymaganych spadków.</w:t>
      </w:r>
    </w:p>
    <w:p w14:paraId="2A114A14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na styku nawierzchni należy zalać masą asfaltową.</w:t>
      </w:r>
    </w:p>
    <w:p w14:paraId="74539B55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Prace należy wykonywać w korzystnych warunkach atmosferycznych.</w:t>
      </w:r>
    </w:p>
    <w:p w14:paraId="467B0351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W przypadku wykonywania odtworzenia warstw jezdnych nawierzchni w okresie o niesprzyjających warunkach atmosferycznych, np. w okresie zimowym, opadach atmosferycznych itp., należy warstwy jezdne wykonać jako tymczasowe przy użyciu materiałów rozbieralnych takich jak kruszywo kamienne, kostka betonowa o grub. min. 8 cm, kostka kamienna rzędowa lub nieregularna lub płyty betonowe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lastRenderedPageBreak/>
        <w:t>o grub. min. 12 cm. Po nastaniu sprzyjających warunków atmosferycznych należy natychmiast przystąpić do odtworzenia nawierzchni takiego typu jak w pierwotnym stanie.</w:t>
      </w:r>
    </w:p>
    <w:p w14:paraId="783B0294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Wingdings-Regular"/>
          <w:color w:val="000000"/>
          <w:sz w:val="22"/>
          <w:szCs w:val="22"/>
        </w:rPr>
        <w:t>U</w:t>
      </w:r>
      <w:r w:rsidRPr="00570AB4">
        <w:rPr>
          <w:rFonts w:eastAsia="Castellar-Identity-H"/>
          <w:sz w:val="22"/>
          <w:szCs w:val="22"/>
        </w:rPr>
        <w:t>waga</w:t>
      </w:r>
      <w:r w:rsidRPr="00570AB4">
        <w:rPr>
          <w:rFonts w:eastAsia="Castellar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powyższa dotyczy również nawierzchni chodnikowych.</w:t>
      </w:r>
    </w:p>
    <w:p w14:paraId="0ADEE4E6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Nie dopuszcza się pozostawienie niezabezpieczonych i nieoznakowanych przekopów oraz dopuszczenie po nich ruchu pojazdów lub pieszych, gdy nie jest na nich odtworzona nawierzchnia według technologii wymienionych powyżej.</w:t>
      </w:r>
    </w:p>
    <w:p w14:paraId="24000C38" w14:textId="77777777" w:rsidR="009C2F28" w:rsidRPr="00570AB4" w:rsidRDefault="009C2F28" w:rsidP="009C2F28">
      <w:pPr>
        <w:numPr>
          <w:ilvl w:val="0"/>
          <w:numId w:val="16"/>
        </w:numPr>
        <w:tabs>
          <w:tab w:val="left" w:pos="720"/>
        </w:tabs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Nawierzchnia z betonu asfaltowego powinna być wykonana zgodnie z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PN-EN 13108-1:2006(U), PN-EN 13108-5:2006(U)</w:t>
      </w:r>
    </w:p>
    <w:p w14:paraId="30E190D1" w14:textId="77777777" w:rsidR="009C2F28" w:rsidRPr="00570AB4" w:rsidRDefault="009C2F28" w:rsidP="009C2F28">
      <w:pPr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</w:p>
    <w:p w14:paraId="587D7EE9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3. Odtworzenie warstw jezdnych nawierzchni z kostki kamiennej.</w:t>
      </w:r>
    </w:p>
    <w:p w14:paraId="617A9A71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783CD2C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 wykonaniu podbudowy należy oczyszczoną kostkę układać na podsypce cementowo piaskowej 1:4, M-80 o min. grub. 10 cm,</w:t>
      </w:r>
    </w:p>
    <w:p w14:paraId="5662EEF2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Kostki należy układać zgodnie z istniejącym wzorem nawierzchni, kolorystyką 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istn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>. grubością kostki,</w:t>
      </w:r>
    </w:p>
    <w:p w14:paraId="2C758B36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Uszkodzone kostki należy wymienić na nowe. </w:t>
      </w:r>
      <w:r w:rsidRPr="00570AB4">
        <w:rPr>
          <w:rFonts w:eastAsia="TimesNewRomanPSMT-Identity-H"/>
          <w:sz w:val="22"/>
          <w:szCs w:val="22"/>
        </w:rPr>
        <w:t>Niedopuszczalnym jest zabudowywanie materiału uszkodzonego,</w:t>
      </w:r>
    </w:p>
    <w:p w14:paraId="346A7388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należy wypełniać przez uszczelnianie zaprawą cementowo – piaskową M-80 lub grysem kamiennym frakcji 2-5mm</w:t>
      </w:r>
    </w:p>
    <w:p w14:paraId="72DEE4DF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Kostki po uszczelnieniu nie mogą się „ruszać”,</w:t>
      </w:r>
    </w:p>
    <w:p w14:paraId="6BFF2F41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Odtworzoną nawierzchnię należy pielęgnować (posypywać zaprawą cementowo – piaskową M-80 1:4 lub grysami o frakcji 2-5mm, uzupełniać brakujące spoiny itd.) tak długo, aż nastąpi pełna stabilizacja zabudowanego materiału. </w:t>
      </w:r>
    </w:p>
    <w:p w14:paraId="37C4AE59" w14:textId="77777777" w:rsidR="009C2F28" w:rsidRPr="00570AB4" w:rsidRDefault="009C2F28" w:rsidP="009C2F28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Nawierzchnia z kostki kamiennej powinna być wykonana zgodnie z PNS06100.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„Drogi samochodowe. Nawierzchnie z kostki kamiennej. Warunki techniczne.”</w:t>
      </w:r>
    </w:p>
    <w:p w14:paraId="0F616F2A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27F26824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4. Odtworzenie warstw jezdnych z kostki betonowej.</w:t>
      </w:r>
    </w:p>
    <w:p w14:paraId="1991E44E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0CF032CC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 wykonaniu podbudowy należy oczyszczoną kostkę układać na podsypce piaskowej lub cementowo – piaskowej (w zależności od obciążenia ruchem) o min.</w:t>
      </w:r>
      <w:r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grub. 10 cm,</w:t>
      </w:r>
    </w:p>
    <w:p w14:paraId="75D960E5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Wingdings-Regular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Odtworzenie nawierzchni musi być zgodne z istniejącym wzorem oraz kolorystyką, jak również grubością istniejącej kostki,</w:t>
      </w:r>
      <w:r w:rsidRPr="00570AB4">
        <w:rPr>
          <w:rFonts w:eastAsia="Wingdings-Regular"/>
          <w:color w:val="000000"/>
          <w:sz w:val="22"/>
          <w:szCs w:val="22"/>
        </w:rPr>
        <w:t xml:space="preserve"> </w:t>
      </w:r>
    </w:p>
    <w:p w14:paraId="2F673883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sz w:val="22"/>
          <w:szCs w:val="22"/>
        </w:rPr>
        <w:t xml:space="preserve">Niedopuszczalnym jest zabudowywanie materiału uszkodzonego, </w:t>
      </w:r>
      <w:r w:rsidRPr="00570AB4">
        <w:rPr>
          <w:rFonts w:eastAsia="TimesNewRomanPSMT-Identity-H"/>
          <w:color w:val="000000"/>
          <w:sz w:val="22"/>
          <w:szCs w:val="22"/>
        </w:rPr>
        <w:t>a zatem uszkodzone elementy należy wymienić na nowe odpowiadające wzorem i grubością istniejącym,</w:t>
      </w:r>
    </w:p>
    <w:p w14:paraId="25EFD53B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Przed zasypaniem spoin nawierzchnię należy zagęścić płytą wibracyjną,</w:t>
      </w:r>
    </w:p>
    <w:p w14:paraId="7CD3F187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należy bezwzględnie zasypać piaskiem lub grysem, który należy wmiatać ręcznie do momentu napełnienia szczelin. Nie wibrować nawierzchni po zasypaniu spoin,</w:t>
      </w:r>
    </w:p>
    <w:p w14:paraId="69E5B19D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Odtworzoną nawierzchnię należy pielęgnować (posypywać piaskiem, grysem, uzupełniać brakujące spoiny itd.) tak długo, aż nastąpi pełna stabilizacja zabudowanego materiału,</w:t>
      </w:r>
    </w:p>
    <w:p w14:paraId="2BDBD1B1" w14:textId="77777777" w:rsidR="009C2F28" w:rsidRPr="00570AB4" w:rsidRDefault="009C2F28" w:rsidP="009C2F28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Nawierzchnia z kostki betonowej powinna być wykonana zgodnie z BN80/677503/04. „ Prefabrykaty budowlane z betonu. Elementy nawierzchni dróg, ulic, parkingów i torowisk tramwajowych. Krawężniki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i obrzeża”.</w:t>
      </w:r>
    </w:p>
    <w:p w14:paraId="2B083E3B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7648297C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t>C. ODTWORZENIE WARSTW KONSTRUKCYJNYCH CHODNIKA</w:t>
      </w:r>
    </w:p>
    <w:p w14:paraId="496C61E6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5DF4851A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1. Odtworzenie warstw podbudowy.</w:t>
      </w:r>
    </w:p>
    <w:p w14:paraId="08A31A67" w14:textId="77777777" w:rsidR="009C2F28" w:rsidRPr="00570AB4" w:rsidRDefault="009C2F28" w:rsidP="009C2F28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Podbudowa nawierzchni chodnikowych powinna być wykonana z kruszywa stabilizowanego mechanicznie. Dopuszczalne jest zastosowanie materiałów odpadowych o ile spełniają wymogi związane z ochroną środowiska,</w:t>
      </w:r>
    </w:p>
    <w:p w14:paraId="7438A0BB" w14:textId="77777777" w:rsidR="009C2F28" w:rsidRPr="00570AB4" w:rsidRDefault="009C2F28" w:rsidP="009C2F28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Do wykonania podbudowy, zwłaszcza w warstwie dolnej, może być wykorzystany materiał podbudowy pierwotnej, jeżeli był składowany oddzielnie i nie został zanieczyszczony gruntem podłoża,</w:t>
      </w:r>
    </w:p>
    <w:p w14:paraId="3B7B126E" w14:textId="77777777" w:rsidR="009C2F28" w:rsidRPr="00570AB4" w:rsidRDefault="009C2F28" w:rsidP="009C2F28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Podbudowa powinna być wykonana zgodnie z PNS06102: 1997. „ Podbudowy z kruszyw stabilizowanych mechanicznie, w dostosowaniu do występującego obciążenia” ,</w:t>
      </w:r>
    </w:p>
    <w:p w14:paraId="7B7EE065" w14:textId="77777777" w:rsidR="009C2F28" w:rsidRPr="00570AB4" w:rsidRDefault="009C2F28" w:rsidP="009C2F28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W przypadku zasypania wykopu gruntem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niewysadzinowym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i braku wymogów wykonania podbudowy, </w:t>
      </w:r>
      <w:r w:rsidRPr="00570AB4">
        <w:rPr>
          <w:rFonts w:eastAsia="TimesNewRomanPSMT-Identity-H"/>
          <w:color w:val="000000"/>
          <w:sz w:val="22"/>
          <w:szCs w:val="22"/>
        </w:rPr>
        <w:lastRenderedPageBreak/>
        <w:t>wykop zasypać można gruntem (z zagęszczeniem warstwami, grubości max. 20 cm) do głębokości poniżej 25 cm od poziomu istniejącej nawierzchni, następnie ułożyć warstwę kruszywa kamiennego, podsypki i na niej (po zagęszczeniu) nawierzchnię chodnika z elementów właściwych dla danej nawierzchni,</w:t>
      </w:r>
    </w:p>
    <w:p w14:paraId="4D738C1C" w14:textId="77777777" w:rsidR="009C2F28" w:rsidRPr="00570AB4" w:rsidRDefault="009C2F28" w:rsidP="009C2F28">
      <w:pPr>
        <w:numPr>
          <w:ilvl w:val="0"/>
          <w:numId w:val="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Przy potrzebie wzmocnienia (grunty trudno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zagęszczalne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lub słabe, przewidywane zwiększone obciążenia) warstwę podbudowy grubości 65 cm wykonać należy z kruszywa.</w:t>
      </w:r>
      <w:r w:rsidRPr="00570AB4">
        <w:rPr>
          <w:rFonts w:eastAsia="Wingdings-Regular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Na tak wykonanej podbudowie</w:t>
      </w:r>
      <w:r w:rsidR="004E7446">
        <w:rPr>
          <w:rFonts w:eastAsia="TimesNewRomanPSMT-Identity-H"/>
          <w:color w:val="000000"/>
          <w:sz w:val="22"/>
          <w:szCs w:val="22"/>
        </w:rPr>
        <w:t xml:space="preserve"> </w:t>
      </w:r>
      <w:r w:rsidR="004E7446"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i warstwie 5-10 cm podsypki piaskowej lub cementowo – piaskowej, po zagęszczeniu ułożyć elementy nawierzchni lub bezpośrednio warstwę bitumiczną (na podbudowie!).</w:t>
      </w:r>
    </w:p>
    <w:p w14:paraId="64D2ED1B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0ADF03F9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2. Odtworzenie nawierzchni z płytek i kostek betonowych.</w:t>
      </w:r>
    </w:p>
    <w:p w14:paraId="28A80ECC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524C6972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Nawierzchnie należy odbudować zgodnie z ich stanem przed wykonaniem wykopu.</w:t>
      </w:r>
    </w:p>
    <w:p w14:paraId="5876233D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Płyty lub kształtki należy układać na wykonanej uprzednio podbudowie z kruszywa stabilizowanego mechanicznie.</w:t>
      </w:r>
    </w:p>
    <w:p w14:paraId="4732B96B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Elementy betonowe (płyty, kostki drobnowymiarowe) należy układać na podsypce z mieszanki cementowo – piaskowej 1:4, M-80.</w:t>
      </w:r>
    </w:p>
    <w:p w14:paraId="00002B0C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Podsypka powinna być wyrównana i odpowiednio zagęszczona.</w:t>
      </w:r>
    </w:p>
    <w:p w14:paraId="2180116D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Płyty należy układać zgodnie z ustalonym wzorem przy zachowaniu przemiennego położenia spoin, o ile taki jest zastosowany w nawierzchni istniejącej.</w:t>
      </w:r>
    </w:p>
    <w:p w14:paraId="49294091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Dobór kształtek i sposób ułożenia powinien być zgodny z istniejącym i odpowiadać ich profilowi.</w:t>
      </w:r>
    </w:p>
    <w:p w14:paraId="4E9EC441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Przy odbudowie urządzeń, w częściach brzeżnych i na łukach elementy należy odpowiednio docinać. Dopuszcza się tutaj zamiast docinania elementów betonowych ułożenie kostki kamiennej tzw. mozaikowej (46) cm układanej na podsypce cementowo – piaskowej, a w sytuacjach zakwalifikowanych przez inspektora nadzoru ze strony Zarządzającego pasem drogowym jako bardzo silnie obciążonych ruchem na zaprawie cementowo – piaskowej 1:4, M-80.</w:t>
      </w:r>
    </w:p>
    <w:p w14:paraId="3BDBD9B0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i szczeliny należy zamulić piaskiem lub uszczelnić zaprawą cementowo – piaskową 1:4, M-80.</w:t>
      </w:r>
    </w:p>
    <w:p w14:paraId="7C3B1A3D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Nawierzchnia z płytek lub kształtek musi być układana starannie przy możliwym ścisłym dopasowaniu elementów i uszczelnieniu spoin z zachowaniem równej powierzchni i wymaganych spadków.</w:t>
      </w:r>
    </w:p>
    <w:p w14:paraId="026A862F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Chodnik należy ułożyć z płyt lub kształtek z rozbiórki nawierzchni z tym, że </w:t>
      </w:r>
      <w:r w:rsidRPr="00570AB4">
        <w:rPr>
          <w:rFonts w:eastAsia="TimesNewRomanPSMT-Identity-H"/>
          <w:sz w:val="22"/>
          <w:szCs w:val="22"/>
        </w:rPr>
        <w:t>niedopuszczalne jest zabudowywanie elementów uszkodzonych.</w:t>
      </w:r>
    </w:p>
    <w:p w14:paraId="4BAA5B77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 razie złego stanu większości elementów betonowych odtwarzaną nawierzchnię chodnika należy wykonać z elementów nowych odpowiadających rodzajem i profilem elementom nawierzchni istniejącej.</w:t>
      </w:r>
    </w:p>
    <w:p w14:paraId="6183CC62" w14:textId="77777777" w:rsidR="009C2F28" w:rsidRPr="00570AB4" w:rsidRDefault="009C2F28" w:rsidP="009C2F28">
      <w:pPr>
        <w:numPr>
          <w:ilvl w:val="0"/>
          <w:numId w:val="6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Wymagania i warunki techniczne wykonania nawierzchni chodników z elementów betonowych zawarte są w normie: BN64/884501. „ Chodniki z płyt betonowych. Warunki techniczne wykonania i odbioru” .</w:t>
      </w:r>
    </w:p>
    <w:p w14:paraId="1844A884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1D018C6C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3. Odtworzenie nawierzchni z kostki kamiennej.</w:t>
      </w:r>
    </w:p>
    <w:p w14:paraId="5F74D51D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2020971F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 wykonaniu podbudowy należy oczyszczoną kostkę układać na podsypce cementowo piaskowej o min. grub. 5 cm,</w:t>
      </w:r>
    </w:p>
    <w:p w14:paraId="1D525515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Kostki należy układać zgodnie z istniejącym wzorem nawierzchni, kolorystyką, 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istn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>. grubością kostki,</w:t>
      </w:r>
    </w:p>
    <w:p w14:paraId="7A96D1C7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Uszkodzone kostki należy wymienić na nowe. </w:t>
      </w:r>
      <w:r w:rsidRPr="00570AB4">
        <w:rPr>
          <w:rFonts w:eastAsia="TimesNewRomanPSMT-Identity-H"/>
          <w:sz w:val="22"/>
          <w:szCs w:val="22"/>
        </w:rPr>
        <w:t>Niedopuszczalnym jest zabudowywanie materiału uszkodzonego,</w:t>
      </w:r>
    </w:p>
    <w:p w14:paraId="06FAC69E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należy wypełniać przez uszczelnianie zaprawą cementowo – piaskową M-80 lub grysami kamiennymi frakcji 2-5 mm,</w:t>
      </w:r>
    </w:p>
    <w:p w14:paraId="5DA250AC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Kostki po uszczelnieniu nie mogą się „ruszać”,</w:t>
      </w:r>
    </w:p>
    <w:p w14:paraId="36FDB5F2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Odtworzoną nawierzchnię należy pielęgnować (posypywać piaskiem z cementem, grysem kamiennym, uzupełniać brakujące spoiny itd.) tak długo, aż nastąpi pełna stabilizacja zabudowanego materiału.</w:t>
      </w:r>
    </w:p>
    <w:p w14:paraId="3E39C820" w14:textId="77777777" w:rsidR="009C2F28" w:rsidRPr="00570AB4" w:rsidRDefault="009C2F28" w:rsidP="009C2F28">
      <w:pPr>
        <w:numPr>
          <w:ilvl w:val="0"/>
          <w:numId w:val="7"/>
        </w:numPr>
        <w:tabs>
          <w:tab w:val="left" w:pos="720"/>
        </w:tabs>
        <w:autoSpaceDE w:val="0"/>
        <w:jc w:val="both"/>
        <w:rPr>
          <w:rFonts w:eastAsia="MonotypeCorsiva-Identity-H"/>
          <w:i/>
          <w:iCs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Nawierzchnia z kostki kamiennej powinna być wykonana zgodnie z PNS06100. </w:t>
      </w:r>
      <w:r w:rsidRPr="00570AB4">
        <w:rPr>
          <w:rFonts w:eastAsia="MonotypeCorsiva-Identity-H"/>
          <w:i/>
          <w:iCs/>
          <w:color w:val="000000"/>
          <w:sz w:val="22"/>
          <w:szCs w:val="22"/>
        </w:rPr>
        <w:t>„Drogi samochodowe. Nawierzchnie z kostki kamiennej. Warunki techniczne.”</w:t>
      </w:r>
    </w:p>
    <w:p w14:paraId="49BF4AD7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4AA7046E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4. Odtworzenie nawierzchni bitumicznych (asfaltobetonowych).</w:t>
      </w:r>
    </w:p>
    <w:p w14:paraId="0461C023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514BFD4" w14:textId="77777777" w:rsidR="009C2F28" w:rsidRPr="00570AB4" w:rsidRDefault="009C2F28" w:rsidP="009C2F28">
      <w:pPr>
        <w:numPr>
          <w:ilvl w:val="0"/>
          <w:numId w:val="8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 większości są to nawierzchnie dla ruchu lekkiego i bardzo lekkiego.</w:t>
      </w:r>
    </w:p>
    <w:p w14:paraId="780FFBEF" w14:textId="77777777" w:rsidR="009C2F28" w:rsidRPr="00570AB4" w:rsidRDefault="009C2F28" w:rsidP="009C2F28">
      <w:pPr>
        <w:numPr>
          <w:ilvl w:val="0"/>
          <w:numId w:val="8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Dopuszcza się odtworzenie nawierzchni bitumicznych jedynie po wykonaniu przekopu prostopadłego do </w:t>
      </w:r>
      <w:r w:rsidRPr="00570AB4">
        <w:rPr>
          <w:rFonts w:eastAsia="TimesNewRomanPSMT-Identity-H"/>
          <w:color w:val="000000"/>
          <w:sz w:val="22"/>
          <w:szCs w:val="22"/>
        </w:rPr>
        <w:lastRenderedPageBreak/>
        <w:t xml:space="preserve">osi ciągu pieszego. Przy prowadzeniu robót równolegle do osi oraz szerokości przekopu równej co najmniej połowie szerokości chodnika, należy nawierzchnię jego na całej szerokości odtworzyć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z elementów betonowych (płyty bądź kostka betonowa).</w:t>
      </w:r>
    </w:p>
    <w:p w14:paraId="1840EA73" w14:textId="77777777" w:rsidR="009C2F28" w:rsidRPr="00570AB4" w:rsidRDefault="009C2F28" w:rsidP="009C2F28">
      <w:pPr>
        <w:numPr>
          <w:ilvl w:val="0"/>
          <w:numId w:val="8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W przypadku odtwarzania nawierzchni po przekopach dla sieci gazowniczych </w:t>
      </w:r>
      <w:r w:rsidRPr="00570AB4">
        <w:rPr>
          <w:rFonts w:eastAsia="TimesNewRomanPSMT-Identity-H"/>
          <w:sz w:val="22"/>
          <w:szCs w:val="22"/>
        </w:rPr>
        <w:t xml:space="preserve">bezwzględnie </w:t>
      </w:r>
      <w:r w:rsidRPr="00570AB4">
        <w:rPr>
          <w:rFonts w:eastAsia="TimesNewRomanPSMT-Identity-H"/>
          <w:color w:val="000000"/>
          <w:sz w:val="22"/>
          <w:szCs w:val="22"/>
        </w:rPr>
        <w:t>należy wykonać nawierzchnię z elementów rozbieralnych.</w:t>
      </w:r>
    </w:p>
    <w:p w14:paraId="0D6F038A" w14:textId="77777777" w:rsidR="009C2F28" w:rsidRPr="00570AB4" w:rsidRDefault="009C2F28" w:rsidP="009C2F28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</w:t>
      </w:r>
      <w:r>
        <w:rPr>
          <w:rFonts w:eastAsia="TimesNewRomanPSMT-Identity-H"/>
          <w:color w:val="00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 xml:space="preserve">przypadku odtwarzania nawierzchni bitumicznych należy na zagęszczonym i utwardzonym podłożu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 xml:space="preserve">i podbudowie ułożyć warstwę mieszanki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mineralno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– asfaltowej w dostosowaniu do grubości i spadków nawierzchni dotychczasowej.</w:t>
      </w:r>
    </w:p>
    <w:p w14:paraId="76E77CBA" w14:textId="77777777" w:rsidR="009C2F28" w:rsidRPr="00570AB4" w:rsidRDefault="009C2F28" w:rsidP="009C2F28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Krawędzie istniejącej nawierzchni należy przyciąć do linii prostych.</w:t>
      </w:r>
    </w:p>
    <w:p w14:paraId="29A8E33C" w14:textId="77777777" w:rsidR="009C2F28" w:rsidRPr="00570AB4" w:rsidRDefault="009C2F28" w:rsidP="009C2F28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Odtworzenie nawierzchni winno być prowadzone na szerokości, co najmniej 0,50 m większej od szerokości przekopu z każdej jego strony.</w:t>
      </w:r>
    </w:p>
    <w:p w14:paraId="4F222B6B" w14:textId="77777777" w:rsidR="009C2F28" w:rsidRPr="00570AB4" w:rsidRDefault="009C2F28" w:rsidP="009C2F28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Nowo układaną nawierzchnię należy zagęszczać lekkimi walcami chodnikowymi i stąd min. szerokość odtwarzanej nawierzchni winna być taka, aby koło stalowe walca mieściło się między krawędziami przekopu.</w:t>
      </w:r>
    </w:p>
    <w:p w14:paraId="6CE891AB" w14:textId="77777777" w:rsidR="009C2F28" w:rsidRPr="00570AB4" w:rsidRDefault="009C2F28" w:rsidP="009C2F28">
      <w:pPr>
        <w:numPr>
          <w:ilvl w:val="0"/>
          <w:numId w:val="9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Spoiny na połączeniu nowej i starej nawierzchni należy wykonać poprzez zastosowanie taśmy bitumicznej lub emulsji asfaltowej kationowej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szybkorozpadowej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>, którą po wylaniu na szer. max. 5 cm należy posypać piaskiem drobnoziarnistym.</w:t>
      </w:r>
    </w:p>
    <w:p w14:paraId="3129393E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1585DD90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t>D. ODTWORZENIE POBOCZY, ZIELEŃCÓW.</w:t>
      </w:r>
    </w:p>
    <w:p w14:paraId="4B918F37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2A3009C6" w14:textId="77777777" w:rsidR="009C2F28" w:rsidRPr="00570AB4" w:rsidRDefault="009C2F28" w:rsidP="009C2F28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Nawierzchnię poboczy należy przywrócić do takiego stanu, aby powierzchnia jego była tak wyprofilowana, że nie będzie na nim możliwości gromadzenia się wód opadowych, a spadek poprzeczny będzie skierowany w stronę skarpy nasypu lub rowu odprowadzającego wody opadowe. Spadek podłużny musi być zachowany zgodnie z pochyleniem niwelety drogi.</w:t>
      </w:r>
    </w:p>
    <w:p w14:paraId="0FF3ADC6" w14:textId="77777777" w:rsidR="009C2F28" w:rsidRPr="00570AB4" w:rsidRDefault="009C2F28" w:rsidP="009C2F28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Materiał użyty na odtworzenie pobocza może być wykorzystany jako materiał pierwotny z tym, że nie może on być zanieczyszczony gruntem podłoża i składowany był oddzielnie.</w:t>
      </w:r>
    </w:p>
    <w:p w14:paraId="125E4B4A" w14:textId="77777777" w:rsidR="009C2F28" w:rsidRPr="00570AB4" w:rsidRDefault="009C2F28" w:rsidP="009C2F28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Jeżeli pobocze stanowi poszerzenie pasa ruchu, po którym mogą poruszać się lub zatrzymywać pojazdy, to odtworzenie całej konstrukcji musi być analogiczne do odtworzenia konstrukcji jezdni określonego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w punktach A, B i C niniejszej Instrukcji.</w:t>
      </w:r>
    </w:p>
    <w:p w14:paraId="467B1EDD" w14:textId="77777777" w:rsidR="009C2F28" w:rsidRPr="00570AB4" w:rsidRDefault="009C2F28" w:rsidP="009C2F28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Nawierzchnię zniszczonych podczas wykopów zieleńców należy odtworzyć poprzez wykonanie warstwy humusu o grubości min. 15 cm wraz z obsianiem odpowiednią mieszanką traw wraz z zabiegami pielęgnacyjnymi w okresie wzrostu roślin, do czasu właściwego zadarnienia terenu.</w:t>
      </w:r>
    </w:p>
    <w:p w14:paraId="7C5BDAF9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6AEC88BA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t>E. ODTWORZENIE OBRAMOWAŃ NAWIERZCHNI.</w:t>
      </w:r>
    </w:p>
    <w:p w14:paraId="0F463498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135C69C9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Do obramowania nawierzchni jezdni lub chodnika można użyć materiał rozebrany w trakcie robót z tym, że </w:t>
      </w:r>
      <w:r w:rsidRPr="00570AB4">
        <w:rPr>
          <w:rFonts w:eastAsia="TimesNewRomanPSMT-Identity-H"/>
          <w:sz w:val="22"/>
          <w:szCs w:val="22"/>
        </w:rPr>
        <w:t>niedopuszczalne jest zabudowywanie elementów uszkodzonych.</w:t>
      </w:r>
    </w:p>
    <w:p w14:paraId="5B531132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Wzdłuż wytyczonej linii przebiegu obramowania należy wykonać na głębokości około 0,5 m poniżej wyznaczonego poziomu górnej krawędzi ławę fundamentową z betonu C10/12 (B10) o wymiarach: wys. 15 cm, szer. 40 cm, na której na podsypce cementowo – piaskowej M-80 w proporcji 1:4 osadzić należy krawężniki betonowe lub kamienne.</w:t>
      </w:r>
    </w:p>
    <w:p w14:paraId="1CC78874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Odstępstwem od wykonania ławy betonowej jest posadowienie na ławie z pospółki krawężników kamiennych szerokostopowych tzw.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berlinów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>.</w:t>
      </w:r>
    </w:p>
    <w:p w14:paraId="2DCA8316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Spoiny między krawężnikami betonowymi mogą być wypełnione zaprawą cementowo – piaskową wtedy, gdy zadecyduje o tym inspektor nadzoru ze strony Zarządzającego obiektem drogowym.</w:t>
      </w:r>
    </w:p>
    <w:p w14:paraId="4D13BEA1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 przypadku przyległego do krawężnika chodnika, krawężnik powinien być posadowiony tak, aby górna jego krawędź znajdowała się na równi lub do 2 cm poniżej powierzchni chodnika.</w:t>
      </w:r>
    </w:p>
    <w:p w14:paraId="098505F3" w14:textId="77777777" w:rsidR="009C2F28" w:rsidRPr="00570AB4" w:rsidRDefault="009C2F28" w:rsidP="009C2F28">
      <w:pPr>
        <w:numPr>
          <w:ilvl w:val="0"/>
          <w:numId w:val="11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Obrzeże chodnikowe należy zawsze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posadawiać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na podsypce cementowo – piaskowej 1:4, M-80 zgodnie z profilem istniejącego chodnika oraz zgodnie z wyniesieniem lub obniżeniem nad lub pod istniejącą nawierzchnią.</w:t>
      </w:r>
    </w:p>
    <w:p w14:paraId="4F41FE7D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color w:val="000000"/>
          <w:sz w:val="22"/>
          <w:szCs w:val="22"/>
        </w:rPr>
      </w:pPr>
    </w:p>
    <w:p w14:paraId="31CCD8A1" w14:textId="77777777" w:rsidR="009C2F28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</w:p>
    <w:p w14:paraId="1A9F5C73" w14:textId="77777777" w:rsidR="009C2F28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</w:p>
    <w:p w14:paraId="6EAA77F3" w14:textId="77777777" w:rsidR="009C2F28" w:rsidRPr="00570AB4" w:rsidRDefault="009C2F28" w:rsidP="009C2F28">
      <w:pPr>
        <w:autoSpaceDE w:val="0"/>
        <w:jc w:val="both"/>
        <w:rPr>
          <w:rFonts w:eastAsia="TimesNewRomanPSMT-Identity-H"/>
          <w:b/>
          <w:bCs/>
          <w:color w:val="000000"/>
          <w:sz w:val="22"/>
          <w:szCs w:val="22"/>
        </w:rPr>
      </w:pPr>
      <w:r w:rsidRPr="00570AB4">
        <w:rPr>
          <w:rFonts w:eastAsia="TimesNewRomanPSMT-Identity-H"/>
          <w:b/>
          <w:bCs/>
          <w:color w:val="000000"/>
          <w:sz w:val="22"/>
          <w:szCs w:val="22"/>
        </w:rPr>
        <w:lastRenderedPageBreak/>
        <w:t>UWAGI DODATKOWE</w:t>
      </w:r>
    </w:p>
    <w:p w14:paraId="1CC88CC1" w14:textId="77777777" w:rsidR="009C2F28" w:rsidRPr="00570AB4" w:rsidRDefault="009C2F28" w:rsidP="009C2F28">
      <w:pPr>
        <w:autoSpaceDE w:val="0"/>
        <w:jc w:val="both"/>
        <w:rPr>
          <w:rFonts w:eastAsia="Wingdings-Regular"/>
          <w:color w:val="000000"/>
          <w:sz w:val="22"/>
          <w:szCs w:val="22"/>
        </w:rPr>
      </w:pPr>
    </w:p>
    <w:p w14:paraId="54CC9C1B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Zniszczone w trakcie prowadzenia wykopów oznakowanie poziome należy przywrócić do stanu przed rozebraniem nawierzchni. Należy do odtworzenia użyć takiego materiału, z jakiego wykonane jest istniejące. </w:t>
      </w:r>
      <w:r w:rsidRPr="00570AB4">
        <w:rPr>
          <w:rFonts w:eastAsia="TimesNewRomanPSMT-Identity-H"/>
          <w:sz w:val="22"/>
          <w:szCs w:val="22"/>
        </w:rPr>
        <w:t xml:space="preserve">Niedopuszczalnym jest </w:t>
      </w:r>
      <w:r w:rsidRPr="00570AB4">
        <w:rPr>
          <w:rFonts w:eastAsia="TimesNewRomanPSMT-Identity-H"/>
          <w:color w:val="000000"/>
          <w:sz w:val="22"/>
          <w:szCs w:val="22"/>
        </w:rPr>
        <w:t>odtwarzanie oznakowania poziomego farbą, np. akrylową, w miejscu uszkodzenia masy termoplastycznej.</w:t>
      </w:r>
    </w:p>
    <w:p w14:paraId="488DA966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Zdemontowane w trakcie robót wszelkie elementy organizacji ruchu poziomej lub pionowej (progi zwalniające, oczka odblaskowe, słupki znaków pionowych wraz z tarczami), muszą być natychmiast po zakończeniu prac odtworzeniowych przywrócone na pierwotne miejsce z tym, że </w:t>
      </w:r>
      <w:r w:rsidRPr="00570AB4">
        <w:rPr>
          <w:rFonts w:eastAsia="TimesNewRomanPSMT-Identity-H"/>
          <w:sz w:val="22"/>
          <w:szCs w:val="22"/>
        </w:rPr>
        <w:t xml:space="preserve">niedopuszczalne </w:t>
      </w:r>
      <w:r w:rsidRPr="00570AB4">
        <w:rPr>
          <w:rFonts w:eastAsia="TimesNewRomanPSMT-Identity-H"/>
          <w:color w:val="000000"/>
          <w:sz w:val="22"/>
          <w:szCs w:val="22"/>
        </w:rPr>
        <w:t>jest montowanie elementów uszkodzonych.</w:t>
      </w:r>
    </w:p>
    <w:p w14:paraId="7DA895FA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Bezwzględnie należy przywrócić do pierwotnej postaci zdemontowane barierki chodnikowe, bariery drogowe, słupki wygradzające, płotki trawnikowe, itp. z tym, że </w:t>
      </w:r>
      <w:r w:rsidRPr="00570AB4">
        <w:rPr>
          <w:rFonts w:eastAsia="TimesNewRomanPSMT-Identity-H"/>
          <w:sz w:val="22"/>
          <w:szCs w:val="22"/>
        </w:rPr>
        <w:t>niedopuszczalnym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jest montowanie elementów uszkodzonych, które w tym przypadku należy wymienić na nowe.</w:t>
      </w:r>
    </w:p>
    <w:p w14:paraId="478E958D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W trakcie prowadzenia robót w pobliżu wpustów ulicznych należy je</w:t>
      </w:r>
      <w:r w:rsidRPr="00570AB4">
        <w:rPr>
          <w:rFonts w:eastAsia="TimesNewRomanPSMT-Identity-H"/>
          <w:sz w:val="22"/>
          <w:szCs w:val="22"/>
        </w:rPr>
        <w:t xml:space="preserve"> bezwzględnie </w:t>
      </w:r>
      <w:r w:rsidRPr="00570AB4">
        <w:rPr>
          <w:rFonts w:eastAsia="TimesNewRomanPSMT-Identity-H"/>
          <w:color w:val="000000"/>
          <w:sz w:val="22"/>
          <w:szCs w:val="22"/>
        </w:rPr>
        <w:t xml:space="preserve">zabezpieczyć przed przedostaniem się do ich wnętrza zanieczyszczeń. W przeciwnym przypadku należy studzienki wyczyścić, a uszkodzone w trakcie robót elementy konstrukcyjne studzienek należy </w:t>
      </w:r>
      <w:r w:rsidRPr="00570AB4">
        <w:rPr>
          <w:rFonts w:eastAsia="TimesNewRomanPSMT-Identity-H"/>
          <w:sz w:val="22"/>
          <w:szCs w:val="22"/>
        </w:rPr>
        <w:t xml:space="preserve">wymienić </w:t>
      </w:r>
      <w:r w:rsidRPr="00570AB4">
        <w:rPr>
          <w:rFonts w:eastAsia="TimesNewRomanPSMT-Identity-H"/>
          <w:color w:val="000000"/>
          <w:sz w:val="22"/>
          <w:szCs w:val="22"/>
        </w:rPr>
        <w:t>na nowe.</w:t>
      </w:r>
    </w:p>
    <w:p w14:paraId="440C1445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Należy </w:t>
      </w:r>
      <w:r w:rsidRPr="00570AB4">
        <w:rPr>
          <w:rFonts w:eastAsia="TimesNewRomanPSMT-Identity-H"/>
          <w:sz w:val="22"/>
          <w:szCs w:val="22"/>
        </w:rPr>
        <w:t>bezwzględnie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w trakcie robót utrzymywać w należytym stanie czystości przyległy do miejsca robót nie zajęty pas drogowy, jak i teren poza nim. Materiał z wykopu musi być tak zabezpieczony, aby nie był w stanie przedostawać się na pas ruchu, po którym poruszają się pojazdy lub piesi.</w:t>
      </w:r>
    </w:p>
    <w:p w14:paraId="1E7270F0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Po zakończeniu robót wszystkie zabrudzone i zanieczyszczone miejsca muszą być na trwale uprzątnięte.</w:t>
      </w:r>
    </w:p>
    <w:p w14:paraId="276360CF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Uszkodzone w trakcie robót okablowanie oświetlenia ulicznego jak również jego części nadziemne muszą być natychmiast przywrócone do stanu pierwotnego z tym, że </w:t>
      </w:r>
      <w:r w:rsidRPr="00570AB4">
        <w:rPr>
          <w:rFonts w:eastAsia="TimesNewRomanPSMT-Identity-H"/>
          <w:sz w:val="22"/>
          <w:szCs w:val="22"/>
        </w:rPr>
        <w:t xml:space="preserve">niedopuszczalnym </w:t>
      </w:r>
      <w:r w:rsidRPr="00570AB4">
        <w:rPr>
          <w:rFonts w:eastAsia="TimesNewRomanPSMT-Identity-H"/>
          <w:color w:val="000000"/>
          <w:sz w:val="22"/>
          <w:szCs w:val="22"/>
        </w:rPr>
        <w:t>jest zabudowywanie elementów uszkodzonych.</w:t>
      </w:r>
    </w:p>
    <w:p w14:paraId="2A85B2D4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Należy </w:t>
      </w:r>
      <w:r w:rsidRPr="00570AB4">
        <w:rPr>
          <w:rFonts w:eastAsia="TimesNewRomanPSMT-Identity-H"/>
          <w:sz w:val="22"/>
          <w:szCs w:val="22"/>
        </w:rPr>
        <w:t>bezwzględnie</w:t>
      </w:r>
      <w:r w:rsidRPr="00570AB4">
        <w:rPr>
          <w:rFonts w:eastAsia="TimesNewRomanPSMT-Identity-H"/>
          <w:color w:val="FF0000"/>
          <w:sz w:val="22"/>
          <w:szCs w:val="22"/>
        </w:rPr>
        <w:t xml:space="preserve"> </w:t>
      </w:r>
      <w:r w:rsidRPr="00570AB4">
        <w:rPr>
          <w:rFonts w:eastAsia="TimesNewRomanPSMT-Identity-H"/>
          <w:color w:val="000000"/>
          <w:sz w:val="22"/>
          <w:szCs w:val="22"/>
        </w:rPr>
        <w:t>przestrzegać prawidłowego oznakowania miejsca prowadzenia robót.</w:t>
      </w:r>
    </w:p>
    <w:p w14:paraId="662A2962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Przed zajęciem pasa drogowego należy opracować zgodnie z Rozporządzeniem Ministra Infrastruktury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z dnia 23 września 2003 roku (Dz.U.177.1729.), w sprawie szczególnych warunków zarządzania ruchem na drogach oraz wykonywania nadzoru nad tym zarządzeniem dokumentację zmiany organizacji ruchu.</w:t>
      </w:r>
    </w:p>
    <w:p w14:paraId="7A82818B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Dokumentację należy opracować w oparciu o Rozporządzenie Ministra Infrastruktury z dnia 3 lipca 2003 roku w sprawie szczegółowych warunków technicznych dla znaków i sygnałów drogowych oraz urządzeń bezpieczeństwa ruchu drogowego i warunków ich umieszczania na drogach (Dz.U.220.2181. z dnia 23 grudnia 2003r.).</w:t>
      </w:r>
    </w:p>
    <w:p w14:paraId="7BB0B5BE" w14:textId="77777777" w:rsidR="009C2F28" w:rsidRPr="00570AB4" w:rsidRDefault="009C2F28" w:rsidP="009C2F28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Ze względu na okoliczności wprowadzania zmian w oznakowaniu dokumentację należy opracować jako:</w:t>
      </w:r>
    </w:p>
    <w:p w14:paraId="45392ACA" w14:textId="77777777" w:rsidR="009C2F28" w:rsidRPr="00570AB4" w:rsidRDefault="009C2F28" w:rsidP="009C2F28">
      <w:pPr>
        <w:numPr>
          <w:ilvl w:val="0"/>
          <w:numId w:val="13"/>
        </w:numPr>
        <w:tabs>
          <w:tab w:val="left" w:pos="1429"/>
        </w:tabs>
        <w:autoSpaceDE w:val="0"/>
        <w:ind w:left="1429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projekt organizacji ruchu – kompletna dokumentacja z punktu wymogów rozporządzenia, opracowana ze stosownym wyprzedzeniem dla robót planowanych w terenie (z uwzględnieniem całkowitego zamknięcia drogi lub długoterminowych zawężeń jezdni lub chodników),</w:t>
      </w:r>
    </w:p>
    <w:p w14:paraId="3D2B6F75" w14:textId="77777777" w:rsidR="009C2F28" w:rsidRPr="00570AB4" w:rsidRDefault="009C2F28" w:rsidP="009C2F28">
      <w:pPr>
        <w:numPr>
          <w:ilvl w:val="0"/>
          <w:numId w:val="13"/>
        </w:numPr>
        <w:tabs>
          <w:tab w:val="left" w:pos="1429"/>
        </w:tabs>
        <w:autoSpaceDE w:val="0"/>
        <w:ind w:left="1429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projekt uproszczony – dokumentacja dla robót których oznakowanie ustawione jest wyłącznie </w:t>
      </w:r>
      <w:r>
        <w:rPr>
          <w:rFonts w:eastAsia="TimesNewRomanPSMT-Identity-H"/>
          <w:color w:val="000000"/>
          <w:sz w:val="22"/>
          <w:szCs w:val="22"/>
        </w:rPr>
        <w:br/>
      </w:r>
      <w:r w:rsidRPr="00570AB4">
        <w:rPr>
          <w:rFonts w:eastAsia="TimesNewRomanPSMT-Identity-H"/>
          <w:color w:val="000000"/>
          <w:sz w:val="22"/>
          <w:szCs w:val="22"/>
        </w:rPr>
        <w:t>w czasie wykonywania czynności,</w:t>
      </w:r>
    </w:p>
    <w:p w14:paraId="465FC0CF" w14:textId="77777777" w:rsidR="009C2F28" w:rsidRPr="00570AB4" w:rsidRDefault="009C2F28" w:rsidP="009C2F28">
      <w:pPr>
        <w:numPr>
          <w:ilvl w:val="0"/>
          <w:numId w:val="13"/>
        </w:numPr>
        <w:tabs>
          <w:tab w:val="left" w:pos="1429"/>
        </w:tabs>
        <w:autoSpaceDE w:val="0"/>
        <w:ind w:left="1429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szkice sytuacyjne – opracowywane w nagłym przypadku wystąpienia awarii urządzenia w pasie drogowym, w wyniku której nastąpiło zagrożenie bezpieczeństwa ruchu drogowego lub możliwości wystąpienia szkód materialnych.</w:t>
      </w:r>
    </w:p>
    <w:p w14:paraId="62748EDA" w14:textId="77777777" w:rsidR="009C2F28" w:rsidRPr="00570AB4" w:rsidRDefault="009C2F28" w:rsidP="009C2F28">
      <w:pPr>
        <w:numPr>
          <w:ilvl w:val="0"/>
          <w:numId w:val="14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 xml:space="preserve">Zarządzający pasem drogowym do odbioru robót odtworzeniowych będzie wymagał przedstawienia przez Zajmującego pas drogowy </w:t>
      </w:r>
      <w:proofErr w:type="spellStart"/>
      <w:r w:rsidRPr="00570AB4">
        <w:rPr>
          <w:rFonts w:eastAsia="TimesNewRomanPSMT-Identity-H"/>
          <w:color w:val="000000"/>
          <w:sz w:val="22"/>
          <w:szCs w:val="22"/>
        </w:rPr>
        <w:t>labolatoryjnych</w:t>
      </w:r>
      <w:proofErr w:type="spellEnd"/>
      <w:r w:rsidRPr="00570AB4">
        <w:rPr>
          <w:rFonts w:eastAsia="TimesNewRomanPSMT-Identity-H"/>
          <w:color w:val="000000"/>
          <w:sz w:val="22"/>
          <w:szCs w:val="22"/>
        </w:rPr>
        <w:t xml:space="preserve"> badań nośności podłoża gruntowego, modułu odkształcenia, odtworzonej konstrukcji podbudowy mierzony płytą średnicy 30cm lub podbudowy nawierzchni, certyfikatów zgodności na zabudowane nowe materiały oraz terminu gwarancji na te roboty min. 3 lata, licząc od daty odbioru końcowego robót. Jeżeli nie można określić wskaźnika zagęszczenia, to należy sprawdzić wg normy BN-64/8931-02 stosunek modułu odkształcenia wtórnego E</w:t>
      </w:r>
      <w:r w:rsidRPr="00570AB4">
        <w:rPr>
          <w:rFonts w:eastAsia="TimesNewRomanPSMT-Identity-H"/>
          <w:color w:val="000000"/>
          <w:sz w:val="22"/>
          <w:szCs w:val="22"/>
          <w:vertAlign w:val="subscript"/>
        </w:rPr>
        <w:t>2</w:t>
      </w:r>
      <w:r w:rsidRPr="00570AB4">
        <w:rPr>
          <w:rFonts w:eastAsia="TimesNewRomanPSMT-Identity-H"/>
          <w:color w:val="000000"/>
          <w:sz w:val="22"/>
          <w:szCs w:val="22"/>
        </w:rPr>
        <w:t>, do pierwotnego E</w:t>
      </w:r>
      <w:r w:rsidRPr="00570AB4">
        <w:rPr>
          <w:rFonts w:eastAsia="TimesNewRomanPSMT-Identity-H"/>
          <w:color w:val="000000"/>
          <w:sz w:val="22"/>
          <w:szCs w:val="22"/>
          <w:vertAlign w:val="subscript"/>
        </w:rPr>
        <w:t>1</w:t>
      </w:r>
      <w:r w:rsidRPr="00570AB4">
        <w:rPr>
          <w:rFonts w:eastAsia="TimesNewRomanPSMT-Identity-H"/>
          <w:color w:val="000000"/>
          <w:sz w:val="22"/>
          <w:szCs w:val="22"/>
        </w:rPr>
        <w:t>, który nie powinien być większy niż 2,2, dla każdej warstwy konstrukcyjnej podbudowy.</w:t>
      </w:r>
    </w:p>
    <w:p w14:paraId="2C99303E" w14:textId="77777777" w:rsidR="009C2F28" w:rsidRPr="00570AB4" w:rsidRDefault="009C2F28" w:rsidP="009C2F28">
      <w:pPr>
        <w:numPr>
          <w:ilvl w:val="0"/>
          <w:numId w:val="15"/>
        </w:numPr>
        <w:tabs>
          <w:tab w:val="left" w:pos="720"/>
        </w:tabs>
        <w:autoSpaceDE w:val="0"/>
        <w:jc w:val="both"/>
        <w:rPr>
          <w:rFonts w:eastAsia="TimesNewRomanPSMT-Identity-H"/>
          <w:color w:val="000000"/>
          <w:sz w:val="22"/>
          <w:szCs w:val="22"/>
        </w:rPr>
      </w:pPr>
      <w:r w:rsidRPr="00570AB4">
        <w:rPr>
          <w:rFonts w:eastAsia="TimesNewRomanPSMT-Identity-H"/>
          <w:color w:val="000000"/>
          <w:sz w:val="22"/>
          <w:szCs w:val="22"/>
        </w:rPr>
        <w:t>Instrukcja będzie stanowiła załącznik do decyzji na zajęcie pasa drogowego na roboty w obrębie, którego będą one prowadzone, jako wytyczne do jego odtworzenia po zakończeniu robót.</w:t>
      </w:r>
    </w:p>
    <w:p w14:paraId="0BDC7558" w14:textId="77777777" w:rsidR="007D3022" w:rsidRDefault="00AD6736"/>
    <w:sectPr w:rsidR="007D3022" w:rsidSect="009C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904BC" w14:textId="77777777" w:rsidR="00AD6736" w:rsidRDefault="00AD6736" w:rsidP="009C2F28">
      <w:r>
        <w:separator/>
      </w:r>
    </w:p>
  </w:endnote>
  <w:endnote w:type="continuationSeparator" w:id="0">
    <w:p w14:paraId="516E5905" w14:textId="77777777" w:rsidR="00AD6736" w:rsidRDefault="00AD6736" w:rsidP="009C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-Identity-H">
    <w:altName w:val="Times New Roman"/>
    <w:charset w:val="EE"/>
    <w:family w:val="auto"/>
    <w:pitch w:val="default"/>
  </w:font>
  <w:font w:name="MonotypeCorsiva-Identity-H">
    <w:altName w:val="Calibri"/>
    <w:charset w:val="EE"/>
    <w:family w:val="auto"/>
    <w:pitch w:val="default"/>
  </w:font>
  <w:font w:name="Wingdings-Regular">
    <w:charset w:val="EE"/>
    <w:family w:val="auto"/>
    <w:pitch w:val="default"/>
  </w:font>
  <w:font w:name="Castellar-Identity-H">
    <w:charset w:val="EE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00CF" w14:textId="77777777" w:rsidR="00976095" w:rsidRDefault="00976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73407"/>
      <w:docPartObj>
        <w:docPartGallery w:val="Page Numbers (Bottom of Page)"/>
        <w:docPartUnique/>
      </w:docPartObj>
    </w:sdtPr>
    <w:sdtEndPr/>
    <w:sdtContent>
      <w:p w14:paraId="02D7C459" w14:textId="77777777" w:rsidR="009C2F28" w:rsidRDefault="009C2F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4380A" w14:textId="77777777" w:rsidR="009C2F28" w:rsidRDefault="009C2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42B7" w14:textId="77777777" w:rsidR="00976095" w:rsidRDefault="00976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FC14F" w14:textId="77777777" w:rsidR="00AD6736" w:rsidRDefault="00AD6736" w:rsidP="009C2F28">
      <w:r>
        <w:separator/>
      </w:r>
    </w:p>
  </w:footnote>
  <w:footnote w:type="continuationSeparator" w:id="0">
    <w:p w14:paraId="4A5C69BF" w14:textId="77777777" w:rsidR="00AD6736" w:rsidRDefault="00AD6736" w:rsidP="009C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5144" w14:textId="77777777" w:rsidR="00976095" w:rsidRDefault="00976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0"/>
      <w:gridCol w:w="7872"/>
      <w:gridCol w:w="1110"/>
    </w:tblGrid>
    <w:tr w:rsidR="009C2F28" w14:paraId="5AD8935D" w14:textId="77777777" w:rsidTr="00346D8C">
      <w:trPr>
        <w:cantSplit/>
        <w:trHeight w:val="746"/>
        <w:jc w:val="center"/>
      </w:trPr>
      <w:tc>
        <w:tcPr>
          <w:tcW w:w="550" w:type="pct"/>
          <w:shd w:val="clear" w:color="auto" w:fill="auto"/>
        </w:tcPr>
        <w:p w14:paraId="54725A71" w14:textId="77777777" w:rsidR="009C2F28" w:rsidRDefault="009C2F28" w:rsidP="009C2F28">
          <w:pPr>
            <w:pStyle w:val="Nagwek"/>
            <w:spacing w:line="268" w:lineRule="auto"/>
          </w:pPr>
          <w:r w:rsidRPr="00B707BA">
            <w:rPr>
              <w:noProof/>
              <w:kern w:val="0"/>
              <w:lang w:val="en-US"/>
            </w:rPr>
            <w:drawing>
              <wp:inline distT="0" distB="0" distL="0" distR="0" wp14:anchorId="64975995" wp14:editId="1D549C99">
                <wp:extent cx="514350" cy="666750"/>
                <wp:effectExtent l="0" t="0" r="0" b="0"/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14:paraId="42048A53" w14:textId="77777777" w:rsidR="009C2F28" w:rsidRDefault="009C2F28" w:rsidP="009C2F28">
          <w:pPr>
            <w:pStyle w:val="Nagwek"/>
            <w:spacing w:line="269" w:lineRule="auto"/>
            <w:jc w:val="center"/>
          </w:pPr>
          <w:r w:rsidRPr="00B707BA">
            <w:rPr>
              <w:rFonts w:ascii="Bookman Old Style" w:hAnsi="Bookman Old Style"/>
              <w:b/>
              <w:sz w:val="28"/>
              <w:szCs w:val="28"/>
            </w:rPr>
            <w:t>BURMISTRZ MIASTA I GMINY SZCZAWNICA</w:t>
          </w:r>
          <w:r w:rsidRPr="00B707BA">
            <w:rPr>
              <w:rFonts w:ascii="Bookman Old Style" w:hAnsi="Bookman Old Style"/>
              <w:b/>
              <w:sz w:val="28"/>
              <w:szCs w:val="28"/>
            </w:rPr>
            <w:br/>
          </w:r>
          <w:r w:rsidRPr="00B707BA">
            <w:rPr>
              <w:rFonts w:ascii="Bookman Old Style" w:hAnsi="Bookman Old Style"/>
            </w:rPr>
            <w:t xml:space="preserve">34-460 Szczawnica ul. </w:t>
          </w:r>
          <w:proofErr w:type="spellStart"/>
          <w:r w:rsidRPr="00B707BA">
            <w:rPr>
              <w:rFonts w:ascii="Bookman Old Style" w:hAnsi="Bookman Old Style"/>
            </w:rPr>
            <w:t>Szalaya</w:t>
          </w:r>
          <w:proofErr w:type="spellEnd"/>
          <w:r w:rsidRPr="00B707BA">
            <w:rPr>
              <w:rFonts w:ascii="Bookman Old Style" w:hAnsi="Bookman Old Style"/>
            </w:rPr>
            <w:t xml:space="preserve"> 103</w:t>
          </w:r>
        </w:p>
      </w:tc>
      <w:tc>
        <w:tcPr>
          <w:tcW w:w="550" w:type="pct"/>
          <w:shd w:val="clear" w:color="auto" w:fill="auto"/>
        </w:tcPr>
        <w:p w14:paraId="433B73DC" w14:textId="77777777" w:rsidR="009C2F28" w:rsidRDefault="009C2F28" w:rsidP="009C2F28">
          <w:pPr>
            <w:pStyle w:val="Nagwek"/>
            <w:spacing w:line="269" w:lineRule="auto"/>
          </w:pPr>
        </w:p>
      </w:tc>
    </w:tr>
  </w:tbl>
  <w:p w14:paraId="419A4BD3" w14:textId="77777777" w:rsidR="009C2F28" w:rsidRDefault="009C2F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24D3" w14:textId="77777777" w:rsidR="00976095" w:rsidRDefault="00976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8"/>
    <w:rsid w:val="0029014C"/>
    <w:rsid w:val="002D453D"/>
    <w:rsid w:val="003D4BF2"/>
    <w:rsid w:val="0044157F"/>
    <w:rsid w:val="004E7446"/>
    <w:rsid w:val="0059760B"/>
    <w:rsid w:val="006F7370"/>
    <w:rsid w:val="007505DF"/>
    <w:rsid w:val="00850642"/>
    <w:rsid w:val="008E486F"/>
    <w:rsid w:val="00976095"/>
    <w:rsid w:val="00984389"/>
    <w:rsid w:val="009C2F28"/>
    <w:rsid w:val="009D6B8F"/>
    <w:rsid w:val="00AB2D18"/>
    <w:rsid w:val="00AD6736"/>
    <w:rsid w:val="00B7155A"/>
    <w:rsid w:val="00BD313E"/>
    <w:rsid w:val="00D60E48"/>
    <w:rsid w:val="00E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F034"/>
  <w15:chartTrackingRefBased/>
  <w15:docId w15:val="{780B1645-EB29-44BE-BD51-984615F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F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F2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2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F2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8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86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</dc:creator>
  <cp:keywords/>
  <dc:description/>
  <cp:lastModifiedBy>dianad</cp:lastModifiedBy>
  <cp:revision>2</cp:revision>
  <cp:lastPrinted>2020-09-14T11:00:00Z</cp:lastPrinted>
  <dcterms:created xsi:type="dcterms:W3CDTF">2021-02-16T10:16:00Z</dcterms:created>
  <dcterms:modified xsi:type="dcterms:W3CDTF">2021-02-16T10:16:00Z</dcterms:modified>
</cp:coreProperties>
</file>