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1F4E0175" w:rsidR="00A923F5" w:rsidRPr="000E2505" w:rsidRDefault="00DA14D8" w:rsidP="000E2505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8065F3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6D3582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45E8786D" w14:textId="77777777" w:rsid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6D3582">
        <w:rPr>
          <w:rFonts w:ascii="Calibri" w:hAnsi="Calibri" w:cs="Calibri"/>
          <w:b/>
          <w:iCs/>
          <w:sz w:val="22"/>
          <w:szCs w:val="22"/>
          <w:lang w:eastAsia="en-US"/>
        </w:rPr>
        <w:t>na dostawę  urządzenia do oczyszczania gazów poreakcyjnych</w:t>
      </w:r>
    </w:p>
    <w:p w14:paraId="73A16BC4" w14:textId="77777777" w:rsid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F9140B" w14:textId="77777777" w:rsidR="006D3582" w:rsidRP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5315"/>
        <w:gridCol w:w="1701"/>
      </w:tblGrid>
      <w:tr w:rsidR="006D3582" w:rsidRPr="006D3582" w14:paraId="3DD4BD68" w14:textId="77777777" w:rsidTr="00C0027A">
        <w:trPr>
          <w:trHeight w:val="251"/>
        </w:trPr>
        <w:tc>
          <w:tcPr>
            <w:tcW w:w="568" w:type="dxa"/>
          </w:tcPr>
          <w:p w14:paraId="0260CDBC" w14:textId="12B03544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>Lp</w:t>
            </w:r>
            <w:r>
              <w:rPr>
                <w:rFonts w:ascii="Calibri" w:hAnsi="Calibri" w:cs="Calibri"/>
                <w:b/>
                <w:snapToGrid w:val="0"/>
                <w:lang w:val="en-GB"/>
              </w:rPr>
              <w:t>.</w:t>
            </w:r>
          </w:p>
          <w:p w14:paraId="56C15A7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2B992A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 xml:space="preserve">Nazwa parametru </w:t>
            </w:r>
          </w:p>
          <w:p w14:paraId="343B08D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</w:p>
        </w:tc>
        <w:tc>
          <w:tcPr>
            <w:tcW w:w="5315" w:type="dxa"/>
          </w:tcPr>
          <w:p w14:paraId="57CE546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 xml:space="preserve">Wymaganie </w:t>
            </w:r>
          </w:p>
        </w:tc>
        <w:tc>
          <w:tcPr>
            <w:tcW w:w="1701" w:type="dxa"/>
          </w:tcPr>
          <w:p w14:paraId="2189C845" w14:textId="08D9E37E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</w:rPr>
            </w:pPr>
            <w:r w:rsidRPr="006D3582">
              <w:rPr>
                <w:rFonts w:ascii="Calibri" w:hAnsi="Calibri" w:cs="Calibri"/>
                <w:b/>
                <w:snapToGrid w:val="0"/>
              </w:rPr>
              <w:t xml:space="preserve">Kolumna do wypełnienia przez </w:t>
            </w:r>
            <w:r>
              <w:rPr>
                <w:rFonts w:ascii="Calibri" w:hAnsi="Calibri" w:cs="Calibri"/>
                <w:b/>
                <w:snapToGrid w:val="0"/>
              </w:rPr>
              <w:t>W</w:t>
            </w:r>
            <w:r w:rsidRPr="006D3582">
              <w:rPr>
                <w:rFonts w:ascii="Calibri" w:hAnsi="Calibri" w:cs="Calibri"/>
                <w:b/>
                <w:snapToGrid w:val="0"/>
              </w:rPr>
              <w:t>ykonawcę</w:t>
            </w:r>
          </w:p>
        </w:tc>
      </w:tr>
      <w:tr w:rsidR="006D3582" w:rsidRPr="006D3582" w14:paraId="75C9391F" w14:textId="77777777" w:rsidTr="00C0027A">
        <w:trPr>
          <w:trHeight w:val="251"/>
        </w:trPr>
        <w:tc>
          <w:tcPr>
            <w:tcW w:w="568" w:type="dxa"/>
          </w:tcPr>
          <w:p w14:paraId="25731D6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4C3C552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Typ</w:t>
            </w:r>
          </w:p>
        </w:tc>
        <w:tc>
          <w:tcPr>
            <w:tcW w:w="5315" w:type="dxa"/>
          </w:tcPr>
          <w:p w14:paraId="419BBDB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0EC9FBB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 xml:space="preserve">Podać </w:t>
            </w:r>
          </w:p>
        </w:tc>
      </w:tr>
      <w:tr w:rsidR="006D3582" w:rsidRPr="006D3582" w14:paraId="38908138" w14:textId="77777777" w:rsidTr="00C0027A">
        <w:trPr>
          <w:trHeight w:val="251"/>
        </w:trPr>
        <w:tc>
          <w:tcPr>
            <w:tcW w:w="568" w:type="dxa"/>
          </w:tcPr>
          <w:p w14:paraId="43A13E3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1BDCA9D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Producent</w:t>
            </w:r>
          </w:p>
        </w:tc>
        <w:tc>
          <w:tcPr>
            <w:tcW w:w="5315" w:type="dxa"/>
          </w:tcPr>
          <w:p w14:paraId="7B6B3E4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5C40AF4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 xml:space="preserve">Podać </w:t>
            </w:r>
          </w:p>
        </w:tc>
      </w:tr>
      <w:tr w:rsidR="006D3582" w:rsidRPr="006D3582" w14:paraId="6770D7DE" w14:textId="77777777" w:rsidTr="00C0027A">
        <w:trPr>
          <w:trHeight w:val="251"/>
        </w:trPr>
        <w:tc>
          <w:tcPr>
            <w:tcW w:w="568" w:type="dxa"/>
          </w:tcPr>
          <w:p w14:paraId="1ABA200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716C835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Kraj pochodzenia</w:t>
            </w:r>
          </w:p>
        </w:tc>
        <w:tc>
          <w:tcPr>
            <w:tcW w:w="5315" w:type="dxa"/>
          </w:tcPr>
          <w:p w14:paraId="6AF77AA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3329D8D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Podać</w:t>
            </w:r>
          </w:p>
        </w:tc>
      </w:tr>
      <w:tr w:rsidR="006D3582" w:rsidRPr="006D3582" w14:paraId="080B9AA3" w14:textId="77777777" w:rsidTr="00C0027A">
        <w:trPr>
          <w:trHeight w:val="251"/>
        </w:trPr>
        <w:tc>
          <w:tcPr>
            <w:tcW w:w="568" w:type="dxa"/>
          </w:tcPr>
          <w:p w14:paraId="6F16541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46A4B42C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color w:val="000000"/>
                <w:lang w:val="en-US"/>
              </w:rPr>
              <w:t>Rok produkcji</w:t>
            </w:r>
          </w:p>
        </w:tc>
        <w:tc>
          <w:tcPr>
            <w:tcW w:w="5315" w:type="dxa"/>
          </w:tcPr>
          <w:p w14:paraId="37A0D04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color w:val="00000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color w:val="000000"/>
                <w:lang w:val="en-GB"/>
              </w:rPr>
              <w:t>2022</w:t>
            </w:r>
          </w:p>
        </w:tc>
        <w:tc>
          <w:tcPr>
            <w:tcW w:w="1701" w:type="dxa"/>
          </w:tcPr>
          <w:p w14:paraId="2F631AE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Potwierdzić</w:t>
            </w:r>
          </w:p>
        </w:tc>
      </w:tr>
      <w:tr w:rsidR="006D3582" w:rsidRPr="006D3582" w14:paraId="0E15D87C" w14:textId="77777777" w:rsidTr="00C0027A">
        <w:trPr>
          <w:trHeight w:val="251"/>
        </w:trPr>
        <w:tc>
          <w:tcPr>
            <w:tcW w:w="568" w:type="dxa"/>
          </w:tcPr>
          <w:p w14:paraId="403811B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420C83A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Główne zastosowanie</w:t>
            </w:r>
          </w:p>
        </w:tc>
        <w:tc>
          <w:tcPr>
            <w:tcW w:w="5315" w:type="dxa"/>
          </w:tcPr>
          <w:p w14:paraId="7523864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Urządzenie do oczyszczania gazów poreakcyjnych</w:t>
            </w:r>
          </w:p>
        </w:tc>
        <w:tc>
          <w:tcPr>
            <w:tcW w:w="1701" w:type="dxa"/>
          </w:tcPr>
          <w:p w14:paraId="6EE2CE6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6960F8D9" w14:textId="77777777" w:rsidTr="00C0027A">
        <w:trPr>
          <w:trHeight w:val="251"/>
        </w:trPr>
        <w:tc>
          <w:tcPr>
            <w:tcW w:w="568" w:type="dxa"/>
            <w:vMerge w:val="restart"/>
          </w:tcPr>
          <w:p w14:paraId="771EB90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70AD334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Podstawowe wymagania  </w:t>
            </w:r>
          </w:p>
        </w:tc>
        <w:tc>
          <w:tcPr>
            <w:tcW w:w="5315" w:type="dxa"/>
          </w:tcPr>
          <w:p w14:paraId="3F95472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lang w:val="en-US"/>
              </w:rPr>
              <w:t>6.1.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System oczyszczania gazów poreakcyjnych z urządzenia CVD z wymienną kolumną z suchym absorberem </w:t>
            </w:r>
          </w:p>
        </w:tc>
        <w:tc>
          <w:tcPr>
            <w:tcW w:w="1701" w:type="dxa"/>
          </w:tcPr>
          <w:p w14:paraId="5CD819C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2A0C2091" w14:textId="77777777" w:rsidTr="00C0027A">
        <w:trPr>
          <w:trHeight w:val="251"/>
        </w:trPr>
        <w:tc>
          <w:tcPr>
            <w:tcW w:w="568" w:type="dxa"/>
            <w:vMerge/>
          </w:tcPr>
          <w:p w14:paraId="483780B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1451A4D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B2D234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6.2. Oczyszczanie gazów: SiHCl3, SiH4</w:t>
            </w:r>
          </w:p>
        </w:tc>
        <w:tc>
          <w:tcPr>
            <w:tcW w:w="1701" w:type="dxa"/>
          </w:tcPr>
          <w:p w14:paraId="2DAEE82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0B202E1C" w14:textId="77777777" w:rsidTr="00C0027A">
        <w:trPr>
          <w:trHeight w:val="251"/>
        </w:trPr>
        <w:tc>
          <w:tcPr>
            <w:tcW w:w="568" w:type="dxa"/>
            <w:vMerge/>
          </w:tcPr>
          <w:p w14:paraId="2E4A27B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6DE1F3B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050813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6.3. Skuteczność minimum 99,9 %; </w:t>
            </w:r>
          </w:p>
        </w:tc>
        <w:tc>
          <w:tcPr>
            <w:tcW w:w="1701" w:type="dxa"/>
          </w:tcPr>
          <w:p w14:paraId="7B79CFA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4C5AC6A9" w14:textId="77777777" w:rsidTr="00C0027A">
        <w:trPr>
          <w:trHeight w:val="251"/>
        </w:trPr>
        <w:tc>
          <w:tcPr>
            <w:tcW w:w="568" w:type="dxa"/>
            <w:vMerge/>
          </w:tcPr>
          <w:p w14:paraId="6C95A62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4136ED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891390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lang w:val="en-US"/>
              </w:rPr>
              <w:t>6.4.</w:t>
            </w:r>
            <w:r w:rsidRPr="006D3582">
              <w:t xml:space="preserve"> D</w:t>
            </w:r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opuszczalny przepływ objętościowy nie mniejszy niż 250 slm </w:t>
            </w:r>
          </w:p>
        </w:tc>
        <w:tc>
          <w:tcPr>
            <w:tcW w:w="1701" w:type="dxa"/>
          </w:tcPr>
          <w:p w14:paraId="364691F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1C8B1136" w14:textId="77777777" w:rsidTr="00C0027A">
        <w:trPr>
          <w:trHeight w:val="529"/>
        </w:trPr>
        <w:tc>
          <w:tcPr>
            <w:tcW w:w="568" w:type="dxa"/>
            <w:vMerge/>
          </w:tcPr>
          <w:p w14:paraId="51842CF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56BEDFD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39D431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6.5. Złącze wlotu i wylotu gazów zawór kulowy DN40 ISO-KF</w:t>
            </w:r>
          </w:p>
        </w:tc>
        <w:tc>
          <w:tcPr>
            <w:tcW w:w="1701" w:type="dxa"/>
          </w:tcPr>
          <w:p w14:paraId="7322E3D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61E2A812" w14:textId="77777777" w:rsidTr="00C0027A">
        <w:trPr>
          <w:trHeight w:val="529"/>
        </w:trPr>
        <w:tc>
          <w:tcPr>
            <w:tcW w:w="568" w:type="dxa"/>
            <w:vMerge/>
          </w:tcPr>
          <w:p w14:paraId="1E200C5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E859F7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743BE3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6.6. Maksymalny spadek ciśnienia – 500 Pa</w:t>
            </w:r>
          </w:p>
        </w:tc>
        <w:tc>
          <w:tcPr>
            <w:tcW w:w="1701" w:type="dxa"/>
          </w:tcPr>
          <w:p w14:paraId="7CE46AD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5B4FBDF0" w14:textId="77777777" w:rsidTr="00C0027A">
        <w:trPr>
          <w:trHeight w:val="529"/>
        </w:trPr>
        <w:tc>
          <w:tcPr>
            <w:tcW w:w="568" w:type="dxa"/>
            <w:vMerge/>
          </w:tcPr>
          <w:p w14:paraId="4F5693C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7701FF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3865AE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6.7. Wewnętrzny układ gazowy wykonany ze stali odpornej na korozję 316L (rury i giętkie tuby)</w:t>
            </w:r>
          </w:p>
        </w:tc>
        <w:tc>
          <w:tcPr>
            <w:tcW w:w="1701" w:type="dxa"/>
          </w:tcPr>
          <w:p w14:paraId="445A67D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768AFC4F" w14:textId="77777777" w:rsidTr="00C0027A">
        <w:trPr>
          <w:trHeight w:val="529"/>
        </w:trPr>
        <w:tc>
          <w:tcPr>
            <w:tcW w:w="568" w:type="dxa"/>
            <w:vMerge/>
          </w:tcPr>
          <w:p w14:paraId="1D36778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D9554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4D6E0F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6.8.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</w:rPr>
              <w:t xml:space="preserve">Wewnętrzny bypass z zaworem bezpieczeństwa otwieranym automatycznie przy przekroczeniu ciśnienia w układzie gazowym oczyszczalnika </w:t>
            </w:r>
          </w:p>
        </w:tc>
        <w:tc>
          <w:tcPr>
            <w:tcW w:w="1701" w:type="dxa"/>
          </w:tcPr>
          <w:p w14:paraId="7281BF0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4FB720F5" w14:textId="77777777" w:rsidTr="00C0027A">
        <w:trPr>
          <w:trHeight w:val="529"/>
        </w:trPr>
        <w:tc>
          <w:tcPr>
            <w:tcW w:w="568" w:type="dxa"/>
            <w:vMerge/>
          </w:tcPr>
          <w:p w14:paraId="4CFE518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538A27A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620A8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6.9. Zestaw regulatorów ciśnienia, przepływomierzy oraz zaworów kulowych umożliwiający automatyczne wykonywanie (kontrola poprzez PLC) pompowanie gazów w kolumnie absorbera oraz w całym systemie gazowym</w:t>
            </w:r>
          </w:p>
        </w:tc>
        <w:tc>
          <w:tcPr>
            <w:tcW w:w="1701" w:type="dxa"/>
          </w:tcPr>
          <w:p w14:paraId="5DEC5CF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0ECCB8E2" w14:textId="77777777" w:rsidTr="00C0027A">
        <w:trPr>
          <w:trHeight w:val="529"/>
        </w:trPr>
        <w:tc>
          <w:tcPr>
            <w:tcW w:w="568" w:type="dxa"/>
            <w:vMerge/>
          </w:tcPr>
          <w:p w14:paraId="3F783DC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02E7E9C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5FFED8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6.10.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</w:rPr>
              <w:t xml:space="preserve">Zintegrowany system czujników do monitorowania stanu urządzeń, zapełnienia kolumny, stanu gazów wylotowych dla zapewnienia bezpieczeństwa, a także elektrochemiczny czujnik gazu do wykrycia stanu zużycia absorbera </w:t>
            </w:r>
          </w:p>
        </w:tc>
        <w:tc>
          <w:tcPr>
            <w:tcW w:w="1701" w:type="dxa"/>
          </w:tcPr>
          <w:p w14:paraId="164922E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6A41D8AA" w14:textId="77777777" w:rsidTr="00C0027A">
        <w:trPr>
          <w:trHeight w:val="425"/>
        </w:trPr>
        <w:tc>
          <w:tcPr>
            <w:tcW w:w="568" w:type="dxa"/>
          </w:tcPr>
          <w:p w14:paraId="5EDD7C1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7.</w:t>
            </w:r>
          </w:p>
        </w:tc>
        <w:tc>
          <w:tcPr>
            <w:tcW w:w="2411" w:type="dxa"/>
          </w:tcPr>
          <w:p w14:paraId="71EE247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Obudowa</w:t>
            </w:r>
          </w:p>
        </w:tc>
        <w:tc>
          <w:tcPr>
            <w:tcW w:w="5315" w:type="dxa"/>
          </w:tcPr>
          <w:p w14:paraId="57FAE112" w14:textId="0CF83D4F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Zabezpieczona antykorozyjnie z możliwością instalowania urządzenia w laboratorium </w:t>
            </w:r>
          </w:p>
        </w:tc>
        <w:tc>
          <w:tcPr>
            <w:tcW w:w="1701" w:type="dxa"/>
          </w:tcPr>
          <w:p w14:paraId="4E994D9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3C590B5E" w14:textId="77777777" w:rsidTr="00C0027A">
        <w:trPr>
          <w:trHeight w:val="425"/>
        </w:trPr>
        <w:tc>
          <w:tcPr>
            <w:tcW w:w="568" w:type="dxa"/>
            <w:vMerge w:val="restart"/>
          </w:tcPr>
          <w:p w14:paraId="7B21F0E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</w:t>
            </w:r>
          </w:p>
        </w:tc>
        <w:tc>
          <w:tcPr>
            <w:tcW w:w="2411" w:type="dxa"/>
            <w:vMerge w:val="restart"/>
          </w:tcPr>
          <w:p w14:paraId="6023FDD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Kolumna absorbera</w:t>
            </w:r>
          </w:p>
        </w:tc>
        <w:tc>
          <w:tcPr>
            <w:tcW w:w="5315" w:type="dxa"/>
          </w:tcPr>
          <w:p w14:paraId="5FCE5A8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8.1. Konstrukcja ze stali odpornej na korozję</w:t>
            </w:r>
          </w:p>
        </w:tc>
        <w:tc>
          <w:tcPr>
            <w:tcW w:w="1701" w:type="dxa"/>
          </w:tcPr>
          <w:p w14:paraId="0A74C29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23685B24" w14:textId="77777777" w:rsidTr="00C0027A">
        <w:trPr>
          <w:trHeight w:val="425"/>
        </w:trPr>
        <w:tc>
          <w:tcPr>
            <w:tcW w:w="568" w:type="dxa"/>
            <w:vMerge/>
          </w:tcPr>
          <w:p w14:paraId="3F15F50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867071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3887BA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8.2. Zintegrowane kółka przy podstawie kolumny ułatwiające wymianę</w:t>
            </w:r>
          </w:p>
        </w:tc>
        <w:tc>
          <w:tcPr>
            <w:tcW w:w="1701" w:type="dxa"/>
          </w:tcPr>
          <w:p w14:paraId="15FCEEF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48B9FE5B" w14:textId="77777777" w:rsidTr="006D3582">
        <w:trPr>
          <w:trHeight w:val="274"/>
        </w:trPr>
        <w:tc>
          <w:tcPr>
            <w:tcW w:w="568" w:type="dxa"/>
          </w:tcPr>
          <w:p w14:paraId="757D2CA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lastRenderedPageBreak/>
              <w:t>9.</w:t>
            </w:r>
          </w:p>
        </w:tc>
        <w:tc>
          <w:tcPr>
            <w:tcW w:w="2411" w:type="dxa"/>
          </w:tcPr>
          <w:p w14:paraId="5E26BB7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Szkolenie </w:t>
            </w:r>
          </w:p>
          <w:p w14:paraId="0EF2921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</w:p>
        </w:tc>
        <w:tc>
          <w:tcPr>
            <w:tcW w:w="5315" w:type="dxa"/>
          </w:tcPr>
          <w:p w14:paraId="0ADAFEE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Szkolenie dla 2 osób po instalacji urządzenia w miejscu instalacji</w:t>
            </w:r>
          </w:p>
        </w:tc>
        <w:tc>
          <w:tcPr>
            <w:tcW w:w="1701" w:type="dxa"/>
          </w:tcPr>
          <w:p w14:paraId="0E71C48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  <w:p w14:paraId="3D8C418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</w:tr>
      <w:tr w:rsidR="006D3582" w:rsidRPr="006D3582" w14:paraId="79566779" w14:textId="77777777" w:rsidTr="00C0027A">
        <w:trPr>
          <w:trHeight w:val="251"/>
        </w:trPr>
        <w:tc>
          <w:tcPr>
            <w:tcW w:w="568" w:type="dxa"/>
          </w:tcPr>
          <w:p w14:paraId="225FB2A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10.</w:t>
            </w:r>
          </w:p>
        </w:tc>
        <w:tc>
          <w:tcPr>
            <w:tcW w:w="2411" w:type="dxa"/>
          </w:tcPr>
          <w:p w14:paraId="4C54FF4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Instrukcja obsługi, oprogramowanie, dokumentacja</w:t>
            </w:r>
          </w:p>
        </w:tc>
        <w:tc>
          <w:tcPr>
            <w:tcW w:w="5315" w:type="dxa"/>
          </w:tcPr>
          <w:p w14:paraId="73D29F2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7231BE1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3AC75B98" w14:textId="77777777" w:rsidTr="006D3582">
        <w:trPr>
          <w:trHeight w:val="613"/>
        </w:trPr>
        <w:tc>
          <w:tcPr>
            <w:tcW w:w="568" w:type="dxa"/>
          </w:tcPr>
          <w:p w14:paraId="02CC753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11.</w:t>
            </w:r>
          </w:p>
        </w:tc>
        <w:tc>
          <w:tcPr>
            <w:tcW w:w="2411" w:type="dxa"/>
          </w:tcPr>
          <w:p w14:paraId="533C29ED" w14:textId="0D08CAD5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Dostępność części zamiennych</w:t>
            </w:r>
          </w:p>
        </w:tc>
        <w:tc>
          <w:tcPr>
            <w:tcW w:w="5315" w:type="dxa"/>
          </w:tcPr>
          <w:p w14:paraId="4621457C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Możliwość zakupu zamiennej kolumny absorbera w ciągu kolejnych 5 lat</w:t>
            </w:r>
          </w:p>
        </w:tc>
        <w:tc>
          <w:tcPr>
            <w:tcW w:w="1701" w:type="dxa"/>
          </w:tcPr>
          <w:p w14:paraId="05737E7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2B36E2A4" w14:textId="77777777" w:rsidTr="00C0027A">
        <w:trPr>
          <w:trHeight w:val="251"/>
        </w:trPr>
        <w:tc>
          <w:tcPr>
            <w:tcW w:w="568" w:type="dxa"/>
          </w:tcPr>
          <w:p w14:paraId="0D11B12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12.</w:t>
            </w:r>
          </w:p>
        </w:tc>
        <w:tc>
          <w:tcPr>
            <w:tcW w:w="2411" w:type="dxa"/>
          </w:tcPr>
          <w:p w14:paraId="7AC71F2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Serwis pogwarancyjny  </w:t>
            </w:r>
          </w:p>
          <w:p w14:paraId="4404100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6AE716E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Zapewniony w ciągu 7 lat od daty podpisania protokołu odbioru </w:t>
            </w:r>
          </w:p>
        </w:tc>
        <w:tc>
          <w:tcPr>
            <w:tcW w:w="1701" w:type="dxa"/>
          </w:tcPr>
          <w:p w14:paraId="3E67B2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</w:tbl>
    <w:p w14:paraId="2492FEF9" w14:textId="77777777" w:rsidR="00473B87" w:rsidRDefault="00473B87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54BDB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FFE4C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BA71B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A98D9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AA9DD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76513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15A9F4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25E33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AE15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F2B19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93236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C104F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E7A76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0E256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E04D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CB66F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3A15E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6728A4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8F00B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1BE80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0B26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E7ED5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87C0D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09544A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08F8CE2" w:rsidR="00185E3A" w:rsidRPr="008065F3" w:rsidRDefault="000230BB" w:rsidP="00A7463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A7463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urządzenia do oczyszczania gazów poreakcyjnych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D7EE5D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4C77521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60B7F1A3" w:rsidR="00185E3A" w:rsidRPr="000071AC" w:rsidRDefault="003F1E1D" w:rsidP="003E74FF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art. 108 ust. 1  ustawy Pzp</w:t>
      </w: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8065F3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071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7 do SWZ –Wykaz wykonanych dostaw</w:t>
      </w:r>
      <w:r w:rsidRPr="002961DB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8065F3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8065F3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8065F3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8065F3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8065F3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  WYKONANYCH   DOSTAW</w:t>
      </w:r>
    </w:p>
    <w:p w14:paraId="1E3FFD8D" w14:textId="24D6F9F3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 xml:space="preserve">  dostawę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urządzenia do oczyszczania gazów poreakcyjnych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D3582" w:rsidRPr="008065F3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8065F3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D3582" w:rsidRPr="008065F3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D3582" w:rsidRPr="008065F3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065F3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8065F3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8065F3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8065F3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84F261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754521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0F352C3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Default="003E74FF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8065F3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8  do SWZ</w:t>
      </w:r>
    </w:p>
    <w:p w14:paraId="43DC71D4" w14:textId="77777777" w:rsidR="006D3582" w:rsidRPr="008065F3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8065F3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8065F3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8065F3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8065F3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8065F3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8065F3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8065F3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8065F3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8065F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8065F3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8065F3" w:rsidRDefault="006D3582" w:rsidP="006D3582">
      <w:p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8065F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AD44D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8065F3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8065F3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8065F3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8065F3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5525F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01677666" w14:textId="77777777" w:rsidR="006D3582" w:rsidRPr="005525FD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5525FD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794D" w14:textId="77777777" w:rsidR="0009544A" w:rsidRDefault="0009544A">
      <w:r>
        <w:separator/>
      </w:r>
    </w:p>
  </w:endnote>
  <w:endnote w:type="continuationSeparator" w:id="0">
    <w:p w14:paraId="203D379F" w14:textId="77777777" w:rsidR="0009544A" w:rsidRDefault="0009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0A39B0" w:rsidRDefault="000A3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F3C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5EB1741F" w:rsidR="000A39B0" w:rsidRPr="00C04091" w:rsidRDefault="000A39B0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5E56CC">
      <w:rPr>
        <w:rFonts w:asciiTheme="minorHAnsi" w:hAnsiTheme="minorHAnsi" w:cstheme="minorHAnsi"/>
        <w:sz w:val="22"/>
        <w:szCs w:val="22"/>
      </w:rPr>
      <w:t>38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A9FFDDB" w:rsidR="000A39B0" w:rsidRPr="009A52DD" w:rsidRDefault="000A39B0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5E56CC">
      <w:rPr>
        <w:rFonts w:asciiTheme="minorHAnsi" w:hAnsiTheme="minorHAnsi" w:cstheme="minorHAnsi"/>
        <w:sz w:val="22"/>
        <w:szCs w:val="22"/>
      </w:rPr>
      <w:t>38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0A39B0" w:rsidRDefault="000A3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6F3E" w14:textId="77777777" w:rsidR="0009544A" w:rsidRDefault="0009544A">
      <w:r>
        <w:separator/>
      </w:r>
    </w:p>
  </w:footnote>
  <w:footnote w:type="continuationSeparator" w:id="0">
    <w:p w14:paraId="70A07BF0" w14:textId="77777777" w:rsidR="0009544A" w:rsidRDefault="0009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7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6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7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4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9"/>
  </w:num>
  <w:num w:numId="10">
    <w:abstractNumId w:val="26"/>
  </w:num>
  <w:num w:numId="11">
    <w:abstractNumId w:val="29"/>
  </w:num>
  <w:num w:numId="12">
    <w:abstractNumId w:val="43"/>
  </w:num>
  <w:num w:numId="13">
    <w:abstractNumId w:val="51"/>
  </w:num>
  <w:num w:numId="14">
    <w:abstractNumId w:val="74"/>
  </w:num>
  <w:num w:numId="15">
    <w:abstractNumId w:val="41"/>
  </w:num>
  <w:num w:numId="16">
    <w:abstractNumId w:val="85"/>
  </w:num>
  <w:num w:numId="17">
    <w:abstractNumId w:val="67"/>
  </w:num>
  <w:num w:numId="18">
    <w:abstractNumId w:val="91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4"/>
  </w:num>
  <w:num w:numId="24">
    <w:abstractNumId w:val="16"/>
  </w:num>
  <w:num w:numId="25">
    <w:abstractNumId w:val="37"/>
  </w:num>
  <w:num w:numId="26">
    <w:abstractNumId w:val="45"/>
  </w:num>
  <w:num w:numId="27">
    <w:abstractNumId w:val="23"/>
  </w:num>
  <w:num w:numId="28">
    <w:abstractNumId w:val="78"/>
  </w:num>
  <w:num w:numId="29">
    <w:abstractNumId w:val="90"/>
  </w:num>
  <w:num w:numId="30">
    <w:abstractNumId w:val="87"/>
  </w:num>
  <w:num w:numId="31">
    <w:abstractNumId w:val="47"/>
  </w:num>
  <w:num w:numId="32">
    <w:abstractNumId w:val="36"/>
  </w:num>
  <w:num w:numId="33">
    <w:abstractNumId w:val="58"/>
  </w:num>
  <w:num w:numId="34">
    <w:abstractNumId w:val="17"/>
  </w:num>
  <w:num w:numId="35">
    <w:abstractNumId w:val="54"/>
  </w:num>
  <w:num w:numId="36">
    <w:abstractNumId w:val="75"/>
  </w:num>
  <w:num w:numId="37">
    <w:abstractNumId w:val="83"/>
  </w:num>
  <w:num w:numId="38">
    <w:abstractNumId w:val="22"/>
  </w:num>
  <w:num w:numId="39">
    <w:abstractNumId w:val="71"/>
  </w:num>
  <w:num w:numId="40">
    <w:abstractNumId w:val="52"/>
  </w:num>
  <w:num w:numId="41">
    <w:abstractNumId w:val="69"/>
  </w:num>
  <w:num w:numId="42">
    <w:abstractNumId w:val="82"/>
  </w:num>
  <w:num w:numId="43">
    <w:abstractNumId w:val="80"/>
  </w:num>
  <w:num w:numId="44">
    <w:abstractNumId w:val="73"/>
  </w:num>
  <w:num w:numId="45">
    <w:abstractNumId w:val="77"/>
  </w:num>
  <w:num w:numId="46">
    <w:abstractNumId w:val="92"/>
  </w:num>
  <w:num w:numId="47">
    <w:abstractNumId w:val="40"/>
  </w:num>
  <w:num w:numId="48">
    <w:abstractNumId w:val="57"/>
  </w:num>
  <w:num w:numId="49">
    <w:abstractNumId w:val="62"/>
  </w:num>
  <w:num w:numId="50">
    <w:abstractNumId w:val="50"/>
  </w:num>
  <w:num w:numId="51">
    <w:abstractNumId w:val="64"/>
  </w:num>
  <w:num w:numId="52">
    <w:abstractNumId w:val="28"/>
  </w:num>
  <w:num w:numId="53">
    <w:abstractNumId w:val="86"/>
  </w:num>
  <w:num w:numId="54">
    <w:abstractNumId w:val="21"/>
  </w:num>
  <w:num w:numId="55">
    <w:abstractNumId w:val="30"/>
  </w:num>
  <w:num w:numId="56">
    <w:abstractNumId w:val="93"/>
  </w:num>
  <w:num w:numId="57">
    <w:abstractNumId w:val="48"/>
  </w:num>
  <w:num w:numId="58">
    <w:abstractNumId w:val="55"/>
  </w:num>
  <w:num w:numId="59">
    <w:abstractNumId w:val="66"/>
  </w:num>
  <w:num w:numId="60">
    <w:abstractNumId w:val="46"/>
  </w:num>
  <w:num w:numId="61">
    <w:abstractNumId w:val="44"/>
  </w:num>
  <w:num w:numId="62">
    <w:abstractNumId w:val="31"/>
  </w:num>
  <w:num w:numId="63">
    <w:abstractNumId w:val="63"/>
  </w:num>
  <w:num w:numId="64">
    <w:abstractNumId w:val="76"/>
  </w:num>
  <w:num w:numId="65">
    <w:abstractNumId w:val="56"/>
  </w:num>
  <w:num w:numId="66">
    <w:abstractNumId w:val="88"/>
  </w:num>
  <w:num w:numId="67">
    <w:abstractNumId w:val="33"/>
  </w:num>
  <w:num w:numId="68">
    <w:abstractNumId w:val="72"/>
  </w:num>
  <w:num w:numId="69">
    <w:abstractNumId w:val="49"/>
  </w:num>
  <w:num w:numId="70">
    <w:abstractNumId w:val="25"/>
  </w:num>
  <w:num w:numId="71">
    <w:abstractNumId w:val="68"/>
  </w:num>
  <w:num w:numId="72">
    <w:abstractNumId w:val="32"/>
  </w:num>
  <w:num w:numId="73">
    <w:abstractNumId w:val="59"/>
  </w:num>
  <w:num w:numId="74">
    <w:abstractNumId w:val="81"/>
  </w:num>
  <w:num w:numId="75">
    <w:abstractNumId w:val="65"/>
  </w:num>
  <w:num w:numId="76">
    <w:abstractNumId w:val="60"/>
  </w:num>
  <w:num w:numId="77">
    <w:abstractNumId w:val="61"/>
  </w:num>
  <w:num w:numId="78">
    <w:abstractNumId w:val="79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544A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0F3C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6B1-6CD7-425D-B690-BE395AE5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2022-04-27T12:04:00Z</cp:lastPrinted>
  <dcterms:created xsi:type="dcterms:W3CDTF">2022-04-27T12:06:00Z</dcterms:created>
  <dcterms:modified xsi:type="dcterms:W3CDTF">2022-04-27T12:06:00Z</dcterms:modified>
</cp:coreProperties>
</file>