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77777777" w:rsidR="00194987" w:rsidRPr="00EA6FE9" w:rsidRDefault="00194987" w:rsidP="000212DD">
      <w:pPr>
        <w:spacing w:after="120" w:line="360" w:lineRule="auto"/>
        <w:jc w:val="right"/>
        <w:rPr>
          <w:sz w:val="22"/>
        </w:rPr>
      </w:pP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77777777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 POWIATU 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A6FE9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 fax (42) 719 08 16</w:t>
            </w:r>
          </w:p>
        </w:tc>
      </w:tr>
      <w:tr w:rsidR="00194987" w:rsidRPr="00EA6FE9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77777777" w:rsidR="00194987" w:rsidRPr="00EA6FE9" w:rsidRDefault="00194987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77F6B6F1" w14:textId="35893EE8" w:rsidR="00996807" w:rsidRPr="005F4A45" w:rsidRDefault="00A8243D" w:rsidP="00F506A6">
      <w:pPr>
        <w:spacing w:after="120" w:line="360" w:lineRule="auto"/>
        <w:jc w:val="right"/>
        <w:rPr>
          <w:sz w:val="22"/>
        </w:rPr>
      </w:pPr>
      <w:r w:rsidRPr="005F4A45">
        <w:rPr>
          <w:sz w:val="22"/>
        </w:rPr>
        <w:t>Zgierz, dn</w:t>
      </w:r>
      <w:r w:rsidR="00D765AF" w:rsidRPr="005F4A45">
        <w:rPr>
          <w:sz w:val="22"/>
        </w:rPr>
        <w:t>ia</w:t>
      </w:r>
      <w:r w:rsidR="00946642" w:rsidRPr="005F4A45">
        <w:rPr>
          <w:sz w:val="22"/>
        </w:rPr>
        <w:t xml:space="preserve"> </w:t>
      </w:r>
      <w:r w:rsidR="003F7728">
        <w:rPr>
          <w:sz w:val="22"/>
        </w:rPr>
        <w:t>22</w:t>
      </w:r>
      <w:r w:rsidR="006827EB">
        <w:rPr>
          <w:sz w:val="22"/>
        </w:rPr>
        <w:t>.0</w:t>
      </w:r>
      <w:r w:rsidR="00F506A6">
        <w:rPr>
          <w:sz w:val="22"/>
        </w:rPr>
        <w:t>6</w:t>
      </w:r>
      <w:r w:rsidR="006827EB">
        <w:rPr>
          <w:sz w:val="22"/>
        </w:rPr>
        <w:t>.2021 r.</w:t>
      </w:r>
    </w:p>
    <w:p w14:paraId="4ED535AF" w14:textId="700E5BC3" w:rsidR="009228C7" w:rsidRPr="005F4A45" w:rsidRDefault="0062377A" w:rsidP="00F94ED3">
      <w:pPr>
        <w:spacing w:after="120" w:line="360" w:lineRule="auto"/>
        <w:rPr>
          <w:sz w:val="22"/>
        </w:rPr>
      </w:pPr>
      <w:r w:rsidRPr="005F4A45">
        <w:rPr>
          <w:sz w:val="22"/>
        </w:rPr>
        <w:t>ZP.272.</w:t>
      </w:r>
      <w:r w:rsidR="00F506A6">
        <w:rPr>
          <w:sz w:val="22"/>
        </w:rPr>
        <w:t>12</w:t>
      </w:r>
      <w:r w:rsidR="005F4A45">
        <w:rPr>
          <w:sz w:val="22"/>
        </w:rPr>
        <w:t>.</w:t>
      </w:r>
      <w:r w:rsidR="001D08D2" w:rsidRPr="005F4A45">
        <w:rPr>
          <w:sz w:val="22"/>
        </w:rPr>
        <w:t>2021.</w:t>
      </w:r>
      <w:r w:rsidR="00F506A6">
        <w:rPr>
          <w:sz w:val="22"/>
        </w:rPr>
        <w:t>EN</w:t>
      </w:r>
      <w:r w:rsidR="005F4A45">
        <w:rPr>
          <w:sz w:val="22"/>
        </w:rPr>
        <w:t>/</w:t>
      </w:r>
      <w:r w:rsidR="003F7728">
        <w:rPr>
          <w:sz w:val="22"/>
        </w:rPr>
        <w:t>10</w:t>
      </w:r>
    </w:p>
    <w:p w14:paraId="23B6717B" w14:textId="77777777" w:rsidR="00B35D6C" w:rsidRDefault="00B35D6C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F2B48CB" w14:textId="77777777" w:rsidR="00B35D6C" w:rsidRDefault="00B35D6C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D6D220C" w14:textId="292C2F9C" w:rsidR="008642C3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A6FE9">
        <w:rPr>
          <w:b/>
          <w:sz w:val="22"/>
          <w:szCs w:val="22"/>
          <w:u w:val="single"/>
        </w:rPr>
        <w:t>ZAWIADOMIENIE O WYBORZE OFERTY</w:t>
      </w:r>
      <w:r w:rsidR="008642C3">
        <w:rPr>
          <w:b/>
          <w:sz w:val="22"/>
          <w:szCs w:val="22"/>
          <w:u w:val="single"/>
        </w:rPr>
        <w:t xml:space="preserve">, </w:t>
      </w:r>
    </w:p>
    <w:p w14:paraId="64795769" w14:textId="4FDABD95" w:rsidR="00A8243D" w:rsidRPr="00EA6FE9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przypadku, o którym mowa w art. 275</w:t>
      </w:r>
      <w:r w:rsidR="00A8243D" w:rsidRPr="00EA6FE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pkt 2, gdy Zamawiający nie prowadzi negocjacji, dokonuje wyboru  spośród ofert niepodlegających odrzuceniu</w:t>
      </w:r>
    </w:p>
    <w:p w14:paraId="1E1B3302" w14:textId="77777777" w:rsidR="00A8243D" w:rsidRPr="00EA6FE9" w:rsidRDefault="00A8243D" w:rsidP="005F4A45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6794F196" w14:textId="3A5F6EB0" w:rsidR="00F505BF" w:rsidRPr="00F505BF" w:rsidRDefault="00A8243D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8642C3">
        <w:rPr>
          <w:sz w:val="22"/>
          <w:szCs w:val="22"/>
        </w:rPr>
        <w:t xml:space="preserve">Na podstawie </w:t>
      </w:r>
      <w:r w:rsidR="00056081" w:rsidRPr="008642C3">
        <w:rPr>
          <w:sz w:val="22"/>
          <w:szCs w:val="22"/>
        </w:rPr>
        <w:t>art</w:t>
      </w:r>
      <w:r w:rsidR="008642C3">
        <w:rPr>
          <w:sz w:val="22"/>
          <w:szCs w:val="22"/>
        </w:rPr>
        <w:t>. 287 ust. 1</w:t>
      </w:r>
      <w:r w:rsidRPr="008642C3">
        <w:rPr>
          <w:sz w:val="22"/>
          <w:szCs w:val="22"/>
        </w:rPr>
        <w:t xml:space="preserve"> </w:t>
      </w:r>
      <w:r w:rsidR="001D08D2" w:rsidRPr="008642C3">
        <w:rPr>
          <w:sz w:val="22"/>
          <w:szCs w:val="22"/>
        </w:rPr>
        <w:t>ustawy z dnia 11 września 2019 r.  Prawo zamówień publicznych</w:t>
      </w:r>
      <w:r w:rsidR="005F4A45" w:rsidRPr="008642C3">
        <w:rPr>
          <w:sz w:val="22"/>
          <w:szCs w:val="22"/>
        </w:rPr>
        <w:t xml:space="preserve">  (</w:t>
      </w:r>
      <w:r w:rsidR="001D08D2" w:rsidRPr="008642C3">
        <w:rPr>
          <w:sz w:val="22"/>
          <w:szCs w:val="22"/>
        </w:rPr>
        <w:t>Dz. U. z 2019 r. poz. 2019 ze zm.</w:t>
      </w:r>
      <w:r w:rsidR="0051301A">
        <w:rPr>
          <w:sz w:val="22"/>
          <w:szCs w:val="22"/>
        </w:rPr>
        <w:t xml:space="preserve"> </w:t>
      </w:r>
      <w:r w:rsidR="00056081" w:rsidRPr="008642C3">
        <w:rPr>
          <w:sz w:val="22"/>
          <w:szCs w:val="22"/>
        </w:rPr>
        <w:t>–</w:t>
      </w:r>
      <w:r w:rsidRPr="008642C3">
        <w:rPr>
          <w:sz w:val="22"/>
          <w:szCs w:val="22"/>
        </w:rPr>
        <w:t xml:space="preserve"> dalej zwana Ustawą)</w:t>
      </w:r>
      <w:r w:rsidR="0051301A">
        <w:rPr>
          <w:sz w:val="22"/>
          <w:szCs w:val="22"/>
        </w:rPr>
        <w:t>,</w:t>
      </w:r>
      <w:r w:rsidRPr="008642C3">
        <w:rPr>
          <w:sz w:val="22"/>
          <w:szCs w:val="22"/>
        </w:rPr>
        <w:t xml:space="preserve"> Powiat Zgier</w:t>
      </w:r>
      <w:r w:rsidR="00B07E38" w:rsidRPr="008642C3">
        <w:rPr>
          <w:sz w:val="22"/>
          <w:szCs w:val="22"/>
        </w:rPr>
        <w:t xml:space="preserve">ski reprezentowany przez Zarząd </w:t>
      </w:r>
      <w:r w:rsidRPr="008642C3">
        <w:rPr>
          <w:sz w:val="22"/>
          <w:szCs w:val="22"/>
        </w:rPr>
        <w:t>Powiatu Zgierskiego (zwany da</w:t>
      </w:r>
      <w:r w:rsidR="00B07E38" w:rsidRPr="008642C3">
        <w:rPr>
          <w:sz w:val="22"/>
          <w:szCs w:val="22"/>
        </w:rPr>
        <w:t xml:space="preserve">lej Zamawiającym) </w:t>
      </w:r>
      <w:r w:rsidR="00E356E4">
        <w:rPr>
          <w:sz w:val="22"/>
          <w:szCs w:val="22"/>
        </w:rPr>
        <w:t xml:space="preserve">dokonał wyboru najkorzystniejszej oferty spośród niepodlegających odrzuceniu ofert złożonych w odpowiedzi na ogłoszenie o zamówieniu </w:t>
      </w:r>
      <w:r w:rsidR="00E356E4" w:rsidRPr="008642C3">
        <w:rPr>
          <w:sz w:val="22"/>
          <w:szCs w:val="22"/>
        </w:rPr>
        <w:t xml:space="preserve">w postępowaniu </w:t>
      </w:r>
      <w:r w:rsidR="00E356E4">
        <w:rPr>
          <w:sz w:val="22"/>
          <w:szCs w:val="22"/>
        </w:rPr>
        <w:t>prowadzonym w trybie podstawowy</w:t>
      </w:r>
      <w:r w:rsidR="00B35D6C">
        <w:rPr>
          <w:sz w:val="22"/>
          <w:szCs w:val="22"/>
        </w:rPr>
        <w:t xml:space="preserve">m – art. 275 pkt 2 Ustawy </w:t>
      </w:r>
      <w:r w:rsidR="00E356E4" w:rsidRPr="008642C3">
        <w:rPr>
          <w:sz w:val="22"/>
          <w:szCs w:val="22"/>
        </w:rPr>
        <w:t>pn.:</w:t>
      </w:r>
      <w:r w:rsidR="00E356E4" w:rsidRPr="008642C3">
        <w:rPr>
          <w:b/>
          <w:bCs/>
          <w:color w:val="000000"/>
          <w:sz w:val="22"/>
          <w:szCs w:val="22"/>
        </w:rPr>
        <w:t xml:space="preserve"> </w:t>
      </w:r>
      <w:r w:rsidR="00E356E4" w:rsidRPr="008642C3">
        <w:rPr>
          <w:b/>
          <w:kern w:val="3"/>
          <w:sz w:val="22"/>
          <w:szCs w:val="22"/>
        </w:rPr>
        <w:t>,,</w:t>
      </w:r>
      <w:r w:rsidR="00E356E4">
        <w:rPr>
          <w:b/>
          <w:kern w:val="3"/>
          <w:sz w:val="22"/>
          <w:szCs w:val="22"/>
        </w:rPr>
        <w:t>Usuwanie z dróg na terenie powiatu zgierskiego pojazdów i ich przechowywanie na parkingu strzeżonym</w:t>
      </w:r>
      <w:r w:rsidR="00E356E4" w:rsidRPr="008642C3">
        <w:rPr>
          <w:b/>
          <w:kern w:val="3"/>
          <w:sz w:val="22"/>
          <w:szCs w:val="22"/>
        </w:rPr>
        <w:t>”</w:t>
      </w:r>
      <w:r w:rsidR="00E356E4" w:rsidRPr="008642C3">
        <w:rPr>
          <w:b/>
          <w:kern w:val="3"/>
        </w:rPr>
        <w:t xml:space="preserve"> (ID 4</w:t>
      </w:r>
      <w:r w:rsidR="00E356E4">
        <w:rPr>
          <w:b/>
          <w:kern w:val="3"/>
        </w:rPr>
        <w:t>62585</w:t>
      </w:r>
      <w:r w:rsidR="00E356E4" w:rsidRPr="008642C3">
        <w:rPr>
          <w:b/>
          <w:kern w:val="3"/>
        </w:rPr>
        <w:t>).</w:t>
      </w:r>
    </w:p>
    <w:p w14:paraId="4F817D53" w14:textId="77777777" w:rsidR="00F505BF" w:rsidRDefault="00F505BF" w:rsidP="00F505BF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4223B97F" w14:textId="77777777" w:rsidR="00B35D6C" w:rsidRPr="00B35D6C" w:rsidRDefault="00E356E4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F505BF">
        <w:rPr>
          <w:sz w:val="22"/>
          <w:szCs w:val="22"/>
        </w:rPr>
        <w:t>Zgodnie z art. 253</w:t>
      </w:r>
      <w:r w:rsidR="00F505BF" w:rsidRPr="00F505BF">
        <w:rPr>
          <w:sz w:val="22"/>
          <w:szCs w:val="22"/>
        </w:rPr>
        <w:t xml:space="preserve"> Ustawy, Zamawiający </w:t>
      </w:r>
      <w:r w:rsidR="00D765AF" w:rsidRPr="00F505BF">
        <w:rPr>
          <w:sz w:val="22"/>
          <w:szCs w:val="22"/>
        </w:rPr>
        <w:t>informuje</w:t>
      </w:r>
      <w:r w:rsidR="00F505BF" w:rsidRPr="00F505BF">
        <w:rPr>
          <w:sz w:val="22"/>
          <w:szCs w:val="22"/>
        </w:rPr>
        <w:t xml:space="preserve">, że najkorzystniejszy bilans maksymalnej liczby przyznanych punktów w oparciu o ustalone kryteria otrzymała </w:t>
      </w:r>
      <w:r w:rsidR="00F505BF" w:rsidRPr="00B35D6C">
        <w:rPr>
          <w:b/>
          <w:bCs/>
          <w:sz w:val="22"/>
          <w:szCs w:val="22"/>
        </w:rPr>
        <w:t>oferta nr 1</w:t>
      </w:r>
      <w:r w:rsidR="00F505BF" w:rsidRPr="00F505BF">
        <w:rPr>
          <w:sz w:val="22"/>
          <w:szCs w:val="22"/>
        </w:rPr>
        <w:t xml:space="preserve"> złożona przez Wykonawcę działającego pod firmą </w:t>
      </w:r>
      <w:r w:rsidR="00F505BF" w:rsidRPr="00F505BF">
        <w:rPr>
          <w:b/>
          <w:sz w:val="22"/>
          <w:szCs w:val="22"/>
        </w:rPr>
        <w:t>CARSOL Sp. z o.o., Łozowa 18, 91-496 Łódź.</w:t>
      </w:r>
      <w:r w:rsidR="00F505BF" w:rsidRPr="00F505BF">
        <w:rPr>
          <w:color w:val="000000"/>
          <w:sz w:val="22"/>
        </w:rPr>
        <w:t xml:space="preserve"> Oferta Wykonawcy nie podlega odrzuceniu. Wykonawca nie podlega wykluczeniu z postępowania. Cena ofertowa brutto służy jedynie porównaniu złożonych ofert. Umowa na wykonanie przedmiotowego zamówienia publicznego zostanie zawarta do wysokości kwoty brutto, jaką Zamawiający przeznaczył na jego realizację tj. </w:t>
      </w:r>
      <w:r w:rsidR="00F505BF" w:rsidRPr="00F505BF">
        <w:rPr>
          <w:b/>
          <w:bCs/>
          <w:color w:val="000000"/>
          <w:sz w:val="22"/>
        </w:rPr>
        <w:t>do kwoty brutto 635 193,00 zł</w:t>
      </w:r>
      <w:r w:rsidR="00F505BF" w:rsidRPr="00F505BF">
        <w:rPr>
          <w:color w:val="000000"/>
          <w:sz w:val="22"/>
        </w:rPr>
        <w:t>. Rozliczenie z Wykonawcą od</w:t>
      </w:r>
      <w:r w:rsidR="00B35D6C">
        <w:rPr>
          <w:color w:val="000000"/>
          <w:sz w:val="22"/>
        </w:rPr>
        <w:t>bywać się będzie</w:t>
      </w:r>
      <w:r w:rsidR="00F505BF" w:rsidRPr="00F505BF">
        <w:rPr>
          <w:color w:val="000000"/>
          <w:sz w:val="22"/>
        </w:rPr>
        <w:t xml:space="preserve"> na podstawie cen jednostkowych brutto określonych w treści formularza cenowego oraz za faktycznie wykonane czynności składające się na przedmiot zamówienia.</w:t>
      </w:r>
      <w:r w:rsidR="00F505BF">
        <w:rPr>
          <w:color w:val="000000"/>
          <w:sz w:val="22"/>
        </w:rPr>
        <w:t xml:space="preserve"> </w:t>
      </w:r>
    </w:p>
    <w:p w14:paraId="6F900690" w14:textId="77777777" w:rsidR="00B35D6C" w:rsidRDefault="00B35D6C" w:rsidP="00B35D6C">
      <w:pPr>
        <w:pStyle w:val="Akapitzlist"/>
        <w:rPr>
          <w:color w:val="000000"/>
          <w:sz w:val="22"/>
        </w:rPr>
      </w:pPr>
    </w:p>
    <w:p w14:paraId="1C7A47FC" w14:textId="169A8D19" w:rsidR="00F505BF" w:rsidRPr="00F505BF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>Ocenie podlegały następujące oferty:</w:t>
      </w:r>
    </w:p>
    <w:p w14:paraId="0F4BE90A" w14:textId="77777777" w:rsidR="00F505BF" w:rsidRPr="00F505BF" w:rsidRDefault="00F505BF" w:rsidP="00F505BF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987"/>
        <w:gridCol w:w="1702"/>
        <w:gridCol w:w="1103"/>
        <w:gridCol w:w="1264"/>
        <w:gridCol w:w="1439"/>
      </w:tblGrid>
      <w:tr w:rsidR="00F505BF" w:rsidRPr="009130D2" w14:paraId="512F28E5" w14:textId="77777777" w:rsidTr="00F26C95">
        <w:trPr>
          <w:trHeight w:val="643"/>
        </w:trPr>
        <w:tc>
          <w:tcPr>
            <w:tcW w:w="836" w:type="dxa"/>
            <w:vMerge w:val="restart"/>
            <w:vAlign w:val="center"/>
          </w:tcPr>
          <w:p w14:paraId="78A60442" w14:textId="77777777" w:rsidR="00F505BF" w:rsidRPr="009130D2" w:rsidRDefault="00F505BF" w:rsidP="00F26C95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2987" w:type="dxa"/>
            <w:vMerge w:val="restart"/>
            <w:vAlign w:val="center"/>
          </w:tcPr>
          <w:p w14:paraId="13FE4D51" w14:textId="77777777" w:rsidR="00F505BF" w:rsidRPr="009130D2" w:rsidRDefault="00F505BF" w:rsidP="00F26C95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Nazwa i adres  Wykonawcy</w:t>
            </w:r>
          </w:p>
        </w:tc>
        <w:tc>
          <w:tcPr>
            <w:tcW w:w="1702" w:type="dxa"/>
            <w:vMerge w:val="restart"/>
            <w:vAlign w:val="center"/>
          </w:tcPr>
          <w:p w14:paraId="1DE8E14A" w14:textId="77777777" w:rsidR="00F505BF" w:rsidRPr="009130D2" w:rsidRDefault="00F505BF" w:rsidP="00F26C95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Łączna </w:t>
            </w:r>
          </w:p>
          <w:p w14:paraId="0A178497" w14:textId="77777777" w:rsidR="00F505BF" w:rsidRPr="009130D2" w:rsidRDefault="00F505BF" w:rsidP="00F26C95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cena brutto</w:t>
            </w:r>
          </w:p>
        </w:tc>
        <w:tc>
          <w:tcPr>
            <w:tcW w:w="2367" w:type="dxa"/>
            <w:gridSpan w:val="2"/>
            <w:vAlign w:val="center"/>
          </w:tcPr>
          <w:p w14:paraId="43464AE1" w14:textId="77777777" w:rsidR="00F505BF" w:rsidRPr="009130D2" w:rsidRDefault="00F505BF" w:rsidP="00F26C95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Punktacja otrzymana </w:t>
            </w: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br/>
              <w:t>zgodnie z kryteriami określonymi w SWZ</w:t>
            </w:r>
          </w:p>
        </w:tc>
        <w:tc>
          <w:tcPr>
            <w:tcW w:w="1439" w:type="dxa"/>
            <w:vMerge w:val="restart"/>
            <w:vAlign w:val="center"/>
          </w:tcPr>
          <w:p w14:paraId="7AB37227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Bilans przyznanych punktów</w:t>
            </w:r>
          </w:p>
        </w:tc>
      </w:tr>
      <w:tr w:rsidR="00F505BF" w:rsidRPr="009130D2" w14:paraId="22635918" w14:textId="77777777" w:rsidTr="00F26C95">
        <w:trPr>
          <w:trHeight w:val="643"/>
        </w:trPr>
        <w:tc>
          <w:tcPr>
            <w:tcW w:w="836" w:type="dxa"/>
            <w:vMerge/>
            <w:vAlign w:val="center"/>
          </w:tcPr>
          <w:p w14:paraId="1940B43B" w14:textId="77777777" w:rsidR="00F505BF" w:rsidRPr="009130D2" w:rsidRDefault="00F505BF" w:rsidP="00F26C95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vMerge/>
            <w:vAlign w:val="center"/>
          </w:tcPr>
          <w:p w14:paraId="624F0982" w14:textId="77777777" w:rsidR="00F505BF" w:rsidRPr="009130D2" w:rsidRDefault="00F505BF" w:rsidP="00F26C95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14:paraId="0D2CA469" w14:textId="77777777" w:rsidR="00F505BF" w:rsidRPr="009130D2" w:rsidRDefault="00F505BF" w:rsidP="00F26C95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14:paraId="04ABFE01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CENA OFERTY</w:t>
            </w:r>
          </w:p>
          <w:p w14:paraId="553C2622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60% waga udział w ocenie 60 pkt</w:t>
            </w:r>
          </w:p>
        </w:tc>
        <w:tc>
          <w:tcPr>
            <w:tcW w:w="1264" w:type="dxa"/>
            <w:vAlign w:val="center"/>
          </w:tcPr>
          <w:p w14:paraId="7F8FC1E9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CZAS DOJAZDU</w:t>
            </w:r>
          </w:p>
          <w:p w14:paraId="490F067F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40% waga udział w ocenie 40 pkt</w:t>
            </w:r>
          </w:p>
        </w:tc>
        <w:tc>
          <w:tcPr>
            <w:tcW w:w="1439" w:type="dxa"/>
            <w:vMerge/>
            <w:vAlign w:val="center"/>
          </w:tcPr>
          <w:p w14:paraId="607923E8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2"/>
                <w:lang w:eastAsia="en-US"/>
              </w:rPr>
            </w:pPr>
          </w:p>
        </w:tc>
      </w:tr>
      <w:tr w:rsidR="00F505BF" w:rsidRPr="009130D2" w14:paraId="42580835" w14:textId="77777777" w:rsidTr="00F26C95">
        <w:trPr>
          <w:trHeight w:hRule="exact" w:val="907"/>
        </w:trPr>
        <w:tc>
          <w:tcPr>
            <w:tcW w:w="836" w:type="dxa"/>
            <w:vAlign w:val="center"/>
          </w:tcPr>
          <w:p w14:paraId="585DB114" w14:textId="77777777" w:rsidR="00F505BF" w:rsidRPr="009130D2" w:rsidRDefault="00F505BF" w:rsidP="00F26C9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9130D2">
              <w:rPr>
                <w:rFonts w:eastAsia="Calibri"/>
                <w:kern w:val="3"/>
                <w:sz w:val="20"/>
                <w:lang w:eastAsia="en-US"/>
              </w:rPr>
              <w:t>1.</w:t>
            </w:r>
          </w:p>
        </w:tc>
        <w:tc>
          <w:tcPr>
            <w:tcW w:w="2987" w:type="dxa"/>
            <w:vAlign w:val="center"/>
          </w:tcPr>
          <w:p w14:paraId="1D5F316C" w14:textId="77777777" w:rsidR="00F505BF" w:rsidRPr="009130D2" w:rsidRDefault="00F505BF" w:rsidP="00F26C95">
            <w:pPr>
              <w:rPr>
                <w:sz w:val="20"/>
              </w:rPr>
            </w:pPr>
            <w:r w:rsidRPr="009130D2">
              <w:rPr>
                <w:sz w:val="20"/>
              </w:rPr>
              <w:t xml:space="preserve">CARSOL Sp. z o.o., Łozowa 18, </w:t>
            </w:r>
          </w:p>
          <w:p w14:paraId="67F7B7F3" w14:textId="77777777" w:rsidR="00F505BF" w:rsidRPr="009130D2" w:rsidRDefault="00F505BF" w:rsidP="00F26C95">
            <w:pPr>
              <w:rPr>
                <w:sz w:val="20"/>
              </w:rPr>
            </w:pPr>
            <w:r w:rsidRPr="009130D2">
              <w:rPr>
                <w:sz w:val="20"/>
              </w:rPr>
              <w:t>91-496 Łódź</w:t>
            </w:r>
          </w:p>
        </w:tc>
        <w:tc>
          <w:tcPr>
            <w:tcW w:w="1702" w:type="dxa"/>
            <w:vAlign w:val="center"/>
          </w:tcPr>
          <w:p w14:paraId="2558DC91" w14:textId="77777777" w:rsidR="00F505BF" w:rsidRPr="009130D2" w:rsidRDefault="00F505BF" w:rsidP="00F26C95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9130D2">
              <w:rPr>
                <w:sz w:val="20"/>
              </w:rPr>
              <w:t>635 193,00 zł</w:t>
            </w:r>
          </w:p>
        </w:tc>
        <w:tc>
          <w:tcPr>
            <w:tcW w:w="1103" w:type="dxa"/>
            <w:vAlign w:val="center"/>
          </w:tcPr>
          <w:p w14:paraId="5D1260BE" w14:textId="77777777" w:rsidR="00F505BF" w:rsidRPr="009130D2" w:rsidRDefault="00F505BF" w:rsidP="00F26C9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9130D2">
              <w:rPr>
                <w:rFonts w:eastAsia="Calibri"/>
                <w:kern w:val="3"/>
                <w:sz w:val="20"/>
                <w:lang w:eastAsia="en-US"/>
              </w:rPr>
              <w:t>60,00 pkt</w:t>
            </w:r>
          </w:p>
        </w:tc>
        <w:tc>
          <w:tcPr>
            <w:tcW w:w="1264" w:type="dxa"/>
            <w:vAlign w:val="center"/>
          </w:tcPr>
          <w:p w14:paraId="25165076" w14:textId="77777777" w:rsidR="00F505BF" w:rsidRPr="009130D2" w:rsidRDefault="00F505BF" w:rsidP="00F26C9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9130D2">
              <w:rPr>
                <w:rFonts w:eastAsia="Calibri"/>
                <w:kern w:val="3"/>
                <w:sz w:val="20"/>
                <w:lang w:eastAsia="en-US"/>
              </w:rPr>
              <w:t>0,00 pkt</w:t>
            </w:r>
          </w:p>
        </w:tc>
        <w:tc>
          <w:tcPr>
            <w:tcW w:w="1439" w:type="dxa"/>
            <w:vAlign w:val="center"/>
          </w:tcPr>
          <w:p w14:paraId="641986DF" w14:textId="77777777" w:rsidR="00F505BF" w:rsidRPr="009130D2" w:rsidRDefault="00F505BF" w:rsidP="00F26C9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9130D2">
              <w:rPr>
                <w:rFonts w:eastAsia="Calibri"/>
                <w:kern w:val="3"/>
                <w:sz w:val="20"/>
                <w:lang w:eastAsia="en-US"/>
              </w:rPr>
              <w:t>60,00 pkt</w:t>
            </w:r>
          </w:p>
        </w:tc>
      </w:tr>
    </w:tbl>
    <w:p w14:paraId="3C047927" w14:textId="7F36932E" w:rsidR="008642C3" w:rsidRPr="00B35D6C" w:rsidRDefault="008642C3" w:rsidP="00B35D6C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559F8EEE" w14:textId="77777777" w:rsidR="005904E1" w:rsidRPr="008642C3" w:rsidRDefault="005904E1" w:rsidP="00F506A6">
      <w:pPr>
        <w:pStyle w:val="Standard"/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</w:p>
    <w:p w14:paraId="17484797" w14:textId="6FF09511" w:rsidR="004F4ECE" w:rsidRPr="00B35D6C" w:rsidRDefault="005973E9" w:rsidP="00B35D6C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B35D6C">
        <w:rPr>
          <w:sz w:val="22"/>
          <w:szCs w:val="22"/>
        </w:rPr>
        <w:t>Zamawiający informuje, że zgodnie z art. 308 ust. 2 Ustawy umowa w sprawie zamówienia publicznego może być zawarta w terminie nie krótszym niż 5 dni od dnia  przesłania zawiadomienia o wyborze najkorzystniejszej oferty przy użyciu śr</w:t>
      </w:r>
      <w:r w:rsidR="00F3445D" w:rsidRPr="00B35D6C">
        <w:rPr>
          <w:sz w:val="22"/>
          <w:szCs w:val="22"/>
        </w:rPr>
        <w:t>odków komunikacji elektronicznej.</w:t>
      </w:r>
      <w:r w:rsidR="00E96D88" w:rsidRPr="00B35D6C">
        <w:rPr>
          <w:sz w:val="22"/>
          <w:szCs w:val="22"/>
        </w:rPr>
        <w:t xml:space="preserve"> Zamawiający może zawrzeć umowę w sprawie zamówienia publicznego przed </w:t>
      </w:r>
      <w:r w:rsidR="006363E1">
        <w:rPr>
          <w:sz w:val="22"/>
          <w:szCs w:val="22"/>
        </w:rPr>
        <w:t xml:space="preserve">upływem </w:t>
      </w:r>
      <w:r w:rsidR="00E96D88" w:rsidRPr="00B35D6C">
        <w:rPr>
          <w:sz w:val="22"/>
          <w:szCs w:val="22"/>
        </w:rPr>
        <w:t>termin</w:t>
      </w:r>
      <w:r w:rsidR="006363E1">
        <w:rPr>
          <w:sz w:val="22"/>
          <w:szCs w:val="22"/>
        </w:rPr>
        <w:t>u</w:t>
      </w:r>
      <w:r w:rsidR="00E96D88" w:rsidRPr="00B35D6C">
        <w:rPr>
          <w:sz w:val="22"/>
          <w:szCs w:val="22"/>
        </w:rPr>
        <w:t>, o którym mowa wyżej jeżeli w postępowaniu o udzielenie zamówienia prowadzonym w trybie podstawowym złożono tylko jedną ofertę (…) – art. 308 ust. 3 Ustawy.</w:t>
      </w:r>
    </w:p>
    <w:p w14:paraId="2CB9AD0F" w14:textId="77777777" w:rsidR="00751178" w:rsidRPr="0006532C" w:rsidRDefault="00751178" w:rsidP="00751178">
      <w:pPr>
        <w:pStyle w:val="Akapitzlist"/>
        <w:tabs>
          <w:tab w:val="left" w:pos="0"/>
        </w:tabs>
        <w:jc w:val="both"/>
        <w:rPr>
          <w:sz w:val="22"/>
          <w:szCs w:val="22"/>
        </w:rPr>
      </w:pPr>
    </w:p>
    <w:p w14:paraId="33F89C7A" w14:textId="77777777" w:rsidR="0006532C" w:rsidRDefault="0006532C" w:rsidP="00F3445D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4ADE4004" w14:textId="77777777" w:rsidR="00B35D6C" w:rsidRDefault="00B35D6C" w:rsidP="00B35D6C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0C822DC6" w14:textId="77777777" w:rsidR="00B35D6C" w:rsidRDefault="00B35D6C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4B4AB803" w:rsidR="000C5C33" w:rsidRPr="00EA6FE9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A6FE9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A6FE9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</w:p>
    <w:p w14:paraId="7C489BF0" w14:textId="1B1C5E71" w:rsidR="00FE7183" w:rsidRPr="00FE7183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A6FE9">
        <w:rPr>
          <w:sz w:val="22"/>
          <w:szCs w:val="22"/>
        </w:rPr>
        <w:tab/>
      </w:r>
      <w:r w:rsidR="00FE7183" w:rsidRPr="00FE7183">
        <w:rPr>
          <w:sz w:val="22"/>
          <w:szCs w:val="22"/>
        </w:rPr>
        <w:tab/>
        <w:t xml:space="preserve">Od niezgodnej z przepisami Ustawy czynności Zamawiającego podjętej w postępowaniu </w:t>
      </w:r>
      <w:r w:rsidR="00751178">
        <w:rPr>
          <w:sz w:val="22"/>
          <w:szCs w:val="22"/>
        </w:rPr>
        <w:t xml:space="preserve">                                 </w:t>
      </w:r>
      <w:r w:rsidR="00FE7183"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379E09B0" w14:textId="13C5F360" w:rsidR="0006532C" w:rsidRDefault="0006532C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14:paraId="2C16776D" w14:textId="74F06A5C" w:rsidR="00162296" w:rsidRDefault="00162296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14:paraId="462D3C7D" w14:textId="507664FF" w:rsidR="00162296" w:rsidRDefault="00162296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14:paraId="1A6572E6" w14:textId="284EF893" w:rsidR="00162296" w:rsidRPr="003F7728" w:rsidRDefault="003F7728" w:rsidP="003F7728">
      <w:pPr>
        <w:pStyle w:val="Akapitzlist"/>
        <w:ind w:left="3552" w:firstLine="696"/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 w:rsidRPr="003F7728"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>Zarząd Powiatu Zgierskiego</w:t>
      </w:r>
    </w:p>
    <w:p w14:paraId="4BB2FC30" w14:textId="6541B7BB" w:rsidR="00835EAE" w:rsidRPr="009130D2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9130D2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196D9A27" w:rsidR="00835EAE" w:rsidRPr="003F7728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3F7728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835EAE" w:rsidRPr="003F7728" w:rsidSect="00194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546F" w14:textId="77777777" w:rsidR="00162296" w:rsidRDefault="001622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51736659"/>
      <w:docPartObj>
        <w:docPartGallery w:val="Page Numbers (Bottom of Page)"/>
        <w:docPartUnique/>
      </w:docPartObj>
    </w:sdtPr>
    <w:sdtEndPr/>
    <w:sdtContent>
      <w:p w14:paraId="1A4DC923" w14:textId="2786B2C2" w:rsidR="00162296" w:rsidRDefault="0016229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F62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FBCB" w14:textId="77777777" w:rsidR="00162296" w:rsidRDefault="001622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D1B9" w14:textId="31C032E8" w:rsidR="00162296" w:rsidRDefault="00162296">
    <w:pPr>
      <w:pStyle w:val="Nagwek"/>
    </w:pPr>
    <w:r w:rsidRPr="005F4A45">
      <w:rPr>
        <w:sz w:val="22"/>
      </w:rPr>
      <w:t>ZP.272.</w:t>
    </w:r>
    <w:r>
      <w:rPr>
        <w:sz w:val="22"/>
      </w:rPr>
      <w:t>12.</w:t>
    </w:r>
    <w:r w:rsidRPr="005F4A45">
      <w:rPr>
        <w:sz w:val="22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9012" w14:textId="77777777" w:rsidR="00162296" w:rsidRDefault="001622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F7CC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8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1"/>
  </w:num>
  <w:num w:numId="5">
    <w:abstractNumId w:val="26"/>
  </w:num>
  <w:num w:numId="6">
    <w:abstractNumId w:val="18"/>
  </w:num>
  <w:num w:numId="7">
    <w:abstractNumId w:val="23"/>
  </w:num>
  <w:num w:numId="8">
    <w:abstractNumId w:val="2"/>
  </w:num>
  <w:num w:numId="9">
    <w:abstractNumId w:val="25"/>
  </w:num>
  <w:num w:numId="10">
    <w:abstractNumId w:val="9"/>
  </w:num>
  <w:num w:numId="11">
    <w:abstractNumId w:val="12"/>
  </w:num>
  <w:num w:numId="12">
    <w:abstractNumId w:val="27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19"/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13"/>
  </w:num>
  <w:num w:numId="23">
    <w:abstractNumId w:val="16"/>
  </w:num>
  <w:num w:numId="24">
    <w:abstractNumId w:val="20"/>
  </w:num>
  <w:num w:numId="25">
    <w:abstractNumId w:val="10"/>
  </w:num>
  <w:num w:numId="26">
    <w:abstractNumId w:val="24"/>
  </w:num>
  <w:num w:numId="27">
    <w:abstractNumId w:val="0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55605"/>
    <w:rsid w:val="00162296"/>
    <w:rsid w:val="00163161"/>
    <w:rsid w:val="001631FD"/>
    <w:rsid w:val="00171541"/>
    <w:rsid w:val="001841B1"/>
    <w:rsid w:val="001864BC"/>
    <w:rsid w:val="00191232"/>
    <w:rsid w:val="00194478"/>
    <w:rsid w:val="00194987"/>
    <w:rsid w:val="001975D7"/>
    <w:rsid w:val="001A60AA"/>
    <w:rsid w:val="001B2330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D5809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60CF4"/>
    <w:rsid w:val="00660F1D"/>
    <w:rsid w:val="00667493"/>
    <w:rsid w:val="00677092"/>
    <w:rsid w:val="00677667"/>
    <w:rsid w:val="006827EB"/>
    <w:rsid w:val="00693B9D"/>
    <w:rsid w:val="006C6071"/>
    <w:rsid w:val="006E47F8"/>
    <w:rsid w:val="006E48F2"/>
    <w:rsid w:val="006F4A36"/>
    <w:rsid w:val="006F780C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B23A1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408EF"/>
    <w:rsid w:val="00941F8C"/>
    <w:rsid w:val="00946642"/>
    <w:rsid w:val="00952CD5"/>
    <w:rsid w:val="009810FE"/>
    <w:rsid w:val="00982682"/>
    <w:rsid w:val="00983056"/>
    <w:rsid w:val="00987CA0"/>
    <w:rsid w:val="00990480"/>
    <w:rsid w:val="009940B5"/>
    <w:rsid w:val="00996807"/>
    <w:rsid w:val="009A35C9"/>
    <w:rsid w:val="009A696D"/>
    <w:rsid w:val="009B4506"/>
    <w:rsid w:val="009C0366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AD3"/>
    <w:rsid w:val="00AB7084"/>
    <w:rsid w:val="00AC5571"/>
    <w:rsid w:val="00AD452A"/>
    <w:rsid w:val="00AD4C5B"/>
    <w:rsid w:val="00AE25DF"/>
    <w:rsid w:val="00B0128D"/>
    <w:rsid w:val="00B03FF4"/>
    <w:rsid w:val="00B07E38"/>
    <w:rsid w:val="00B10420"/>
    <w:rsid w:val="00B228CB"/>
    <w:rsid w:val="00B31147"/>
    <w:rsid w:val="00B319BE"/>
    <w:rsid w:val="00B35D6C"/>
    <w:rsid w:val="00B40C36"/>
    <w:rsid w:val="00B41F3A"/>
    <w:rsid w:val="00B42224"/>
    <w:rsid w:val="00B423B8"/>
    <w:rsid w:val="00B54319"/>
    <w:rsid w:val="00B62820"/>
    <w:rsid w:val="00B67CC9"/>
    <w:rsid w:val="00B70CD4"/>
    <w:rsid w:val="00B80834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0A3E"/>
    <w:rsid w:val="00C64CB0"/>
    <w:rsid w:val="00C80740"/>
    <w:rsid w:val="00C953FD"/>
    <w:rsid w:val="00C97CF4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64E43"/>
    <w:rsid w:val="00D765AF"/>
    <w:rsid w:val="00D83860"/>
    <w:rsid w:val="00D874CB"/>
    <w:rsid w:val="00D875EB"/>
    <w:rsid w:val="00DB3FC0"/>
    <w:rsid w:val="00DB6A1C"/>
    <w:rsid w:val="00DC5DBD"/>
    <w:rsid w:val="00DF4B65"/>
    <w:rsid w:val="00DF4FE0"/>
    <w:rsid w:val="00DF68E5"/>
    <w:rsid w:val="00E17D19"/>
    <w:rsid w:val="00E3437A"/>
    <w:rsid w:val="00E356E4"/>
    <w:rsid w:val="00E57195"/>
    <w:rsid w:val="00E60773"/>
    <w:rsid w:val="00E62144"/>
    <w:rsid w:val="00E766F2"/>
    <w:rsid w:val="00E8675F"/>
    <w:rsid w:val="00E956D8"/>
    <w:rsid w:val="00E96D88"/>
    <w:rsid w:val="00EA2F4C"/>
    <w:rsid w:val="00EA52D4"/>
    <w:rsid w:val="00EA6FE9"/>
    <w:rsid w:val="00EA70D9"/>
    <w:rsid w:val="00EB0396"/>
    <w:rsid w:val="00EB6174"/>
    <w:rsid w:val="00ED22A4"/>
    <w:rsid w:val="00EE3C30"/>
    <w:rsid w:val="00EE3D50"/>
    <w:rsid w:val="00EE4146"/>
    <w:rsid w:val="00EE4160"/>
    <w:rsid w:val="00EF2623"/>
    <w:rsid w:val="00EF3A6E"/>
    <w:rsid w:val="00EF57B8"/>
    <w:rsid w:val="00EF6AB8"/>
    <w:rsid w:val="00EF7BA5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642C4"/>
    <w:rsid w:val="00F70B8C"/>
    <w:rsid w:val="00F72118"/>
    <w:rsid w:val="00F868E1"/>
    <w:rsid w:val="00F94562"/>
    <w:rsid w:val="00F94ED3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Emilia Nawrocka</cp:lastModifiedBy>
  <cp:revision>8</cp:revision>
  <cp:lastPrinted>2021-06-21T12:39:00Z</cp:lastPrinted>
  <dcterms:created xsi:type="dcterms:W3CDTF">2021-06-21T10:01:00Z</dcterms:created>
  <dcterms:modified xsi:type="dcterms:W3CDTF">2021-06-22T10:19:00Z</dcterms:modified>
</cp:coreProperties>
</file>