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lastRenderedPageBreak/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</w:t>
      </w:r>
      <w:r w:rsidRPr="00884FF2">
        <w:rPr>
          <w:rFonts w:ascii="Arial" w:hAnsi="Arial" w:cs="Arial"/>
          <w:bCs/>
        </w:rPr>
        <w:lastRenderedPageBreak/>
        <w:t>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</w:t>
      </w:r>
      <w:r w:rsidR="006B29BE" w:rsidRPr="00884FF2">
        <w:rPr>
          <w:rFonts w:ascii="Arial" w:hAnsi="Arial" w:cs="Arial"/>
        </w:rPr>
        <w:lastRenderedPageBreak/>
        <w:t xml:space="preserve">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</w:t>
      </w:r>
      <w:r w:rsidR="00A4266D" w:rsidRPr="00884FF2">
        <w:rPr>
          <w:rFonts w:ascii="Arial" w:hAnsi="Arial" w:cs="Arial"/>
          <w:shd w:val="clear" w:color="auto" w:fill="FFFFFF"/>
        </w:rPr>
        <w:lastRenderedPageBreak/>
        <w:t xml:space="preserve">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lastRenderedPageBreak/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lastRenderedPageBreak/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36EF0A2C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1561F4">
        <w:rPr>
          <w:rFonts w:ascii="Arial" w:hAnsi="Arial" w:cs="Arial"/>
          <w:b/>
          <w:color w:val="00B050"/>
        </w:rPr>
        <w:t>16</w:t>
      </w:r>
      <w:r w:rsidR="00D82349">
        <w:rPr>
          <w:rFonts w:ascii="Arial" w:hAnsi="Arial" w:cs="Arial"/>
          <w:b/>
          <w:color w:val="00B050"/>
        </w:rPr>
        <w:t>.12</w:t>
      </w:r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</w:t>
      </w:r>
      <w:bookmarkStart w:id="24" w:name="_GoBack"/>
      <w:bookmarkEnd w:id="24"/>
      <w:r w:rsidRPr="00884FF2">
        <w:rPr>
          <w:rFonts w:ascii="Arial" w:hAnsi="Arial" w:cs="Arial"/>
          <w:shd w:val="clear" w:color="auto" w:fill="FFFFFF"/>
        </w:rPr>
        <w:t xml:space="preserve">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884FF2">
        <w:rPr>
          <w:rFonts w:ascii="Arial" w:hAnsi="Arial" w:cs="Arial"/>
        </w:rPr>
        <w:t>Sposób złożenia oferty opisany jest w rozdziale X pkt 2</w:t>
      </w:r>
      <w:bookmarkEnd w:id="28"/>
      <w:bookmarkEnd w:id="29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0" w:name="_Toc264373041"/>
      <w:bookmarkStart w:id="31" w:name="_Toc440969216"/>
      <w:bookmarkStart w:id="32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0"/>
      <w:bookmarkEnd w:id="31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EA61F98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3" w:name="_Toc264373042"/>
      <w:bookmarkStart w:id="34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1561F4">
        <w:rPr>
          <w:rFonts w:ascii="Arial" w:hAnsi="Arial" w:cs="Arial"/>
          <w:b/>
          <w:color w:val="00B050"/>
        </w:rPr>
        <w:t>17</w:t>
      </w:r>
      <w:r w:rsidR="00D82349">
        <w:rPr>
          <w:rFonts w:ascii="Arial" w:hAnsi="Arial" w:cs="Arial"/>
          <w:b/>
          <w:color w:val="00B050"/>
        </w:rPr>
        <w:t>.11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140B6107" w:rsidR="0015246B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1561F4">
        <w:rPr>
          <w:rFonts w:ascii="Arial" w:hAnsi="Arial" w:cs="Arial"/>
          <w:b/>
          <w:bCs/>
          <w:color w:val="00B050"/>
        </w:rPr>
        <w:t>17</w:t>
      </w:r>
      <w:r w:rsidR="00D82349">
        <w:rPr>
          <w:rFonts w:ascii="Arial" w:hAnsi="Arial" w:cs="Arial"/>
          <w:b/>
          <w:bCs/>
          <w:color w:val="00B050"/>
        </w:rPr>
        <w:t>.11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0AC8DC95" w14:textId="57858C5F" w:rsidR="00AF2210" w:rsidRPr="00884FF2" w:rsidRDefault="00AF2210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Otwarcie ofert jest jawne.</w:t>
      </w:r>
    </w:p>
    <w:p w14:paraId="602ECAE5" w14:textId="3016A113" w:rsidR="00F0654D" w:rsidRPr="00DD6781" w:rsidRDefault="0015246B" w:rsidP="00DD6781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3"/>
      <w:bookmarkEnd w:id="34"/>
      <w:bookmarkEnd w:id="32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lastRenderedPageBreak/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 xml:space="preserve">w </w:t>
      </w:r>
      <w:r w:rsidR="00F9564D" w:rsidRPr="00AC0262">
        <w:rPr>
          <w:rFonts w:ascii="Arial" w:hAnsi="Arial" w:cs="Arial"/>
        </w:rPr>
        <w:lastRenderedPageBreak/>
        <w:t>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lastRenderedPageBreak/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lastRenderedPageBreak/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lastRenderedPageBreak/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</w:t>
      </w:r>
      <w:r w:rsidRPr="00884FF2">
        <w:rPr>
          <w:rFonts w:ascii="Arial" w:hAnsi="Arial" w:cs="Arial"/>
        </w:rPr>
        <w:lastRenderedPageBreak/>
        <w:t>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</w:t>
      </w:r>
      <w:r w:rsidRPr="00884FF2">
        <w:rPr>
          <w:rFonts w:ascii="Arial" w:hAnsi="Arial" w:cs="Arial"/>
        </w:rPr>
        <w:lastRenderedPageBreak/>
        <w:t xml:space="preserve">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1FF2377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561F4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4690D"/>
    <w:rsid w:val="00150DBC"/>
    <w:rsid w:val="0015246B"/>
    <w:rsid w:val="00152DD3"/>
    <w:rsid w:val="00153967"/>
    <w:rsid w:val="00154505"/>
    <w:rsid w:val="00155439"/>
    <w:rsid w:val="00155512"/>
    <w:rsid w:val="001561F4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76078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44E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10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3946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349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6781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E9B6-4E3E-4544-A4B9-4AEA5AB8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8247</Words>
  <Characters>49488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32</cp:revision>
  <cp:lastPrinted>2021-02-18T12:37:00Z</cp:lastPrinted>
  <dcterms:created xsi:type="dcterms:W3CDTF">2023-09-12T07:52:00Z</dcterms:created>
  <dcterms:modified xsi:type="dcterms:W3CDTF">2023-11-03T07:21:00Z</dcterms:modified>
</cp:coreProperties>
</file>