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8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0.png" ContentType="image/png"/>
  <Override PartName="/word/media/image5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9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suppressAutoHyphens w:val="true"/>
        <w:bidi w:val="0"/>
        <w:spacing w:lineRule="auto" w:line="240" w:before="0" w:after="0"/>
        <w:ind w:hanging="0" w:left="0" w:right="0"/>
        <w:jc w:val="right"/>
        <w:rPr>
          <w:rFonts w:ascii="Times New Roman" w:hAnsi="Times New Roman" w:eastAsia="Calibri" w:cs="Times New Roman"/>
          <w:b/>
          <w:sz w:val="20"/>
          <w:szCs w:val="20"/>
        </w:rPr>
      </w:pPr>
      <w:r>
        <w:rPr/>
        <w:drawing>
          <wp:inline distT="0" distB="0" distL="0" distR="0">
            <wp:extent cx="6010910" cy="560705"/>
            <wp:effectExtent l="0" t="0" r="0" b="0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0" t="-215" r="-20" b="-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Nr zamówienia: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ZPIF.271.2.14.2023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ZAPROSZENIE DO SKŁADANIA OFERT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Gmina Cieszyn, w imieniu której postępowanie prowadzi Wydział Zamówień Publicznych, Inwestycji i Funduszy Zewnętrznych zaprasza do złożenia oferty na realizację usługi pn. :</w:t>
      </w:r>
    </w:p>
    <w:p>
      <w:pPr>
        <w:pStyle w:val="Normal"/>
        <w:spacing w:lineRule="auto" w:line="276" w:before="0" w:after="0"/>
        <w:jc w:val="both"/>
        <w:rPr/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Zakup i dostawa mebli biurowych stanowiących wyposażenie Transgranicznego Centrum Informacji Turystycznej wraz z przestrzenią ekspozycyjną przy granicznym Moście Przyjaźni na Szlaku Cieszyńskiego Tramwaju w ramach zadania inwestycyjnego pn.: „Szlakiem Cieszyńskiego Tramwaju – rozwój transgranicznej turystyki”.</w:t>
      </w:r>
    </w:p>
    <w:p>
      <w:pPr>
        <w:pStyle w:val="Normal"/>
        <w:spacing w:lineRule="auto" w:line="276" w:before="0" w:after="0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76" w:before="0" w:after="0"/>
        <w:ind w:hanging="340" w:left="340" w:right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Opis przedmiotu zamówienia: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Zakup i dostawa mebli biurowych stanowiących wyposażenie Transgranicznego Centrum Informacji Turystycznej wraz z przestrzenią ekspozycyjną przy granicznym Moście Przyjaźni na Szlaku Cieszyńskiego Tramwaju wg opisu: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A.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krzesło do pracy przy komputerze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 – 4 sztuki: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76" w:before="0" w:after="0"/>
        <w:ind w:hanging="397" w:left="1020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rozmiar dla osób dorosłych wzrost 165-185 cm;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76" w:before="0" w:after="0"/>
        <w:ind w:hanging="397" w:left="1020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podstawa pięcioramienna, wykonana ze stopu metali lekkich, polerowana;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76" w:before="0" w:after="0"/>
        <w:ind w:hanging="397" w:left="1020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amortyzator gazowy zapewniający płynną regulację wysokości siedziska;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76" w:before="0" w:after="0"/>
        <w:ind w:hanging="397" w:left="1020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mechanizm umożliwiający synchroniczne odchylanie oparcia;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76" w:before="0" w:after="0"/>
        <w:ind w:hanging="397" w:left="1020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siedzisko z maskownicą z tworzywa w kolorze czarnym</w:t>
      </w:r>
      <w:r>
        <w:rPr>
          <w:rFonts w:eastAsia="Calibri" w:cs="Times New Roman" w:ascii="Times New Roman" w:hAnsi="Times New Roman" w:eastAsiaTheme="minorHAnsi"/>
          <w:b w:val="false"/>
          <w:bCs w:val="false"/>
          <w:sz w:val="24"/>
          <w:szCs w:val="24"/>
          <w:shd w:fill="auto" w:val="clear"/>
        </w:rPr>
        <w:t>;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76" w:before="0" w:after="0"/>
        <w:ind w:hanging="397" w:left="1020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kolor tapicerki: do uzgodnienia z użytkownikiem;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lineRule="auto" w:line="276" w:before="0" w:after="0"/>
        <w:ind w:hanging="397" w:left="102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wymagany certyfikat zgodność produktu z normą EN 1335:1:2 (wymiary, bezpieczeństwo, stabilność i wytrzymałość).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102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Zdjęcie poglądowe: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102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102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708660</wp:posOffset>
            </wp:positionH>
            <wp:positionV relativeFrom="paragraph">
              <wp:posOffset>8890</wp:posOffset>
            </wp:positionV>
            <wp:extent cx="1721485" cy="2573655"/>
            <wp:effectExtent l="0" t="0" r="0" b="0"/>
            <wp:wrapSquare wrapText="left"/>
            <wp:docPr id="2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3024505</wp:posOffset>
            </wp:positionH>
            <wp:positionV relativeFrom="paragraph">
              <wp:posOffset>635</wp:posOffset>
            </wp:positionV>
            <wp:extent cx="2058035" cy="2614930"/>
            <wp:effectExtent l="0" t="0" r="0" b="0"/>
            <wp:wrapSquare wrapText="largest"/>
            <wp:docPr id="3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B.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stół konferencyjny składany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, 1600x800 mm, szary lub biały – 5 sztuk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Zdjęcia poglądowe: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3190240</wp:posOffset>
            </wp:positionH>
            <wp:positionV relativeFrom="paragraph">
              <wp:posOffset>21590</wp:posOffset>
            </wp:positionV>
            <wp:extent cx="2106295" cy="2106295"/>
            <wp:effectExtent l="0" t="0" r="0" b="0"/>
            <wp:wrapSquare wrapText="left"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996950</wp:posOffset>
            </wp:positionH>
            <wp:positionV relativeFrom="paragraph">
              <wp:posOffset>22225</wp:posOffset>
            </wp:positionV>
            <wp:extent cx="1657350" cy="2106295"/>
            <wp:effectExtent l="0" t="0" r="0" b="0"/>
            <wp:wrapSquare wrapText="left"/>
            <wp:docPr id="5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C.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stoły 4-osobowe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, 80x80 cm, lat laminat/kompozyt – 10 sztuk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Zdjęcia poglądowe: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1593215</wp:posOffset>
            </wp:positionH>
            <wp:positionV relativeFrom="paragraph">
              <wp:posOffset>-12065</wp:posOffset>
            </wp:positionV>
            <wp:extent cx="1935480" cy="1706880"/>
            <wp:effectExtent l="0" t="0" r="0" b="0"/>
            <wp:wrapSquare wrapText="left"/>
            <wp:docPr id="6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15373" r="406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D.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krzesła konferencyjne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, sztaplowane, wykonane z polipropylenu ze stalową ramą o przekroju okrągłym 10 mm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lub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 krzesło konferencyjne, sztaplowane wykonane ze sklejki gięto-klejonej o grubości 8-10 mm stanowiąca siedzisko i oparcie mebla, stalowa rama wykonana z pręta o przekroju okrągłym ok. 12 mm. Kolor grafitowy lub granatowy lub jasnoniebieski lub naturalnego drewna – 72 sztuki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Zdjęcia poglądowe: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1543050</wp:posOffset>
            </wp:positionH>
            <wp:positionV relativeFrom="paragraph">
              <wp:posOffset>80645</wp:posOffset>
            </wp:positionV>
            <wp:extent cx="2015490" cy="2015490"/>
            <wp:effectExtent l="0" t="0" r="0" b="0"/>
            <wp:wrapSquare wrapText="left"/>
            <wp:docPr id="7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E.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regał 5-półkowy o nośności półki 200kg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, ilość poziomów: 5, wysokość regału: 1900-2200 mm, długość półki: 1300-1500 mm, głębokość półki: 450-500 mm, – 5 sztuk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1670050</wp:posOffset>
            </wp:positionH>
            <wp:positionV relativeFrom="paragraph">
              <wp:posOffset>62230</wp:posOffset>
            </wp:positionV>
            <wp:extent cx="2024380" cy="2024380"/>
            <wp:effectExtent l="0" t="0" r="0" b="0"/>
            <wp:wrapSquare wrapText="left"/>
            <wp:docPr id="8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Zdjęcia poglądowe: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F.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stojak ekspozycyjny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 - stojak jezdny na prospekty, ulotki oraz druki reklamowe. Konstrukcja plastikowa (wzmocniona metalem z pięcioma półkami) lub metalowa w kolorze czarnym. Możliwość umieszczenia min. 21 prospektów w formacie A4. Półki pochylone z podwyższonym obrzeżem, szerokość całkowita 800-900 mm, głębokość całkowita 350-400 mm, wysokość całkowita 1600-1700 mm; szerokość półki </w:t>
        <w:tab/>
        <w:t>720-780 mm, ilość półek: 5, wysokość przedziału 320-350 mm, jednostronny – 2 sztuki,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1645920</wp:posOffset>
            </wp:positionH>
            <wp:positionV relativeFrom="paragraph">
              <wp:posOffset>50165</wp:posOffset>
            </wp:positionV>
            <wp:extent cx="1836420" cy="1836420"/>
            <wp:effectExtent l="0" t="0" r="0" b="0"/>
            <wp:wrapSquare wrapText="left"/>
            <wp:docPr id="9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Zdjęcia poglądowe: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G.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regał drewniany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 - tworzywo: drewno; wysokość: 175-200 cm, szerokość: 75-80 cm, głębokość: 40-50 cm,  ilość półek: 6 – 3 sztuki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1650365</wp:posOffset>
            </wp:positionH>
            <wp:positionV relativeFrom="paragraph">
              <wp:posOffset>60960</wp:posOffset>
            </wp:positionV>
            <wp:extent cx="1828800" cy="1828800"/>
            <wp:effectExtent l="0" t="0" r="0" b="0"/>
            <wp:wrapSquare wrapText="left"/>
            <wp:docPr id="10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Zdjęcia poglądowe: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H.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kosz na śmieci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prostokątny</w:t>
      </w: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1873885</wp:posOffset>
            </wp:positionH>
            <wp:positionV relativeFrom="paragraph">
              <wp:posOffset>262890</wp:posOffset>
            </wp:positionV>
            <wp:extent cx="790575" cy="1229360"/>
            <wp:effectExtent l="0" t="0" r="0" b="0"/>
            <wp:wrapSquare wrapText="left"/>
            <wp:docPr id="11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, stal szlachetna, 35L, z samozamykającą się wahadłową pokrywą – 2 sztuki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/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Zdjęcia poglądowe: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340" w:right="0"/>
        <w:jc w:val="both"/>
        <w:rPr>
          <w:rFonts w:ascii="Times New Roman" w:hAnsi="Times New Roman" w:eastAsia="Calibri" w:cs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340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Kod i nazwa CPV: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340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39130000 - Meble biurowe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340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39150000 - Różne meble i wyposażenie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340" w:right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hanging="340" w:left="340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Termin realizacji zamówienia: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 do 8 grudnia 2023 r.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720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340" w:right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Kryteria oceny ofert wraz z informacją o wagach punktowych lub procentowych: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340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Cena (z VAT) za całość zamówienia - 100 %.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340" w:right="0"/>
        <w:jc w:val="both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Cena podana przez Wykonawcę będzie obowiązywać przez okres ważności umowy i nie będzie podlegać waloryzacji w okresie jej trwania.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227" w:right="0"/>
        <w:jc w:val="left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hanging="340" w:left="340" w:right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Opis sposobu przyznawania punktacji za spełnianie kryteriów oceny ofert: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113" w:after="0"/>
        <w:ind w:hanging="0" w:left="283" w:right="0"/>
        <w:jc w:val="both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Spośród ofert nieodrzuconych - spełniających wymagane warunki zamawiający wybierze ofertę najkorzystniejszą tj. z najniższą ceną.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283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283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Punkty będą przyznane wg następującego wzoru: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283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ab/>
        <w:t>C = (C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  <w:vertAlign w:val="subscript"/>
        </w:rPr>
        <w:t>min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 xml:space="preserve"> : C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  <w:vertAlign w:val="subscript"/>
        </w:rPr>
        <w:t>0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) x 100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283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gdzie: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907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C - ilość punktów przyznana danej ofercie za cenę;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907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C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  <w:vertAlign w:val="subscript"/>
        </w:rPr>
        <w:t>min.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- najniższa cena zaoferowana w postępowaniu;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907" w:right="0"/>
        <w:jc w:val="left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C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  <w:vertAlign w:val="subscript"/>
        </w:rPr>
        <w:t xml:space="preserve">0 </w:t>
      </w: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- cena oferty, dla której wynik jest obliczany.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720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720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hanging="340" w:left="340" w:right="0"/>
        <w:jc w:val="both"/>
        <w:rPr>
          <w:rFonts w:ascii="Times New Roman" w:hAnsi="Times New Roman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Zamawiający dopuszcza możliwość zmian zawartej umowy w następujących warunka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ch:</w:t>
      </w:r>
    </w:p>
    <w:p>
      <w:pPr>
        <w:pStyle w:val="Normal"/>
        <w:widowControl/>
        <w:numPr>
          <w:ilvl w:val="1"/>
          <w:numId w:val="1"/>
        </w:numPr>
        <w:suppressAutoHyphens w:val="true"/>
        <w:bidi w:val="0"/>
        <w:spacing w:lineRule="auto" w:line="240" w:before="0" w:after="0"/>
        <w:ind w:hanging="340" w:left="737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Zamawiający wymaga aby Wykonawca oferował wyłącznie asortyment dopuszczony do obrotu i użytkowania na podstawie obowiązujących norm i przepisów,</w:t>
      </w:r>
    </w:p>
    <w:p>
      <w:pPr>
        <w:pStyle w:val="Normal"/>
        <w:widowControl/>
        <w:numPr>
          <w:ilvl w:val="1"/>
          <w:numId w:val="1"/>
        </w:numPr>
        <w:suppressAutoHyphens w:val="true"/>
        <w:bidi w:val="0"/>
        <w:spacing w:lineRule="auto" w:line="240" w:before="0" w:after="0"/>
        <w:ind w:hanging="340" w:left="737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Zamawiający wymaga aby przedmiot dostawy był fabrycznie nowy, wolny od wad i niepochodzący z ekspozycji bądź wystaw,</w:t>
      </w:r>
    </w:p>
    <w:p>
      <w:pPr>
        <w:pStyle w:val="Normal"/>
        <w:widowControl/>
        <w:numPr>
          <w:ilvl w:val="1"/>
          <w:numId w:val="1"/>
        </w:numPr>
        <w:suppressAutoHyphens w:val="true"/>
        <w:bidi w:val="0"/>
        <w:spacing w:lineRule="auto" w:line="240" w:before="0" w:after="0"/>
        <w:ind w:hanging="340" w:left="737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termin płatności ustala się do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21 dni</w:t>
      </w:r>
      <w:r>
        <w:rPr>
          <w:rFonts w:eastAsia="Calibri" w:cs="Times New Roman" w:ascii="Times New Roman" w:hAnsi="Times New Roman"/>
          <w:sz w:val="24"/>
          <w:szCs w:val="24"/>
        </w:rPr>
        <w:t xml:space="preserve"> od poprawnie złożonej faktury zamawiającemu na podstawie protokołu odbioru prac,</w:t>
      </w:r>
    </w:p>
    <w:p>
      <w:pPr>
        <w:pStyle w:val="Normal"/>
        <w:widowControl/>
        <w:numPr>
          <w:ilvl w:val="1"/>
          <w:numId w:val="1"/>
        </w:numPr>
        <w:suppressAutoHyphens w:val="true"/>
        <w:bidi w:val="0"/>
        <w:spacing w:lineRule="auto" w:line="240" w:before="0" w:after="0"/>
        <w:ind w:hanging="340" w:left="737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wykonawca udzieli na wykonane roboty budowlane gwarancji na okres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 xml:space="preserve">36 miesięcy </w:t>
      </w:r>
      <w:r>
        <w:rPr>
          <w:rFonts w:eastAsia="Calibri" w:cs="Times New Roman" w:ascii="Times New Roman" w:hAnsi="Times New Roman"/>
          <w:sz w:val="24"/>
          <w:szCs w:val="24"/>
        </w:rPr>
        <w:t>licząc od daty protokołu odbioru końcowego,</w:t>
      </w:r>
    </w:p>
    <w:p>
      <w:pPr>
        <w:pStyle w:val="Normal"/>
        <w:widowControl/>
        <w:numPr>
          <w:ilvl w:val="1"/>
          <w:numId w:val="1"/>
        </w:numPr>
        <w:suppressAutoHyphens w:val="true"/>
        <w:bidi w:val="0"/>
        <w:spacing w:lineRule="auto" w:line="240" w:before="0" w:after="0"/>
        <w:ind w:hanging="340" w:left="737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zamawiający może naliczyć wykonawcy kary umowne za zwłokę w wykonaniu przedmiotu umowy w wysokości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 xml:space="preserve"> 1 %</w:t>
      </w:r>
      <w:r>
        <w:rPr>
          <w:rFonts w:eastAsia="Calibri" w:cs="Times New Roman" w:ascii="Times New Roman" w:hAnsi="Times New Roman"/>
          <w:sz w:val="24"/>
          <w:szCs w:val="24"/>
        </w:rPr>
        <w:t xml:space="preserve"> łącznego wynagrodzenia umownego brutto,</w:t>
      </w:r>
    </w:p>
    <w:p>
      <w:pPr>
        <w:pStyle w:val="Normal"/>
        <w:widowControl/>
        <w:numPr>
          <w:ilvl w:val="1"/>
          <w:numId w:val="1"/>
        </w:numPr>
        <w:suppressAutoHyphens w:val="true"/>
        <w:bidi w:val="0"/>
        <w:spacing w:lineRule="auto" w:line="240" w:before="0" w:after="0"/>
        <w:ind w:hanging="340" w:left="737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kwota wynagrodzenia będzie obejmować wszelkie koszty niezbędne do realizacji zadania,</w:t>
      </w:r>
    </w:p>
    <w:p>
      <w:pPr>
        <w:pStyle w:val="Normal"/>
        <w:widowControl/>
        <w:numPr>
          <w:ilvl w:val="1"/>
          <w:numId w:val="1"/>
        </w:numPr>
        <w:suppressAutoHyphens w:val="true"/>
        <w:bidi w:val="0"/>
        <w:spacing w:lineRule="auto" w:line="240" w:before="0" w:after="0"/>
        <w:ind w:hanging="340" w:left="737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wszelkie zmiany postanowień umowy wymagają zgody obu stron, wyrażonej na piśmie pod rygorem nieważności,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720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hanging="340" w:left="340" w:right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Ofertę należy złożyć :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340" w:right="0"/>
        <w:jc w:val="both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Ofertę zgodną z treścią załącznika nr 1 należy przesłać w formie elektronicznej na adres e</w:t>
        <w:noBreakHyphen/>
        <w:t>mail: inwestycje1@um.cieszyn.pl lub złożyć w biurze podawczym Urzędu Miejskiego w Cieszynie, Rynek 1, 43-400 Cieszyn.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720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hanging="340" w:left="340" w:right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 xml:space="preserve">Termin złożenia oferty: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227" w:right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Oferty należy złożyć w terminie do dnia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 xml:space="preserve">13.11.2023 r. 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227" w:right="0"/>
        <w:jc w:val="lef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Gmina Cieszyn zastrzega sobie prawo do zmiany terminu składania ofert.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720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720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hanging="340" w:left="340" w:right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Osobą uprawnioną do kontaktów z Wykonawcami jest: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340" w:right="0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Arkadiusz Smoczyński, tel.: +48 33/4794353 oraz Barbara Panak tel.: +48 33/4794355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720"/>
        <w:rPr>
          <w:rFonts w:eastAsia="Calibri" w:cs="Times New Roman"/>
          <w:b/>
          <w:bCs/>
        </w:rPr>
      </w:pPr>
      <w:r>
        <w:rPr>
          <w:rFonts w:eastAsia="Calibri" w:cs="Times New Roman"/>
          <w:b/>
          <w:bCs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hanging="340" w:left="340" w:right="0"/>
        <w:jc w:val="both"/>
        <w:rPr>
          <w:rFonts w:ascii="Times New Roman" w:hAnsi="Times New Roman"/>
          <w:b w:val="false"/>
          <w:bCs w:val="false"/>
          <w:sz w:val="24"/>
          <w:szCs w:val="24"/>
        </w:rPr>
      </w:pPr>
      <w:r>
        <w:rPr>
          <w:rFonts w:eastAsia="Calibri" w:cs="Times New Roman" w:ascii="Times New Roman" w:hAnsi="Times New Roman"/>
          <w:b w:val="false"/>
          <w:bCs w:val="false"/>
          <w:sz w:val="24"/>
          <w:szCs w:val="24"/>
        </w:rPr>
        <w:t>Niniejsze ogłoszenie nie jest ogłoszeniem w rozumieniu ustawy Prawo Zamówień Publicznych.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340" w:right="0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widowControl/>
        <w:numPr>
          <w:ilvl w:val="0"/>
          <w:numId w:val="1"/>
        </w:numPr>
        <w:tabs>
          <w:tab w:val="clear" w:pos="720"/>
          <w:tab w:val="left" w:pos="508" w:leader="none"/>
        </w:tabs>
        <w:suppressAutoHyphens w:val="true"/>
        <w:bidi w:val="0"/>
        <w:spacing w:lineRule="auto" w:line="240" w:before="0" w:after="0"/>
        <w:ind w:hanging="340" w:left="340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Zaproszenie do składania ofert nie stanowi zobowiązania Gminy Cieszyn do zawarcia umowy.</w:t>
      </w:r>
    </w:p>
    <w:p>
      <w:pPr>
        <w:pStyle w:val="Normal"/>
        <w:widowControl/>
        <w:numPr>
          <w:ilvl w:val="0"/>
          <w:numId w:val="0"/>
        </w:numPr>
        <w:tabs>
          <w:tab w:val="clear" w:pos="720"/>
          <w:tab w:val="left" w:pos="508" w:leader="none"/>
        </w:tabs>
        <w:suppressAutoHyphens w:val="true"/>
        <w:bidi w:val="0"/>
        <w:spacing w:lineRule="auto" w:line="240" w:before="0" w:after="0"/>
        <w:ind w:hanging="0" w:left="340" w:right="0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widowControl/>
        <w:numPr>
          <w:ilvl w:val="0"/>
          <w:numId w:val="1"/>
        </w:numPr>
        <w:tabs>
          <w:tab w:val="clear" w:pos="720"/>
          <w:tab w:val="left" w:pos="508" w:leader="none"/>
        </w:tabs>
        <w:suppressAutoHyphens w:val="true"/>
        <w:bidi w:val="0"/>
        <w:spacing w:lineRule="auto" w:line="240" w:before="0" w:after="0"/>
        <w:ind w:hanging="510" w:left="510" w:right="0"/>
        <w:jc w:val="both"/>
        <w:rPr>
          <w:rFonts w:ascii="Times New Roman" w:hAnsi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Zamawiający zastrzega sobie prawo do unieważnienia postępowania na każdym jego etapie bez podania przyczyny.</w:t>
      </w:r>
    </w:p>
    <w:p>
      <w:pPr>
        <w:pStyle w:val="Normal"/>
        <w:widowControl/>
        <w:numPr>
          <w:ilvl w:val="0"/>
          <w:numId w:val="0"/>
        </w:numPr>
        <w:tabs>
          <w:tab w:val="clear" w:pos="720"/>
          <w:tab w:val="left" w:pos="508" w:leader="none"/>
        </w:tabs>
        <w:suppressAutoHyphens w:val="true"/>
        <w:bidi w:val="0"/>
        <w:spacing w:lineRule="auto" w:line="240" w:before="0" w:after="0"/>
        <w:ind w:hanging="0" w:left="510" w:right="0"/>
        <w:jc w:val="both"/>
        <w:rPr>
          <w:rFonts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widowControl/>
        <w:numPr>
          <w:ilvl w:val="0"/>
          <w:numId w:val="1"/>
        </w:numPr>
        <w:tabs>
          <w:tab w:val="clear" w:pos="720"/>
          <w:tab w:val="left" w:pos="508" w:leader="none"/>
        </w:tabs>
        <w:suppressAutoHyphens w:val="true"/>
        <w:bidi w:val="0"/>
        <w:spacing w:lineRule="auto" w:line="240" w:before="0" w:after="0"/>
        <w:ind w:hanging="510" w:left="510" w:right="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Klauzula informacyjna dotycząca zasad przetwarzania danych osobowych dostępna jest na stronie </w:t>
      </w:r>
      <w:r>
        <w:rPr>
          <w:rFonts w:cs="Times New Roman" w:ascii="Times New Roman" w:hAnsi="Times New Roman"/>
          <w:color w:val="000000"/>
          <w:sz w:val="24"/>
          <w:szCs w:val="24"/>
          <w:u w:val="single"/>
        </w:rPr>
        <w:t>bip.um.cieszyn.pl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w dziale Zamówienia publiczne/Klauzula informacyjna (RODO).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W załączeniu: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ind w:hanging="340" w:left="397" w:right="0"/>
        <w:jc w:val="lef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załącznik nr 1 - formularz oferty;</w:t>
      </w:r>
    </w:p>
    <w:p>
      <w:pPr>
        <w:pStyle w:val="Normal"/>
        <w:widowControl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397" w:right="0"/>
        <w:jc w:val="lef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sectPr>
      <w:type w:val="nextPage"/>
      <w:pgSz w:w="11906" w:h="16838"/>
      <w:pgMar w:left="1417" w:right="1417" w:gutter="0" w:header="0" w:top="993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Times New Roman">
    <w:charset w:val="01"/>
    <w:family w:val="roman"/>
    <w:pitch w:val="default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 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upperLetter"/>
      <w:lvlText w:val=" %4)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Znakinumeracji">
    <w:name w:val="Znaki numeracji"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Times New Roman" w:hAnsi="Times New Roman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Times New Roman" w:hAnsi="Times New Roman"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ascii="Times New Roman" w:hAnsi="Times New Roman" w:cs="Arial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Numeracja123">
    <w:name w:val="Numeracja 123"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EFD5C-52BE-4D9B-A46E-8A786CC9A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Application>LibreOffice/7.6.2.1$Windows_X86_64 LibreOffice_project/56f7684011345957bbf33a7ee678afaf4d2ba333</Application>
  <AppVersion>15.0000</AppVersion>
  <Pages>5</Pages>
  <Words>774</Words>
  <Characters>4888</Characters>
  <CharactersWithSpaces>5613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2020-12-28T13:41:00Z</dcterms:created>
  <dc:creator>Marcin Rycko</dc:creator>
  <dc:description/>
  <dc:language>pl-PL</dc:language>
  <cp:lastModifiedBy>B. P.</cp:lastModifiedBy>
  <cp:lastPrinted>2020-12-21T10:46:00Z</cp:lastPrinted>
  <dcterms:modified xsi:type="dcterms:W3CDTF">2023-11-08T13:16:03Z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