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703C9" w14:textId="1D923478" w:rsidR="00AC588F" w:rsidRPr="00655C21" w:rsidRDefault="00AC588F" w:rsidP="005614ED">
      <w:pPr>
        <w:jc w:val="right"/>
        <w:rPr>
          <w:rFonts w:ascii="Calibri" w:hAnsi="Calibri" w:cs="Calibri"/>
          <w:b/>
          <w:sz w:val="24"/>
          <w:szCs w:val="24"/>
        </w:rPr>
      </w:pPr>
      <w:r w:rsidRPr="00655C21">
        <w:rPr>
          <w:rFonts w:ascii="Calibri" w:hAnsi="Calibri" w:cs="Calibri"/>
          <w:b/>
          <w:sz w:val="24"/>
          <w:szCs w:val="24"/>
        </w:rPr>
        <w:t xml:space="preserve">Załącznik nr </w:t>
      </w:r>
      <w:r w:rsidR="00CA3A72" w:rsidRPr="00655C21">
        <w:rPr>
          <w:rFonts w:ascii="Calibri" w:hAnsi="Calibri" w:cs="Calibri"/>
          <w:b/>
          <w:sz w:val="24"/>
          <w:szCs w:val="24"/>
        </w:rPr>
        <w:t>6</w:t>
      </w:r>
      <w:r w:rsidRPr="00655C21">
        <w:rPr>
          <w:rFonts w:ascii="Calibri" w:hAnsi="Calibri" w:cs="Calibri"/>
          <w:b/>
          <w:sz w:val="24"/>
          <w:szCs w:val="24"/>
        </w:rPr>
        <w:t xml:space="preserve"> do SWZ </w:t>
      </w:r>
    </w:p>
    <w:p w14:paraId="2665FF79" w14:textId="77777777" w:rsidR="005D4C4D" w:rsidRDefault="00AC588F" w:rsidP="00655C21">
      <w:pPr>
        <w:spacing w:line="240" w:lineRule="auto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b/>
          <w:sz w:val="24"/>
          <w:szCs w:val="24"/>
        </w:rPr>
        <w:t>dotyczy:</w:t>
      </w:r>
      <w:r w:rsidRPr="00CA3A72">
        <w:rPr>
          <w:rFonts w:ascii="Calibri" w:hAnsi="Calibri" w:cs="Calibri"/>
          <w:sz w:val="24"/>
          <w:szCs w:val="24"/>
        </w:rPr>
        <w:t xml:space="preserve"> postępowania o udzielenie zamówienia publicznego prow</w:t>
      </w:r>
      <w:r w:rsidR="0062596B" w:rsidRPr="00CA3A72">
        <w:rPr>
          <w:rFonts w:ascii="Calibri" w:hAnsi="Calibri" w:cs="Calibri"/>
          <w:sz w:val="24"/>
          <w:szCs w:val="24"/>
        </w:rPr>
        <w:t xml:space="preserve">adzonego w trybie </w:t>
      </w:r>
    </w:p>
    <w:p w14:paraId="248AA8DB" w14:textId="767CA229" w:rsidR="005D4C4D" w:rsidRDefault="0062596B" w:rsidP="00655C21">
      <w:pPr>
        <w:spacing w:line="240" w:lineRule="auto"/>
        <w:jc w:val="left"/>
        <w:rPr>
          <w:rFonts w:ascii="Calibri" w:eastAsia="Calibri" w:hAnsi="Calibri" w:cs="Calibri"/>
          <w:b/>
          <w:kern w:val="2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 xml:space="preserve">przetargu nieograniczonego </w:t>
      </w:r>
      <w:r w:rsidR="00AC588F" w:rsidRPr="00CA3A72">
        <w:rPr>
          <w:rFonts w:ascii="Calibri" w:hAnsi="Calibri" w:cs="Calibri"/>
          <w:sz w:val="24"/>
          <w:szCs w:val="24"/>
        </w:rPr>
        <w:t xml:space="preserve">pn. </w:t>
      </w:r>
      <w:r w:rsidR="00AC588F" w:rsidRPr="00CA3A72">
        <w:rPr>
          <w:rFonts w:ascii="Calibri" w:hAnsi="Calibri" w:cs="Calibri"/>
          <w:b/>
          <w:bCs/>
          <w:sz w:val="24"/>
          <w:szCs w:val="24"/>
        </w:rPr>
        <w:t>„</w:t>
      </w:r>
      <w:r w:rsidR="00CA3A72" w:rsidRPr="00CA3A72">
        <w:rPr>
          <w:rFonts w:ascii="Calibri" w:eastAsia="Calibri" w:hAnsi="Calibri" w:cs="Calibri"/>
          <w:b/>
          <w:kern w:val="2"/>
          <w:sz w:val="24"/>
          <w:szCs w:val="24"/>
        </w:rPr>
        <w:t xml:space="preserve">Udzielenie kredytu długoterminowego w wysokości </w:t>
      </w:r>
    </w:p>
    <w:p w14:paraId="40CBFC39" w14:textId="50CEB1DF" w:rsidR="00AC588F" w:rsidRPr="00CA3A72" w:rsidRDefault="00CA3A72" w:rsidP="00655C21">
      <w:pPr>
        <w:spacing w:line="240" w:lineRule="auto"/>
        <w:jc w:val="left"/>
        <w:rPr>
          <w:rFonts w:ascii="Calibri" w:hAnsi="Calibri" w:cs="Calibri"/>
          <w:b/>
          <w:sz w:val="24"/>
          <w:szCs w:val="24"/>
        </w:rPr>
      </w:pPr>
      <w:r w:rsidRPr="00CA3A72">
        <w:rPr>
          <w:rFonts w:ascii="Calibri" w:eastAsia="Calibri" w:hAnsi="Calibri" w:cs="Calibri"/>
          <w:b/>
          <w:kern w:val="2"/>
          <w:sz w:val="24"/>
          <w:szCs w:val="24"/>
        </w:rPr>
        <w:t>5 000 000,00 zł zaplanowanego w budżecie Gminy Kluczbork na 2024 rok</w:t>
      </w:r>
      <w:r w:rsidR="00AC588F" w:rsidRPr="00CA3A72">
        <w:rPr>
          <w:rFonts w:ascii="Calibri" w:hAnsi="Calibri" w:cs="Calibri"/>
          <w:b/>
          <w:bCs/>
          <w:sz w:val="24"/>
          <w:szCs w:val="24"/>
        </w:rPr>
        <w:t>”</w:t>
      </w:r>
    </w:p>
    <w:p w14:paraId="279DDBC3" w14:textId="6291D94B" w:rsidR="00AC588F" w:rsidRPr="00655C21" w:rsidRDefault="00AC588F" w:rsidP="00655C21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CA3A72">
        <w:rPr>
          <w:rFonts w:ascii="Calibri" w:hAnsi="Calibri" w:cs="Calibri"/>
          <w:b/>
          <w:sz w:val="28"/>
          <w:szCs w:val="28"/>
        </w:rPr>
        <w:t>ISTOTNE POSTANOWIENIA UMOW</w:t>
      </w:r>
      <w:r w:rsidR="00211E2A">
        <w:rPr>
          <w:rFonts w:ascii="Calibri" w:hAnsi="Calibri" w:cs="Calibri"/>
          <w:b/>
          <w:sz w:val="28"/>
          <w:szCs w:val="28"/>
        </w:rPr>
        <w:t>NE</w:t>
      </w:r>
    </w:p>
    <w:p w14:paraId="6E049DB5" w14:textId="1B8BAF6A" w:rsidR="00AC588F" w:rsidRPr="00CA3A72" w:rsidRDefault="00AC588F" w:rsidP="00655C21">
      <w:pPr>
        <w:widowControl w:val="0"/>
        <w:suppressAutoHyphens/>
        <w:spacing w:after="0" w:line="240" w:lineRule="auto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>Zamawiający udzieli zamówienia publicznego Wykonawcy, którego oferta odpowiada wszystkim wymaganiom określonym w ustawie Prawo zamówień publicznych i Specyfikacji Warunków Zamówienia i została oceniona jako najkorzystniejsza w oparciu o wskazane kryteria i sposób oceny ofert. Wykonawca, wraz z formularzem ofertowym i innymi załącznikami wymaganymi w niniejszym postępowaniu o udzielenie zamówienia publicznego przedłoży Zamawiającemu projekt umowy, który będzie uwzględniał następujące postanowienia:</w:t>
      </w:r>
    </w:p>
    <w:p w14:paraId="422308BD" w14:textId="41465DF5" w:rsidR="00AC588F" w:rsidRPr="00CA3A72" w:rsidRDefault="005D4C4D" w:rsidP="00655C21">
      <w:pPr>
        <w:widowControl w:val="0"/>
        <w:numPr>
          <w:ilvl w:val="0"/>
          <w:numId w:val="2"/>
        </w:numPr>
        <w:suppressAutoHyphens/>
        <w:spacing w:after="0" w:line="240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</w:t>
      </w:r>
      <w:r w:rsidR="00AC588F" w:rsidRPr="00CA3A72">
        <w:rPr>
          <w:rFonts w:ascii="Calibri" w:hAnsi="Calibri" w:cs="Calibri"/>
          <w:sz w:val="24"/>
          <w:szCs w:val="24"/>
        </w:rPr>
        <w:t xml:space="preserve">rzedmiotem zamówienia jest usługa </w:t>
      </w:r>
      <w:r w:rsidR="0062596B" w:rsidRPr="00CA3A72">
        <w:rPr>
          <w:rFonts w:ascii="Calibri" w:hAnsi="Calibri" w:cs="Calibri"/>
          <w:sz w:val="24"/>
          <w:szCs w:val="24"/>
        </w:rPr>
        <w:t>udzielenia kredytu długoterminowego w kwocie 5 000 000,00 zł</w:t>
      </w:r>
      <w:r w:rsidR="00AC588F" w:rsidRPr="00CA3A72">
        <w:rPr>
          <w:rFonts w:ascii="Calibri" w:hAnsi="Calibri" w:cs="Calibri"/>
          <w:sz w:val="24"/>
          <w:szCs w:val="24"/>
        </w:rPr>
        <w:t>;</w:t>
      </w:r>
    </w:p>
    <w:p w14:paraId="5513085C" w14:textId="6C00D5F3" w:rsidR="0062596B" w:rsidRPr="00CA3A72" w:rsidRDefault="005D4C4D" w:rsidP="00655C21">
      <w:pPr>
        <w:widowControl w:val="0"/>
        <w:numPr>
          <w:ilvl w:val="0"/>
          <w:numId w:val="2"/>
        </w:numPr>
        <w:suppressAutoHyphens/>
        <w:spacing w:after="0" w:line="240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</w:t>
      </w:r>
      <w:r w:rsidR="00AC588F" w:rsidRPr="00CA3A72">
        <w:rPr>
          <w:rFonts w:ascii="Calibri" w:hAnsi="Calibri" w:cs="Calibri"/>
          <w:sz w:val="24"/>
          <w:szCs w:val="24"/>
        </w:rPr>
        <w:t xml:space="preserve">płata przejętego zobowiązania nastąpi w </w:t>
      </w:r>
      <w:r w:rsidR="0062596B" w:rsidRPr="00CA3A72">
        <w:rPr>
          <w:rFonts w:ascii="Calibri" w:hAnsi="Calibri" w:cs="Calibri"/>
          <w:sz w:val="24"/>
          <w:szCs w:val="24"/>
        </w:rPr>
        <w:t>12</w:t>
      </w:r>
      <w:r w:rsidR="00AC588F" w:rsidRPr="00CA3A72">
        <w:rPr>
          <w:rFonts w:ascii="Calibri" w:hAnsi="Calibri" w:cs="Calibri"/>
          <w:sz w:val="24"/>
          <w:szCs w:val="24"/>
        </w:rPr>
        <w:t xml:space="preserve"> </w:t>
      </w:r>
      <w:r w:rsidR="0062596B" w:rsidRPr="00CA3A72">
        <w:rPr>
          <w:rFonts w:ascii="Calibri" w:hAnsi="Calibri" w:cs="Calibri"/>
          <w:sz w:val="24"/>
          <w:szCs w:val="24"/>
        </w:rPr>
        <w:t>rocznych</w:t>
      </w:r>
      <w:r w:rsidR="00AC588F" w:rsidRPr="00CA3A72">
        <w:rPr>
          <w:rFonts w:ascii="Calibri" w:hAnsi="Calibri" w:cs="Calibri"/>
          <w:sz w:val="24"/>
          <w:szCs w:val="24"/>
        </w:rPr>
        <w:t xml:space="preserve"> ratach płatnych w terminie</w:t>
      </w:r>
      <w:r w:rsidR="0062596B" w:rsidRPr="00CA3A72">
        <w:rPr>
          <w:rFonts w:ascii="Calibri" w:hAnsi="Calibri" w:cs="Calibri"/>
          <w:sz w:val="24"/>
          <w:szCs w:val="24"/>
        </w:rPr>
        <w:t>:</w:t>
      </w:r>
      <w:r w:rsidR="0062596B" w:rsidRPr="00CA3A72">
        <w:rPr>
          <w:rFonts w:ascii="Calibri" w:hAnsi="Calibri" w:cs="Calibri"/>
          <w:sz w:val="24"/>
          <w:szCs w:val="24"/>
        </w:rPr>
        <w:br/>
      </w:r>
      <w:r w:rsidR="00CD35AE" w:rsidRPr="00CA3A72">
        <w:rPr>
          <w:rFonts w:ascii="Calibri" w:hAnsi="Calibri" w:cs="Calibri"/>
          <w:sz w:val="24"/>
          <w:szCs w:val="24"/>
        </w:rPr>
        <w:t xml:space="preserve">- </w:t>
      </w:r>
      <w:r w:rsidR="0062596B" w:rsidRPr="00CA3A72">
        <w:rPr>
          <w:rFonts w:ascii="Calibri" w:hAnsi="Calibri" w:cs="Calibri"/>
          <w:sz w:val="24"/>
          <w:szCs w:val="24"/>
        </w:rPr>
        <w:t xml:space="preserve">do 30 IX 2025 r.   –  </w:t>
      </w:r>
      <w:r w:rsidR="0062596B" w:rsidRPr="00CA3A72">
        <w:rPr>
          <w:rFonts w:ascii="Calibri" w:hAnsi="Calibri" w:cs="Calibri"/>
          <w:sz w:val="24"/>
          <w:szCs w:val="24"/>
        </w:rPr>
        <w:tab/>
        <w:t>370 000,00 zł.</w:t>
      </w:r>
    </w:p>
    <w:p w14:paraId="5634991F" w14:textId="77777777" w:rsidR="0062596B" w:rsidRPr="00CA3A72" w:rsidRDefault="0062596B" w:rsidP="00655C21">
      <w:pPr>
        <w:widowControl w:val="0"/>
        <w:suppressAutoHyphens/>
        <w:spacing w:after="0" w:line="240" w:lineRule="auto"/>
        <w:ind w:left="720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 xml:space="preserve">- do 30 IX 2026 r.   – </w:t>
      </w:r>
      <w:r w:rsidRPr="00CA3A72">
        <w:rPr>
          <w:rFonts w:ascii="Calibri" w:hAnsi="Calibri" w:cs="Calibri"/>
          <w:sz w:val="24"/>
          <w:szCs w:val="24"/>
        </w:rPr>
        <w:tab/>
        <w:t>370 000,00 zł.</w:t>
      </w:r>
    </w:p>
    <w:p w14:paraId="3AE32316" w14:textId="77777777" w:rsidR="0062596B" w:rsidRPr="00CA3A72" w:rsidRDefault="0062596B" w:rsidP="00655C21">
      <w:pPr>
        <w:widowControl w:val="0"/>
        <w:suppressAutoHyphens/>
        <w:spacing w:after="0" w:line="240" w:lineRule="auto"/>
        <w:ind w:left="720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 xml:space="preserve">- do 30 IX 2027 r.   – </w:t>
      </w:r>
      <w:r w:rsidRPr="00CA3A72">
        <w:rPr>
          <w:rFonts w:ascii="Calibri" w:hAnsi="Calibri" w:cs="Calibri"/>
          <w:sz w:val="24"/>
          <w:szCs w:val="24"/>
        </w:rPr>
        <w:tab/>
        <w:t>370 000,00 zł.</w:t>
      </w:r>
    </w:p>
    <w:p w14:paraId="36C5E141" w14:textId="77777777" w:rsidR="0062596B" w:rsidRPr="00CA3A72" w:rsidRDefault="0062596B" w:rsidP="00655C21">
      <w:pPr>
        <w:widowControl w:val="0"/>
        <w:suppressAutoHyphens/>
        <w:spacing w:after="0" w:line="240" w:lineRule="auto"/>
        <w:ind w:left="720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 xml:space="preserve">- do 30 IX 2028 r.   – </w:t>
      </w:r>
      <w:r w:rsidRPr="00CA3A72">
        <w:rPr>
          <w:rFonts w:ascii="Calibri" w:hAnsi="Calibri" w:cs="Calibri"/>
          <w:sz w:val="24"/>
          <w:szCs w:val="24"/>
        </w:rPr>
        <w:tab/>
        <w:t>370 000,00 zł.</w:t>
      </w:r>
    </w:p>
    <w:p w14:paraId="605F416B" w14:textId="77777777" w:rsidR="0062596B" w:rsidRPr="00CA3A72" w:rsidRDefault="0062596B" w:rsidP="00655C21">
      <w:pPr>
        <w:widowControl w:val="0"/>
        <w:suppressAutoHyphens/>
        <w:spacing w:after="0" w:line="240" w:lineRule="auto"/>
        <w:ind w:left="720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 xml:space="preserve">- do 30 IX 2029 r.   – </w:t>
      </w:r>
      <w:r w:rsidRPr="00CA3A72">
        <w:rPr>
          <w:rFonts w:ascii="Calibri" w:hAnsi="Calibri" w:cs="Calibri"/>
          <w:sz w:val="24"/>
          <w:szCs w:val="24"/>
        </w:rPr>
        <w:tab/>
        <w:t>370 000,00 zł.</w:t>
      </w:r>
    </w:p>
    <w:p w14:paraId="415D98A9" w14:textId="77777777" w:rsidR="0062596B" w:rsidRPr="00CA3A72" w:rsidRDefault="0062596B" w:rsidP="00655C21">
      <w:pPr>
        <w:widowControl w:val="0"/>
        <w:suppressAutoHyphens/>
        <w:spacing w:after="0" w:line="240" w:lineRule="auto"/>
        <w:ind w:left="720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 xml:space="preserve">- do 30 IX 2030 r.   – </w:t>
      </w:r>
      <w:r w:rsidRPr="00CA3A72">
        <w:rPr>
          <w:rFonts w:ascii="Calibri" w:hAnsi="Calibri" w:cs="Calibri"/>
          <w:sz w:val="24"/>
          <w:szCs w:val="24"/>
        </w:rPr>
        <w:tab/>
        <w:t>380 000,00 zł.</w:t>
      </w:r>
    </w:p>
    <w:p w14:paraId="3EB66FB9" w14:textId="77777777" w:rsidR="0062596B" w:rsidRPr="00CA3A72" w:rsidRDefault="0062596B" w:rsidP="00655C21">
      <w:pPr>
        <w:widowControl w:val="0"/>
        <w:suppressAutoHyphens/>
        <w:spacing w:after="0" w:line="240" w:lineRule="auto"/>
        <w:ind w:left="720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 xml:space="preserve">- do 30 IX 2031 r.   – </w:t>
      </w:r>
      <w:r w:rsidRPr="00CA3A72">
        <w:rPr>
          <w:rFonts w:ascii="Calibri" w:hAnsi="Calibri" w:cs="Calibri"/>
          <w:sz w:val="24"/>
          <w:szCs w:val="24"/>
        </w:rPr>
        <w:tab/>
        <w:t>380 000,00 zł.</w:t>
      </w:r>
    </w:p>
    <w:p w14:paraId="77E8EE5C" w14:textId="77777777" w:rsidR="0062596B" w:rsidRPr="00CA3A72" w:rsidRDefault="0062596B" w:rsidP="00655C21">
      <w:pPr>
        <w:widowControl w:val="0"/>
        <w:suppressAutoHyphens/>
        <w:spacing w:after="0" w:line="240" w:lineRule="auto"/>
        <w:ind w:left="720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 xml:space="preserve">- do 30 IX 2032 r.   – </w:t>
      </w:r>
      <w:r w:rsidRPr="00CA3A72">
        <w:rPr>
          <w:rFonts w:ascii="Calibri" w:hAnsi="Calibri" w:cs="Calibri"/>
          <w:sz w:val="24"/>
          <w:szCs w:val="24"/>
        </w:rPr>
        <w:tab/>
        <w:t>380 000,00 zł.</w:t>
      </w:r>
    </w:p>
    <w:p w14:paraId="3E0D3DAD" w14:textId="77777777" w:rsidR="0062596B" w:rsidRPr="00CA3A72" w:rsidRDefault="0062596B" w:rsidP="00655C21">
      <w:pPr>
        <w:widowControl w:val="0"/>
        <w:suppressAutoHyphens/>
        <w:spacing w:after="0" w:line="240" w:lineRule="auto"/>
        <w:ind w:left="720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 xml:space="preserve">- do 30 IX 2033 r.   – </w:t>
      </w:r>
      <w:r w:rsidRPr="00CA3A72">
        <w:rPr>
          <w:rFonts w:ascii="Calibri" w:hAnsi="Calibri" w:cs="Calibri"/>
          <w:sz w:val="24"/>
          <w:szCs w:val="24"/>
        </w:rPr>
        <w:tab/>
        <w:t>380 000,00 zł.</w:t>
      </w:r>
    </w:p>
    <w:p w14:paraId="1D03F23D" w14:textId="77777777" w:rsidR="0062596B" w:rsidRPr="00CA3A72" w:rsidRDefault="0062596B" w:rsidP="00655C21">
      <w:pPr>
        <w:widowControl w:val="0"/>
        <w:suppressAutoHyphens/>
        <w:spacing w:after="0" w:line="240" w:lineRule="auto"/>
        <w:ind w:left="720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 xml:space="preserve">- do 30 IX 2034 r.   – </w:t>
      </w:r>
      <w:r w:rsidRPr="00CA3A72">
        <w:rPr>
          <w:rFonts w:ascii="Calibri" w:hAnsi="Calibri" w:cs="Calibri"/>
          <w:sz w:val="24"/>
          <w:szCs w:val="24"/>
        </w:rPr>
        <w:tab/>
        <w:t>420 000,00 zł.</w:t>
      </w:r>
    </w:p>
    <w:p w14:paraId="3B70C036" w14:textId="77777777" w:rsidR="0062596B" w:rsidRPr="00CA3A72" w:rsidRDefault="0062596B" w:rsidP="00655C21">
      <w:pPr>
        <w:widowControl w:val="0"/>
        <w:suppressAutoHyphens/>
        <w:spacing w:after="0" w:line="240" w:lineRule="auto"/>
        <w:ind w:left="720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 xml:space="preserve">- do 30 IX 2035 r.   – </w:t>
      </w:r>
      <w:r w:rsidRPr="00CA3A72">
        <w:rPr>
          <w:rFonts w:ascii="Calibri" w:hAnsi="Calibri" w:cs="Calibri"/>
          <w:sz w:val="24"/>
          <w:szCs w:val="24"/>
        </w:rPr>
        <w:tab/>
        <w:t>420 000,00 zł.</w:t>
      </w:r>
    </w:p>
    <w:p w14:paraId="6F8ABE57" w14:textId="77777777" w:rsidR="00AC588F" w:rsidRPr="00CA3A72" w:rsidRDefault="0062596B" w:rsidP="00655C21">
      <w:pPr>
        <w:widowControl w:val="0"/>
        <w:suppressAutoHyphens/>
        <w:spacing w:after="0" w:line="240" w:lineRule="auto"/>
        <w:ind w:left="720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 xml:space="preserve">- do 30 IX 2036 r.   – </w:t>
      </w:r>
      <w:r w:rsidRPr="00CA3A72">
        <w:rPr>
          <w:rFonts w:ascii="Calibri" w:hAnsi="Calibri" w:cs="Calibri"/>
          <w:sz w:val="24"/>
          <w:szCs w:val="24"/>
        </w:rPr>
        <w:tab/>
        <w:t>790 000,00 zł.</w:t>
      </w:r>
      <w:r w:rsidR="00AC588F" w:rsidRPr="00CA3A72">
        <w:rPr>
          <w:rFonts w:ascii="Calibri" w:hAnsi="Calibri" w:cs="Calibri"/>
          <w:sz w:val="24"/>
          <w:szCs w:val="24"/>
        </w:rPr>
        <w:t>;</w:t>
      </w:r>
    </w:p>
    <w:p w14:paraId="38B510EF" w14:textId="26720289" w:rsidR="00AC588F" w:rsidRPr="00CA3A72" w:rsidRDefault="005D4C4D" w:rsidP="00655C21">
      <w:pPr>
        <w:pStyle w:val="Tekstpodstawowy"/>
        <w:numPr>
          <w:ilvl w:val="0"/>
          <w:numId w:val="2"/>
        </w:numPr>
        <w:suppressAutoHyphens/>
        <w:spacing w:after="0" w:line="240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</w:t>
      </w:r>
      <w:r w:rsidR="00AC588F" w:rsidRPr="00CA3A72">
        <w:rPr>
          <w:rFonts w:ascii="Calibri" w:hAnsi="Calibri" w:cs="Calibri"/>
          <w:sz w:val="24"/>
          <w:szCs w:val="24"/>
        </w:rPr>
        <w:t xml:space="preserve">rzejęte zobowiązanie oprocentowane będzie w stosunku rocznym wg zmiennej stopy procentowej, ustalonej w oparciu o stawkę bazową WIBOR </w:t>
      </w:r>
      <w:r w:rsidR="00CD35AE" w:rsidRPr="00CA3A72">
        <w:rPr>
          <w:rFonts w:ascii="Calibri" w:hAnsi="Calibri" w:cs="Calibri"/>
          <w:sz w:val="24"/>
          <w:szCs w:val="24"/>
        </w:rPr>
        <w:t>1</w:t>
      </w:r>
      <w:r w:rsidR="00AC588F" w:rsidRPr="00CA3A72">
        <w:rPr>
          <w:rFonts w:ascii="Calibri" w:hAnsi="Calibri" w:cs="Calibri"/>
          <w:sz w:val="24"/>
          <w:szCs w:val="24"/>
        </w:rPr>
        <w:t>M, powiększoną o stałą, niezmienną i równą marżę obowiązującą w całym okresie trwania umowy, ustalaną na podstawie złożonej oferty;</w:t>
      </w:r>
    </w:p>
    <w:p w14:paraId="47A1AF9F" w14:textId="77777777" w:rsidR="003A2610" w:rsidRPr="00CA3A72" w:rsidRDefault="003A2610" w:rsidP="00655C21">
      <w:pPr>
        <w:pStyle w:val="Tekstpodstawowy"/>
        <w:numPr>
          <w:ilvl w:val="0"/>
          <w:numId w:val="2"/>
        </w:numPr>
        <w:suppressAutoHyphens/>
        <w:spacing w:after="0" w:line="240" w:lineRule="auto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>Wskaźnik WIBOR 1M, niezbędny do wyliczenia odsetek za dany miesiąc, brany będzie z przedostatniego dnia roboczego miesiąca poprzedzającego miesiąc odsetkowy;</w:t>
      </w:r>
    </w:p>
    <w:p w14:paraId="20DB3EF4" w14:textId="77777777" w:rsidR="003A2610" w:rsidRPr="00CA3A72" w:rsidRDefault="003A2610" w:rsidP="00655C21">
      <w:pPr>
        <w:pStyle w:val="Akapitzlist"/>
        <w:numPr>
          <w:ilvl w:val="0"/>
          <w:numId w:val="2"/>
        </w:numPr>
        <w:spacing w:after="0" w:line="240" w:lineRule="auto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>Odsetki płacone comiesięcznie, zgodnie z faktyczną liczbą dni kalendarzowych, nie później niż do 15 dnia miesiąca za miesiąc poprzedni;</w:t>
      </w:r>
    </w:p>
    <w:p w14:paraId="2FB2C978" w14:textId="423811E6" w:rsidR="00AC588F" w:rsidRPr="00CA3A72" w:rsidRDefault="005D4C4D" w:rsidP="00655C21">
      <w:pPr>
        <w:pStyle w:val="Tekstpodstawowy"/>
        <w:numPr>
          <w:ilvl w:val="0"/>
          <w:numId w:val="2"/>
        </w:numPr>
        <w:suppressAutoHyphens/>
        <w:spacing w:after="0" w:line="240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</w:t>
      </w:r>
      <w:r w:rsidR="00AC588F" w:rsidRPr="00CA3A72">
        <w:rPr>
          <w:rFonts w:ascii="Calibri" w:hAnsi="Calibri" w:cs="Calibri"/>
          <w:sz w:val="24"/>
          <w:szCs w:val="24"/>
        </w:rPr>
        <w:t>dsetki będą naliczane od niespłaconej części zobowiązania finansowego, do obliczenia kwoty odsetek przyjmować się będzie rzeczywistą liczbę dni w</w:t>
      </w:r>
      <w:r w:rsidR="00CD35AE" w:rsidRPr="00CA3A72">
        <w:rPr>
          <w:rFonts w:ascii="Calibri" w:hAnsi="Calibri" w:cs="Calibri"/>
          <w:sz w:val="24"/>
          <w:szCs w:val="24"/>
        </w:rPr>
        <w:t xml:space="preserve"> każdym okresie rozliczeniowym </w:t>
      </w:r>
      <w:r w:rsidR="00AC588F" w:rsidRPr="00CA3A72">
        <w:rPr>
          <w:rFonts w:ascii="Calibri" w:hAnsi="Calibri" w:cs="Calibri"/>
          <w:sz w:val="24"/>
          <w:szCs w:val="24"/>
        </w:rPr>
        <w:t>w stosunku do liczby dni w roku (365/366 dni).</w:t>
      </w:r>
    </w:p>
    <w:p w14:paraId="78E7BEA2" w14:textId="11694B70" w:rsidR="00AC588F" w:rsidRPr="00CA3A72" w:rsidRDefault="005D4C4D" w:rsidP="00655C21">
      <w:pPr>
        <w:pStyle w:val="Tekstpodstawowy"/>
        <w:numPr>
          <w:ilvl w:val="0"/>
          <w:numId w:val="2"/>
        </w:numPr>
        <w:suppressAutoHyphens/>
        <w:spacing w:after="0" w:line="240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="00AC588F" w:rsidRPr="00CA3A72">
        <w:rPr>
          <w:rFonts w:ascii="Calibri" w:hAnsi="Calibri" w:cs="Calibri"/>
          <w:sz w:val="24"/>
          <w:szCs w:val="24"/>
        </w:rPr>
        <w:t xml:space="preserve"> przypadku, gdy termin spłaty zobowiązania przypadnie na dzień ustawowo wolny od pracy, uważa się, że termin spłaty został zachowany, jeżeli spłata rat i odsetek nastąpiła w pierwszym dniu roboczym po terminie określonym w umowie;</w:t>
      </w:r>
    </w:p>
    <w:p w14:paraId="6D8935F9" w14:textId="77777777" w:rsidR="00AC588F" w:rsidRPr="00CA3A72" w:rsidRDefault="00AC588F" w:rsidP="00655C21">
      <w:pPr>
        <w:pStyle w:val="Tekstpodstawowy"/>
        <w:numPr>
          <w:ilvl w:val="0"/>
          <w:numId w:val="2"/>
        </w:numPr>
        <w:suppressAutoHyphens/>
        <w:spacing w:after="0" w:line="240" w:lineRule="auto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>Wykonawcy nie przysługuje prawo do naliczania i pobierania jakichkolwiek opłat i prowizji za wyjątkiem opłat określonych w umowie;</w:t>
      </w:r>
    </w:p>
    <w:p w14:paraId="43E88BAA" w14:textId="3339008D" w:rsidR="00AC588F" w:rsidRPr="00CA3A72" w:rsidRDefault="005D4C4D" w:rsidP="00655C21">
      <w:pPr>
        <w:pStyle w:val="Tekstpodstawowy"/>
        <w:numPr>
          <w:ilvl w:val="0"/>
          <w:numId w:val="2"/>
        </w:numPr>
        <w:suppressAutoHyphens/>
        <w:spacing w:after="0" w:line="240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Z</w:t>
      </w:r>
      <w:r w:rsidR="00AC588F" w:rsidRPr="00CA3A72">
        <w:rPr>
          <w:rFonts w:ascii="Calibri" w:hAnsi="Calibri" w:cs="Calibri"/>
          <w:sz w:val="24"/>
          <w:szCs w:val="24"/>
        </w:rPr>
        <w:t>abezpieczenie wierzytelności stanowić będzie weksel in blanco wraz z deklaracją wekslową;</w:t>
      </w:r>
    </w:p>
    <w:p w14:paraId="4B42DC7D" w14:textId="77777777" w:rsidR="00AC588F" w:rsidRPr="00CA3A72" w:rsidRDefault="00AC588F" w:rsidP="00655C21">
      <w:pPr>
        <w:pStyle w:val="Tekstpodstawowy"/>
        <w:numPr>
          <w:ilvl w:val="0"/>
          <w:numId w:val="2"/>
        </w:numPr>
        <w:suppressAutoHyphens/>
        <w:spacing w:after="0" w:line="240" w:lineRule="auto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>Zamawiający zastrzega sobie prawo do spłaty przejętego zobowiązania przed pierwotnie zakładanym terminem bez ponoszenia dodatkowych kosztów;</w:t>
      </w:r>
    </w:p>
    <w:p w14:paraId="5F11782E" w14:textId="7E08F443" w:rsidR="00AC588F" w:rsidRPr="00CA3A72" w:rsidRDefault="005D4C4D" w:rsidP="00655C21">
      <w:pPr>
        <w:pStyle w:val="Tekstpodstawowy"/>
        <w:numPr>
          <w:ilvl w:val="0"/>
          <w:numId w:val="2"/>
        </w:numPr>
        <w:suppressAutoHyphens/>
        <w:spacing w:after="0" w:line="240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</w:t>
      </w:r>
      <w:r w:rsidR="00AC588F" w:rsidRPr="00CA3A72">
        <w:rPr>
          <w:rFonts w:ascii="Calibri" w:hAnsi="Calibri" w:cs="Calibri"/>
          <w:sz w:val="24"/>
          <w:szCs w:val="24"/>
        </w:rPr>
        <w:t xml:space="preserve">a wniosek Zamawiającego i za zgodą Wykonawcy może nastąpić wydłużenie okresu spłaty zobowiązań, wniosek musi zostać złożony na 30 dni przez założonym terminem spłaty, wydłużenie terminu spłaty będzie wymagało zawarcia aneksu do umowy i </w:t>
      </w:r>
      <w:r w:rsidR="00CD35AE" w:rsidRPr="00CA3A72">
        <w:rPr>
          <w:rFonts w:ascii="Calibri" w:hAnsi="Calibri" w:cs="Calibri"/>
          <w:sz w:val="24"/>
          <w:szCs w:val="24"/>
        </w:rPr>
        <w:t>wyznaczenia nowego harmonogramu. Ostateczny termin wykorzystania kredytu nie może jednak przekroczyć 30 IX 2036 r.</w:t>
      </w:r>
    </w:p>
    <w:p w14:paraId="3C3C7592" w14:textId="77777777" w:rsidR="00AC588F" w:rsidRPr="00CA3A72" w:rsidRDefault="00AC588F" w:rsidP="00655C21">
      <w:pPr>
        <w:pStyle w:val="Tekstpodstawowy"/>
        <w:numPr>
          <w:ilvl w:val="0"/>
          <w:numId w:val="2"/>
        </w:numPr>
        <w:suppressAutoHyphens/>
        <w:spacing w:after="0" w:line="240" w:lineRule="auto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>Wykonawca określi informacje i dokumenty, jakie Zamawiający będzie zobowiązany przedstawiać w okresie trwania umowy, odzwierciedlające rzeczywistą sytuację finansową Zamawiającego.</w:t>
      </w:r>
    </w:p>
    <w:p w14:paraId="76773B5A" w14:textId="47C212A7" w:rsidR="00AC588F" w:rsidRPr="00CA3A72" w:rsidRDefault="005D4C4D" w:rsidP="00655C21">
      <w:pPr>
        <w:pStyle w:val="Tekstpodstawowy"/>
        <w:numPr>
          <w:ilvl w:val="0"/>
          <w:numId w:val="2"/>
        </w:numPr>
        <w:suppressAutoHyphens/>
        <w:spacing w:after="0" w:line="240" w:lineRule="auto"/>
        <w:jc w:val="lef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="00AC588F" w:rsidRPr="00CA3A72">
        <w:rPr>
          <w:rFonts w:ascii="Calibri" w:hAnsi="Calibri" w:cs="Calibri"/>
          <w:sz w:val="24"/>
          <w:szCs w:val="24"/>
        </w:rPr>
        <w:t xml:space="preserve">ntegralną częścią umowy będzie Specyfikacja Warunków Zamówienia wraz </w:t>
      </w:r>
      <w:r w:rsidR="00AC588F" w:rsidRPr="00CA3A72">
        <w:rPr>
          <w:rFonts w:ascii="Calibri" w:hAnsi="Calibri" w:cs="Calibri"/>
          <w:sz w:val="24"/>
          <w:szCs w:val="24"/>
        </w:rPr>
        <w:br/>
        <w:t xml:space="preserve">z załącznikami oraz oferta Wykonawcy. </w:t>
      </w:r>
    </w:p>
    <w:p w14:paraId="572CD950" w14:textId="77777777" w:rsidR="00AC588F" w:rsidRPr="00CA3A72" w:rsidRDefault="00AC588F" w:rsidP="00655C21">
      <w:pPr>
        <w:pStyle w:val="Tekstpodstawowy"/>
        <w:suppressAutoHyphens/>
        <w:spacing w:after="0" w:line="240" w:lineRule="auto"/>
        <w:ind w:left="720"/>
        <w:jc w:val="left"/>
        <w:rPr>
          <w:rFonts w:ascii="Calibri" w:hAnsi="Calibri" w:cs="Calibri"/>
          <w:sz w:val="24"/>
          <w:szCs w:val="24"/>
        </w:rPr>
      </w:pPr>
    </w:p>
    <w:p w14:paraId="6E99C85F" w14:textId="77777777" w:rsidR="00AC588F" w:rsidRPr="00CA3A72" w:rsidRDefault="00AC588F" w:rsidP="00655C21">
      <w:pPr>
        <w:spacing w:line="240" w:lineRule="auto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>Zamawiający przewiduje możliwość dokonania istotnych zmian postanowień zawartej umowy w stosunku do treści oferty Wykonawcy. Zmiany istotnych postanowień umowy dotyczyć mogą zmniejszenia kwoty zobowiązania, okresu obowiązywania umowy, harmonogramu spłat, obniżenia ceny (np. w skutek zmniejszenia kwoty zobowiązania). Wprowadzenie zmian wymaga zawarcia aneksu do umowy.</w:t>
      </w:r>
    </w:p>
    <w:p w14:paraId="1CA8DD73" w14:textId="1CDDD97B" w:rsidR="00AC588F" w:rsidRPr="00CA3A72" w:rsidRDefault="00AC588F" w:rsidP="00655C21">
      <w:pPr>
        <w:widowControl w:val="0"/>
        <w:suppressAutoHyphens/>
        <w:spacing w:line="240" w:lineRule="auto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>Niezależnie od powyższego, Strony dopuszczają możliwość zmian redakcyjnych umowy oraz zmian będących następstwem zmian danych stron ujawnionych w rejestrach publicznych, a także zmian korzystnych z punktu widzenia realizacji przedmiotu umowy, w szczególności przyspieszających realizację, jak też obniżających koszt ponoszony przez Zamawiającego. W takiej sytuacji, strony wprowadzą do umowy stosowne zmiany weryfikujące dotychczasowe brzmienie umowy bądź wskazujące nowe dane wynikające ze zmian w rejestrach publicznych albo też kierując się poszanowaniem wzajemnych interesów, zasadą równości stron oraz ekwiwalentności świadczeń i zgodnym zamiarem wykonania przedmiotu umowy, określą zmiany korzystne z punktu widzenia realizacji przedmiotu umowy.</w:t>
      </w:r>
    </w:p>
    <w:p w14:paraId="15443EDA" w14:textId="07728C1E" w:rsidR="00AC588F" w:rsidRPr="00CA3A72" w:rsidRDefault="00AC588F" w:rsidP="00655C21">
      <w:pPr>
        <w:widowControl w:val="0"/>
        <w:suppressAutoHyphens/>
        <w:spacing w:line="240" w:lineRule="auto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 xml:space="preserve">Wszelkie zmiany wprowadzane do umowy dokonywane będą w formie pisemnej pod rygorem nieważności, z poszanowaniem obowiązków, wynikających z obowiązującego prawa, w tym w szczególności art. </w:t>
      </w:r>
      <w:r w:rsidR="00E415A3">
        <w:rPr>
          <w:rFonts w:ascii="Calibri" w:hAnsi="Calibri" w:cs="Calibri"/>
          <w:sz w:val="24"/>
          <w:szCs w:val="24"/>
        </w:rPr>
        <w:t>455</w:t>
      </w:r>
      <w:r w:rsidRPr="00CA3A72">
        <w:rPr>
          <w:rFonts w:ascii="Calibri" w:hAnsi="Calibri" w:cs="Calibri"/>
          <w:sz w:val="24"/>
          <w:szCs w:val="24"/>
        </w:rPr>
        <w:t xml:space="preserve"> ustawy Prawo zamówień publicznych oraz zasad ogólnych rządzących tą ustawą.</w:t>
      </w:r>
    </w:p>
    <w:p w14:paraId="762BDBE7" w14:textId="77777777" w:rsidR="00AC588F" w:rsidRPr="00CA3A72" w:rsidRDefault="00AC588F" w:rsidP="00655C21">
      <w:pPr>
        <w:widowControl w:val="0"/>
        <w:suppressAutoHyphens/>
        <w:spacing w:line="240" w:lineRule="auto"/>
        <w:jc w:val="left"/>
        <w:rPr>
          <w:rFonts w:ascii="Calibri" w:hAnsi="Calibri" w:cs="Calibri"/>
          <w:sz w:val="24"/>
          <w:szCs w:val="24"/>
        </w:rPr>
      </w:pPr>
      <w:r w:rsidRPr="00CA3A72">
        <w:rPr>
          <w:rFonts w:ascii="Calibri" w:hAnsi="Calibri" w:cs="Calibri"/>
          <w:sz w:val="24"/>
          <w:szCs w:val="24"/>
        </w:rPr>
        <w:t>Zamawiający może odstąpić od umowy w razie wystąpienia istotnej zmiany okoliczności powodującej, że wykonanie umowy nie leży w interesie publicznym. Odstąpienie od umowy w przypadku określonym powyżej, powinno nastąpić w terminie 30 dni od powzięcia wiadomości o powyższych okolicznościach. W przypadku odstąpienia od umowy, Wykonawca może żądać wynagrodzenia jedynie za część umowy wykonaną do daty odstąpienia. Właściwym dla rozstrzygania ewentualnych sporów będzie sąd gospodarczy właściwy miejscowo dla siedziby Zamawiającego.</w:t>
      </w:r>
    </w:p>
    <w:p w14:paraId="0BA01B4A" w14:textId="68C4A3BD" w:rsidR="00AC588F" w:rsidRPr="00CA3A72" w:rsidRDefault="00AC588F" w:rsidP="00655C21">
      <w:pPr>
        <w:widowControl w:val="0"/>
        <w:suppressAutoHyphens/>
        <w:spacing w:after="0" w:line="240" w:lineRule="auto"/>
        <w:jc w:val="left"/>
        <w:rPr>
          <w:rFonts w:ascii="Calibri" w:hAnsi="Calibri" w:cs="Calibri"/>
          <w:b/>
          <w:sz w:val="24"/>
          <w:szCs w:val="24"/>
        </w:rPr>
      </w:pPr>
      <w:r w:rsidRPr="00CA3A72">
        <w:rPr>
          <w:rFonts w:ascii="Calibri" w:hAnsi="Calibri" w:cs="Calibri"/>
          <w:b/>
          <w:sz w:val="24"/>
          <w:szCs w:val="24"/>
        </w:rPr>
        <w:t>W sprawach nieuregulowanych umową zastosowanie ma Specyfikacja Warunków Zamówienia, a w pozostałym zakresie stosuje się przepisy Kodeksu cywilnego, Prawa bankowego oraz Prawa zamówień publicznych.</w:t>
      </w:r>
    </w:p>
    <w:p w14:paraId="1843AECA" w14:textId="77777777" w:rsidR="00AC588F" w:rsidRPr="00CA3A72" w:rsidRDefault="00AC588F" w:rsidP="00655C21">
      <w:pPr>
        <w:widowControl w:val="0"/>
        <w:suppressAutoHyphens/>
        <w:spacing w:after="0" w:line="240" w:lineRule="auto"/>
        <w:jc w:val="left"/>
        <w:rPr>
          <w:rFonts w:ascii="Calibri" w:hAnsi="Calibri" w:cs="Calibri"/>
          <w:sz w:val="24"/>
          <w:szCs w:val="24"/>
        </w:rPr>
      </w:pPr>
    </w:p>
    <w:p w14:paraId="036C0237" w14:textId="77777777" w:rsidR="00AC588F" w:rsidRPr="00CA3A72" w:rsidRDefault="00AC588F" w:rsidP="00655C21">
      <w:pPr>
        <w:spacing w:after="0" w:line="240" w:lineRule="auto"/>
        <w:jc w:val="left"/>
        <w:rPr>
          <w:rFonts w:ascii="Calibri" w:hAnsi="Calibri" w:cs="Calibri"/>
          <w:sz w:val="24"/>
          <w:szCs w:val="24"/>
        </w:rPr>
      </w:pPr>
    </w:p>
    <w:sectPr w:rsidR="00AC588F" w:rsidRPr="00CA3A72" w:rsidSect="00A6384B">
      <w:footerReference w:type="default" r:id="rId7"/>
      <w:headerReference w:type="firs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4B5C4" w14:textId="77777777" w:rsidR="00C325D1" w:rsidRDefault="00C325D1" w:rsidP="00902CDE">
      <w:pPr>
        <w:spacing w:after="0" w:line="240" w:lineRule="auto"/>
      </w:pPr>
      <w:r>
        <w:separator/>
      </w:r>
    </w:p>
  </w:endnote>
  <w:endnote w:type="continuationSeparator" w:id="0">
    <w:p w14:paraId="228E89FC" w14:textId="77777777" w:rsidR="00C325D1" w:rsidRDefault="00C325D1" w:rsidP="00902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AFBE6" w14:textId="77777777" w:rsidR="00AC588F" w:rsidRPr="00E352DA" w:rsidRDefault="00AC588F" w:rsidP="00E352DA">
    <w:pPr>
      <w:pStyle w:val="Stopka"/>
      <w:ind w:left="-567"/>
      <w:jc w:val="right"/>
      <w:rPr>
        <w:vanish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12406" w14:textId="77777777" w:rsidR="00AC588F" w:rsidRPr="00AE2EC3" w:rsidRDefault="00AC588F" w:rsidP="00AE2EC3">
    <w:pPr>
      <w:pStyle w:val="Stopka"/>
      <w:ind w:left="-567"/>
      <w:jc w:val="left"/>
      <w:rPr>
        <w:vanish/>
      </w:rPr>
    </w:pPr>
    <w:r w:rsidRPr="00DE4318">
      <w:rPr>
        <w:sz w:val="16"/>
        <w:szCs w:val="16"/>
      </w:rPr>
      <w:t xml:space="preserve">Strona | </w:t>
    </w:r>
    <w:r w:rsidRPr="00DE4318">
      <w:rPr>
        <w:sz w:val="16"/>
        <w:szCs w:val="16"/>
      </w:rPr>
      <w:fldChar w:fldCharType="begin"/>
    </w:r>
    <w:r w:rsidRPr="00DE4318">
      <w:rPr>
        <w:sz w:val="16"/>
        <w:szCs w:val="16"/>
      </w:rPr>
      <w:instrText>PAGE   \* MERGEFORMAT</w:instrText>
    </w:r>
    <w:r w:rsidRPr="00DE4318"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 w:rsidRPr="00DE431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EC390" w14:textId="77777777" w:rsidR="00C325D1" w:rsidRDefault="00C325D1" w:rsidP="00902CDE">
      <w:pPr>
        <w:spacing w:after="0" w:line="240" w:lineRule="auto"/>
      </w:pPr>
      <w:r>
        <w:separator/>
      </w:r>
    </w:p>
  </w:footnote>
  <w:footnote w:type="continuationSeparator" w:id="0">
    <w:p w14:paraId="79A09B93" w14:textId="77777777" w:rsidR="00C325D1" w:rsidRDefault="00C325D1" w:rsidP="00902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97565" w14:textId="77777777" w:rsidR="00AC588F" w:rsidRDefault="00AC588F" w:rsidP="00AE2EC3">
    <w:pPr>
      <w:pStyle w:val="Nagwek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8D6D8A"/>
    <w:multiLevelType w:val="multilevel"/>
    <w:tmpl w:val="40FC77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3B3B05E2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51707F1F"/>
    <w:multiLevelType w:val="hybridMultilevel"/>
    <w:tmpl w:val="37DA23C4"/>
    <w:lvl w:ilvl="0" w:tplc="FA063A3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B810E7"/>
    <w:multiLevelType w:val="multilevel"/>
    <w:tmpl w:val="CCE27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73A269F2"/>
    <w:multiLevelType w:val="multilevel"/>
    <w:tmpl w:val="CCE27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78F51C4A"/>
    <w:multiLevelType w:val="hybridMultilevel"/>
    <w:tmpl w:val="08F6318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0696549">
    <w:abstractNumId w:val="5"/>
  </w:num>
  <w:num w:numId="2" w16cid:durableId="991524558">
    <w:abstractNumId w:val="3"/>
  </w:num>
  <w:num w:numId="3" w16cid:durableId="1425147841">
    <w:abstractNumId w:val="1"/>
  </w:num>
  <w:num w:numId="4" w16cid:durableId="572740670">
    <w:abstractNumId w:val="2"/>
  </w:num>
  <w:num w:numId="5" w16cid:durableId="949359571">
    <w:abstractNumId w:val="0"/>
  </w:num>
  <w:num w:numId="6" w16cid:durableId="8753937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autoHyphenation/>
  <w:hyphenationZone w:val="425"/>
  <w:evenAndOddHeader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3D82"/>
    <w:rsid w:val="00093659"/>
    <w:rsid w:val="000B00FB"/>
    <w:rsid w:val="000D3D82"/>
    <w:rsid w:val="000E2189"/>
    <w:rsid w:val="001050EB"/>
    <w:rsid w:val="00176F33"/>
    <w:rsid w:val="001A0E22"/>
    <w:rsid w:val="001C460E"/>
    <w:rsid w:val="00211E2A"/>
    <w:rsid w:val="002312F5"/>
    <w:rsid w:val="00245523"/>
    <w:rsid w:val="002C2284"/>
    <w:rsid w:val="002D14DB"/>
    <w:rsid w:val="00336FF2"/>
    <w:rsid w:val="00346192"/>
    <w:rsid w:val="00351DA5"/>
    <w:rsid w:val="003A2610"/>
    <w:rsid w:val="003E5BC0"/>
    <w:rsid w:val="004243E8"/>
    <w:rsid w:val="00455F66"/>
    <w:rsid w:val="004632CA"/>
    <w:rsid w:val="0047446B"/>
    <w:rsid w:val="00480B16"/>
    <w:rsid w:val="00487217"/>
    <w:rsid w:val="004962BD"/>
    <w:rsid w:val="004B730E"/>
    <w:rsid w:val="00552CC5"/>
    <w:rsid w:val="005614ED"/>
    <w:rsid w:val="005B21C4"/>
    <w:rsid w:val="005B7B9F"/>
    <w:rsid w:val="005C157B"/>
    <w:rsid w:val="005D4C4D"/>
    <w:rsid w:val="0062596B"/>
    <w:rsid w:val="00655C21"/>
    <w:rsid w:val="00677327"/>
    <w:rsid w:val="006D482E"/>
    <w:rsid w:val="00770934"/>
    <w:rsid w:val="00777ACE"/>
    <w:rsid w:val="00795F1F"/>
    <w:rsid w:val="007C3636"/>
    <w:rsid w:val="007D5169"/>
    <w:rsid w:val="007D5AFC"/>
    <w:rsid w:val="00826297"/>
    <w:rsid w:val="00826AA3"/>
    <w:rsid w:val="00836875"/>
    <w:rsid w:val="00861562"/>
    <w:rsid w:val="00902CDE"/>
    <w:rsid w:val="00903900"/>
    <w:rsid w:val="009265EC"/>
    <w:rsid w:val="009309B2"/>
    <w:rsid w:val="00945525"/>
    <w:rsid w:val="00996256"/>
    <w:rsid w:val="009B2B7A"/>
    <w:rsid w:val="009C3AAB"/>
    <w:rsid w:val="00A6384B"/>
    <w:rsid w:val="00AC588F"/>
    <w:rsid w:val="00AE2EC3"/>
    <w:rsid w:val="00B01C4B"/>
    <w:rsid w:val="00B7483F"/>
    <w:rsid w:val="00B85BD2"/>
    <w:rsid w:val="00BE03F5"/>
    <w:rsid w:val="00C20529"/>
    <w:rsid w:val="00C2175E"/>
    <w:rsid w:val="00C23747"/>
    <w:rsid w:val="00C317CF"/>
    <w:rsid w:val="00C325D1"/>
    <w:rsid w:val="00C33BBB"/>
    <w:rsid w:val="00CA3A72"/>
    <w:rsid w:val="00CB414A"/>
    <w:rsid w:val="00CD35AE"/>
    <w:rsid w:val="00DA6327"/>
    <w:rsid w:val="00DE4318"/>
    <w:rsid w:val="00E22852"/>
    <w:rsid w:val="00E352DA"/>
    <w:rsid w:val="00E415A3"/>
    <w:rsid w:val="00E61BC2"/>
    <w:rsid w:val="00E77ED4"/>
    <w:rsid w:val="00EA4500"/>
    <w:rsid w:val="00EF38BA"/>
    <w:rsid w:val="00F6269A"/>
    <w:rsid w:val="00FB1243"/>
    <w:rsid w:val="00FC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350AC"/>
  <w15:docId w15:val="{E0859F42-6DFB-4A33-BA18-488F25E59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3659"/>
    <w:pPr>
      <w:spacing w:after="160" w:line="276" w:lineRule="auto"/>
      <w:jc w:val="both"/>
    </w:pPr>
    <w:rPr>
      <w:color w:val="171717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B85BD2"/>
    <w:pPr>
      <w:keepNext/>
      <w:keepLines/>
      <w:spacing w:before="840" w:after="840"/>
      <w:contextualSpacing/>
      <w:jc w:val="left"/>
      <w:outlineLvl w:val="0"/>
    </w:pPr>
    <w:rPr>
      <w:rFonts w:eastAsia="Times New Roman"/>
      <w:b/>
      <w:color w:val="1F4E79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B85BD2"/>
    <w:pPr>
      <w:keepNext/>
      <w:keepLines/>
      <w:spacing w:before="480"/>
      <w:contextualSpacing/>
      <w:jc w:val="left"/>
      <w:outlineLvl w:val="1"/>
    </w:pPr>
    <w:rPr>
      <w:rFonts w:eastAsia="Times New Roman"/>
      <w:b/>
      <w:smallCaps/>
      <w:color w:val="2E74B5"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B01C4B"/>
    <w:pPr>
      <w:keepNext/>
      <w:keepLines/>
      <w:spacing w:before="480" w:after="40"/>
      <w:contextualSpacing/>
      <w:jc w:val="left"/>
      <w:outlineLvl w:val="2"/>
    </w:pPr>
    <w:rPr>
      <w:rFonts w:eastAsia="Times New Roman"/>
      <w:b/>
      <w:smallCap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B85BD2"/>
    <w:rPr>
      <w:rFonts w:ascii="Arial" w:hAnsi="Arial" w:cs="Times New Roman"/>
      <w:b/>
      <w:color w:val="1F4E79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B85BD2"/>
    <w:rPr>
      <w:rFonts w:ascii="Arial" w:hAnsi="Arial" w:cs="Times New Roman"/>
      <w:b/>
      <w:smallCaps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B01C4B"/>
    <w:rPr>
      <w:rFonts w:ascii="Arial" w:hAnsi="Arial" w:cs="Times New Roman"/>
      <w:b/>
      <w:smallCaps/>
      <w:color w:val="171717"/>
      <w:sz w:val="24"/>
      <w:szCs w:val="24"/>
    </w:rPr>
  </w:style>
  <w:style w:type="paragraph" w:styleId="Tytu">
    <w:name w:val="Title"/>
    <w:basedOn w:val="Normalny"/>
    <w:next w:val="Normalny"/>
    <w:link w:val="TytuZnak"/>
    <w:autoRedefine/>
    <w:uiPriority w:val="99"/>
    <w:qFormat/>
    <w:rsid w:val="00B85BD2"/>
    <w:pPr>
      <w:pBdr>
        <w:bottom w:val="single" w:sz="8" w:space="4" w:color="44546A"/>
      </w:pBdr>
      <w:spacing w:before="840" w:after="300" w:line="240" w:lineRule="auto"/>
      <w:contextualSpacing/>
      <w:jc w:val="left"/>
    </w:pPr>
    <w:rPr>
      <w:rFonts w:eastAsia="Times New Roman"/>
      <w:b/>
      <w:color w:val="1F3864"/>
      <w:spacing w:val="5"/>
      <w:kern w:val="28"/>
      <w:sz w:val="44"/>
      <w:szCs w:val="56"/>
    </w:rPr>
  </w:style>
  <w:style w:type="character" w:customStyle="1" w:styleId="TytuZnak">
    <w:name w:val="Tytuł Znak"/>
    <w:link w:val="Tytu"/>
    <w:uiPriority w:val="99"/>
    <w:locked/>
    <w:rsid w:val="00B85BD2"/>
    <w:rPr>
      <w:rFonts w:ascii="Arial" w:hAnsi="Arial" w:cs="Times New Roman"/>
      <w:b/>
      <w:color w:val="1F3864"/>
      <w:spacing w:val="5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autoRedefine/>
    <w:uiPriority w:val="99"/>
    <w:qFormat/>
    <w:rsid w:val="00B85BD2"/>
    <w:pPr>
      <w:numPr>
        <w:ilvl w:val="1"/>
      </w:numPr>
      <w:jc w:val="left"/>
    </w:pPr>
    <w:rPr>
      <w:rFonts w:eastAsia="Times New Roman"/>
      <w:color w:val="7F7F7F"/>
      <w:sz w:val="28"/>
    </w:rPr>
  </w:style>
  <w:style w:type="character" w:customStyle="1" w:styleId="PodtytuZnak">
    <w:name w:val="Podtytuł Znak"/>
    <w:link w:val="Podtytu"/>
    <w:uiPriority w:val="99"/>
    <w:locked/>
    <w:rsid w:val="00B85BD2"/>
    <w:rPr>
      <w:rFonts w:eastAsia="Times New Roman" w:cs="Times New Roman"/>
      <w:color w:val="7F7F7F"/>
      <w:sz w:val="28"/>
    </w:rPr>
  </w:style>
  <w:style w:type="paragraph" w:styleId="Akapitzlist">
    <w:name w:val="List Paragraph"/>
    <w:basedOn w:val="Normalny"/>
    <w:uiPriority w:val="34"/>
    <w:qFormat/>
    <w:rsid w:val="00C2175E"/>
    <w:pPr>
      <w:ind w:left="720"/>
      <w:contextualSpacing/>
    </w:pPr>
  </w:style>
  <w:style w:type="character" w:styleId="Wyrnieniedelikatne">
    <w:name w:val="Subtle Emphasis"/>
    <w:aliases w:val="Źródło"/>
    <w:uiPriority w:val="99"/>
    <w:qFormat/>
    <w:rsid w:val="00336FF2"/>
    <w:rPr>
      <w:rFonts w:cs="Times New Roman"/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rsid w:val="001A0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A0E22"/>
    <w:rPr>
      <w:rFonts w:ascii="Segoe UI" w:hAnsi="Segoe UI" w:cs="Segoe UI"/>
      <w:color w:val="171717"/>
      <w:sz w:val="18"/>
      <w:szCs w:val="18"/>
    </w:rPr>
  </w:style>
  <w:style w:type="paragraph" w:styleId="Cytatintensywny">
    <w:name w:val="Intense Quote"/>
    <w:aliases w:val="Pozytyw"/>
    <w:basedOn w:val="Normalny"/>
    <w:next w:val="Normalny"/>
    <w:link w:val="CytatintensywnyZnak"/>
    <w:autoRedefine/>
    <w:uiPriority w:val="99"/>
    <w:qFormat/>
    <w:rsid w:val="004B730E"/>
    <w:pPr>
      <w:pBdr>
        <w:top w:val="single" w:sz="8" w:space="10" w:color="385623"/>
        <w:bottom w:val="single" w:sz="8" w:space="10" w:color="385623"/>
      </w:pBdr>
      <w:shd w:val="clear" w:color="auto" w:fill="E2EFD9"/>
      <w:spacing w:before="360" w:after="360"/>
      <w:ind w:left="864" w:right="864"/>
      <w:jc w:val="center"/>
    </w:pPr>
    <w:rPr>
      <w:i/>
      <w:iCs/>
      <w:color w:val="385623"/>
    </w:rPr>
  </w:style>
  <w:style w:type="character" w:customStyle="1" w:styleId="CytatintensywnyZnak">
    <w:name w:val="Cytat intensywny Znak"/>
    <w:aliases w:val="Pozytyw Znak"/>
    <w:link w:val="Cytatintensywny"/>
    <w:uiPriority w:val="99"/>
    <w:locked/>
    <w:rsid w:val="004B730E"/>
    <w:rPr>
      <w:rFonts w:cs="Times New Roman"/>
      <w:i/>
      <w:iCs/>
      <w:color w:val="385623"/>
      <w:sz w:val="20"/>
      <w:shd w:val="clear" w:color="auto" w:fill="E2EFD9"/>
    </w:rPr>
  </w:style>
  <w:style w:type="paragraph" w:styleId="Cytat">
    <w:name w:val="Quote"/>
    <w:aliases w:val="Uwaga"/>
    <w:basedOn w:val="Normalny"/>
    <w:next w:val="Normalny"/>
    <w:link w:val="CytatZnak"/>
    <w:autoRedefine/>
    <w:uiPriority w:val="99"/>
    <w:qFormat/>
    <w:rsid w:val="004B730E"/>
    <w:pPr>
      <w:pBdr>
        <w:top w:val="single" w:sz="8" w:space="10" w:color="C00000"/>
        <w:bottom w:val="single" w:sz="8" w:space="10" w:color="C00000"/>
      </w:pBdr>
      <w:shd w:val="clear" w:color="auto" w:fill="FFEFEF"/>
      <w:spacing w:before="360" w:after="360"/>
      <w:ind w:left="862" w:right="862"/>
      <w:contextualSpacing/>
      <w:jc w:val="center"/>
    </w:pPr>
    <w:rPr>
      <w:i/>
      <w:iCs/>
      <w:color w:val="820000"/>
    </w:rPr>
  </w:style>
  <w:style w:type="character" w:customStyle="1" w:styleId="CytatZnak">
    <w:name w:val="Cytat Znak"/>
    <w:aliases w:val="Uwaga Znak"/>
    <w:link w:val="Cytat"/>
    <w:uiPriority w:val="99"/>
    <w:locked/>
    <w:rsid w:val="004B730E"/>
    <w:rPr>
      <w:rFonts w:cs="Times New Roman"/>
      <w:i/>
      <w:iCs/>
      <w:color w:val="820000"/>
      <w:sz w:val="20"/>
      <w:shd w:val="clear" w:color="auto" w:fill="FFEFEF"/>
    </w:rPr>
  </w:style>
  <w:style w:type="table" w:styleId="Tabela-Siatka">
    <w:name w:val="Table Grid"/>
    <w:basedOn w:val="Standardowy"/>
    <w:uiPriority w:val="99"/>
    <w:rsid w:val="00E77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902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02CDE"/>
    <w:rPr>
      <w:rFonts w:cs="Times New Roman"/>
      <w:color w:val="171717"/>
      <w:sz w:val="20"/>
    </w:rPr>
  </w:style>
  <w:style w:type="paragraph" w:styleId="Stopka">
    <w:name w:val="footer"/>
    <w:basedOn w:val="Normalny"/>
    <w:link w:val="StopkaZnak"/>
    <w:uiPriority w:val="99"/>
    <w:rsid w:val="00902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902CDE"/>
    <w:rPr>
      <w:rFonts w:cs="Times New Roman"/>
      <w:color w:val="171717"/>
      <w:sz w:val="20"/>
    </w:rPr>
  </w:style>
  <w:style w:type="paragraph" w:styleId="Nagwekspisutreci">
    <w:name w:val="TOC Heading"/>
    <w:basedOn w:val="Nagwek1"/>
    <w:next w:val="Normalny"/>
    <w:uiPriority w:val="99"/>
    <w:qFormat/>
    <w:rsid w:val="00902CDE"/>
    <w:pPr>
      <w:spacing w:before="240" w:after="0" w:line="259" w:lineRule="auto"/>
      <w:contextualSpacing w:val="0"/>
      <w:outlineLvl w:val="9"/>
    </w:pPr>
    <w:rPr>
      <w:b w:val="0"/>
      <w:color w:val="2E74B5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902CDE"/>
    <w:pPr>
      <w:spacing w:before="360" w:after="0"/>
      <w:jc w:val="left"/>
    </w:pPr>
    <w:rPr>
      <w:rFonts w:cs="Arial"/>
      <w:b/>
      <w:bCs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902CDE"/>
    <w:pPr>
      <w:spacing w:before="240" w:after="0"/>
      <w:jc w:val="left"/>
    </w:pPr>
    <w:rPr>
      <w:rFonts w:cs="Arial"/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902CDE"/>
    <w:pPr>
      <w:spacing w:after="0"/>
      <w:ind w:left="200"/>
      <w:jc w:val="left"/>
    </w:pPr>
    <w:rPr>
      <w:rFonts w:cs="Arial"/>
      <w:szCs w:val="20"/>
    </w:rPr>
  </w:style>
  <w:style w:type="character" w:styleId="Hipercze">
    <w:name w:val="Hyperlink"/>
    <w:uiPriority w:val="99"/>
    <w:rsid w:val="00902CDE"/>
    <w:rPr>
      <w:rFonts w:cs="Times New Roman"/>
      <w:color w:val="0563C1"/>
      <w:u w:val="single"/>
    </w:rPr>
  </w:style>
  <w:style w:type="paragraph" w:styleId="Spistreci4">
    <w:name w:val="toc 4"/>
    <w:basedOn w:val="Normalny"/>
    <w:next w:val="Normalny"/>
    <w:autoRedefine/>
    <w:uiPriority w:val="99"/>
    <w:rsid w:val="00902CDE"/>
    <w:pPr>
      <w:spacing w:after="0"/>
      <w:ind w:left="400"/>
      <w:jc w:val="left"/>
    </w:pPr>
    <w:rPr>
      <w:rFonts w:cs="Arial"/>
      <w:szCs w:val="20"/>
    </w:rPr>
  </w:style>
  <w:style w:type="paragraph" w:styleId="Spistreci5">
    <w:name w:val="toc 5"/>
    <w:basedOn w:val="Normalny"/>
    <w:next w:val="Normalny"/>
    <w:autoRedefine/>
    <w:uiPriority w:val="99"/>
    <w:rsid w:val="00902CDE"/>
    <w:pPr>
      <w:spacing w:after="0"/>
      <w:ind w:left="600"/>
      <w:jc w:val="left"/>
    </w:pPr>
    <w:rPr>
      <w:rFonts w:cs="Arial"/>
      <w:szCs w:val="20"/>
    </w:rPr>
  </w:style>
  <w:style w:type="paragraph" w:styleId="Spistreci6">
    <w:name w:val="toc 6"/>
    <w:basedOn w:val="Normalny"/>
    <w:next w:val="Normalny"/>
    <w:autoRedefine/>
    <w:uiPriority w:val="99"/>
    <w:rsid w:val="00902CDE"/>
    <w:pPr>
      <w:spacing w:after="0"/>
      <w:ind w:left="800"/>
      <w:jc w:val="left"/>
    </w:pPr>
    <w:rPr>
      <w:rFonts w:cs="Arial"/>
      <w:szCs w:val="20"/>
    </w:rPr>
  </w:style>
  <w:style w:type="paragraph" w:styleId="Spistreci7">
    <w:name w:val="toc 7"/>
    <w:basedOn w:val="Normalny"/>
    <w:next w:val="Normalny"/>
    <w:autoRedefine/>
    <w:uiPriority w:val="99"/>
    <w:rsid w:val="00902CDE"/>
    <w:pPr>
      <w:spacing w:after="0"/>
      <w:ind w:left="1000"/>
      <w:jc w:val="left"/>
    </w:pPr>
    <w:rPr>
      <w:rFonts w:cs="Arial"/>
      <w:szCs w:val="20"/>
    </w:rPr>
  </w:style>
  <w:style w:type="paragraph" w:styleId="Spistreci8">
    <w:name w:val="toc 8"/>
    <w:basedOn w:val="Normalny"/>
    <w:next w:val="Normalny"/>
    <w:autoRedefine/>
    <w:uiPriority w:val="99"/>
    <w:rsid w:val="00902CDE"/>
    <w:pPr>
      <w:spacing w:after="0"/>
      <w:ind w:left="1200"/>
      <w:jc w:val="left"/>
    </w:pPr>
    <w:rPr>
      <w:rFonts w:cs="Arial"/>
      <w:szCs w:val="20"/>
    </w:rPr>
  </w:style>
  <w:style w:type="paragraph" w:styleId="Spistreci9">
    <w:name w:val="toc 9"/>
    <w:basedOn w:val="Normalny"/>
    <w:next w:val="Normalny"/>
    <w:autoRedefine/>
    <w:uiPriority w:val="99"/>
    <w:rsid w:val="00902CDE"/>
    <w:pPr>
      <w:spacing w:after="0"/>
      <w:ind w:left="1400"/>
      <w:jc w:val="left"/>
    </w:pPr>
    <w:rPr>
      <w:rFonts w:cs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7D5AFC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7D5AFC"/>
    <w:rPr>
      <w:rFonts w:cs="Times New Roman"/>
      <w:color w:val="171717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20529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C20529"/>
    <w:rPr>
      <w:rFonts w:cs="Times New Roman"/>
      <w:color w:val="171717"/>
      <w:sz w:val="20"/>
      <w:szCs w:val="20"/>
    </w:rPr>
  </w:style>
  <w:style w:type="character" w:styleId="Odwoanieprzypisukocowego">
    <w:name w:val="endnote reference"/>
    <w:uiPriority w:val="99"/>
    <w:semiHidden/>
    <w:rsid w:val="00C2052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559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797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Curulis Sp. z o.o.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Sośnicka</dc:creator>
  <cp:keywords>Curulis Sp. z o.o.</cp:keywords>
  <dc:description/>
  <cp:lastModifiedBy>Małgorzata Cirko</cp:lastModifiedBy>
  <cp:revision>12</cp:revision>
  <cp:lastPrinted>2024-07-29T09:21:00Z</cp:lastPrinted>
  <dcterms:created xsi:type="dcterms:W3CDTF">2024-07-22T10:29:00Z</dcterms:created>
  <dcterms:modified xsi:type="dcterms:W3CDTF">2024-07-31T11:25:00Z</dcterms:modified>
</cp:coreProperties>
</file>