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18</w:t>
      </w:r>
      <w:r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Przebudowa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Legionowie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lineRule="auto" w:line="276" w:before="11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lineRule="auto" w:line="276"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Wykonawca zrealizuje zamówienie w terminie: 90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 sierpnia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Przebudowa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5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formularz oferty (załącznik </w:t>
      </w:r>
      <w:r>
        <w:rPr>
          <w:rFonts w:ascii="Arial" w:hAnsi="Arial"/>
          <w:sz w:val="22"/>
          <w:szCs w:val="22"/>
          <w:shd w:fill="auto" w:val="clear"/>
        </w:rPr>
        <w:t>nr 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3</Pages>
  <Words>663</Words>
  <Characters>4375</Characters>
  <CharactersWithSpaces>4982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2024-06-18T10:57:55Z</dcterms:created>
  <dc:creator/>
  <dc:description/>
  <dc:language>pl-PL</dc:language>
  <cp:lastModifiedBy/>
  <dcterms:modified xsi:type="dcterms:W3CDTF">2024-06-18T12:15:29Z</dcterms:modified>
  <cp:revision>2</cp:revision>
  <dc:subject/>
  <dc:title>Formularz oferty</dc:title>
</cp:coreProperties>
</file>