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5AF1" w14:textId="77777777" w:rsidR="00AD03C6" w:rsidRDefault="00AD03C6" w:rsidP="00EE45A1">
      <w:pPr>
        <w:spacing w:before="240" w:line="36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ZZP.262.46.2023.NU </w:t>
      </w:r>
      <w:r>
        <w:rPr>
          <w:sz w:val="24"/>
        </w:rPr>
        <w:br/>
      </w: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</w:t>
      </w:r>
      <w:r>
        <w:rPr>
          <w:rFonts w:cstheme="minorHAnsi"/>
          <w:sz w:val="24"/>
          <w:szCs w:val="24"/>
        </w:rPr>
        <w:t>Z</w:t>
      </w:r>
    </w:p>
    <w:p w14:paraId="4E16CF9A" w14:textId="77777777" w:rsidR="00AD03C6" w:rsidRDefault="00AD03C6" w:rsidP="00AD03C6">
      <w:pPr>
        <w:spacing w:before="240" w:after="0" w:line="360" w:lineRule="auto"/>
        <w:rPr>
          <w:rStyle w:val="Nagwek1Znak"/>
          <w:sz w:val="28"/>
          <w:szCs w:val="28"/>
        </w:rPr>
      </w:pPr>
      <w:r w:rsidRPr="002E10FF">
        <w:rPr>
          <w:rStyle w:val="Nagwek1Znak"/>
          <w:sz w:val="28"/>
          <w:szCs w:val="28"/>
        </w:rPr>
        <w:t>Wykaz przedmiotowych środków dowodowych składanych wraz z ofertą.</w:t>
      </w:r>
    </w:p>
    <w:p w14:paraId="5C27311E" w14:textId="77777777" w:rsidR="00AD03C6" w:rsidRPr="00E0561F" w:rsidRDefault="00AD03C6" w:rsidP="00AD03C6">
      <w:pPr>
        <w:spacing w:before="240" w:line="360" w:lineRule="auto"/>
        <w:rPr>
          <w:rStyle w:val="Pogrubienie"/>
          <w:b w:val="0"/>
          <w:bCs w:val="0"/>
          <w:sz w:val="24"/>
        </w:rPr>
      </w:pPr>
      <w:r w:rsidRPr="00507822">
        <w:rPr>
          <w:rFonts w:ascii="Calibri" w:eastAsia="Calibri" w:hAnsi="Calibri"/>
          <w:sz w:val="24"/>
          <w:szCs w:val="24"/>
        </w:rPr>
        <w:t>Załączone do oferty próbki będą podlegały ocenie w kryterium oceny ofert - jakość. Wyżej wymienione próbki dołączone do oferty muszą spełniać wszelkie wymagania określone w opisie przedmiotu zamówienia, za wyjątkiem nadruków oraz znaków graficznych a także koloru.</w:t>
      </w:r>
    </w:p>
    <w:tbl>
      <w:tblPr>
        <w:tblpPr w:leftFromText="141" w:rightFromText="141" w:vertAnchor="page" w:horzAnchor="margin" w:tblpY="598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2"/>
      </w:tblGrid>
      <w:tr w:rsidR="00E0561F" w:rsidRPr="00AD03C6" w14:paraId="2E6F8118" w14:textId="77777777" w:rsidTr="00AD03C6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751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Kosz piknikowy termiczny składany</w:t>
            </w:r>
          </w:p>
          <w:p w14:paraId="1C72B5D6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noProof/>
                <w:sz w:val="24"/>
                <w:szCs w:val="24"/>
              </w:rPr>
              <w:drawing>
                <wp:inline distT="0" distB="0" distL="0" distR="0" wp14:anchorId="404C0A16" wp14:editId="402BBC98">
                  <wp:extent cx="847725" cy="873729"/>
                  <wp:effectExtent l="0" t="0" r="0" b="3175"/>
                  <wp:docPr id="2" name="Obraz 2" descr="Pojemny KOSZ PIKNIKOWY Termiczny Składany 44x23x22cm czarny BQ27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jemny KOSZ PIKNIKOWY Termiczny Składany 44x23x22cm czarny BQ27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5" cy="87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3D2A" w14:textId="57CEE6CC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Kosz piknikowy termiczny z wytrzymałą składaną aluminiową ramą i bokami usztywnianymi aluminiowymi rurkami. Kosz posiada </w:t>
            </w:r>
            <w:r w:rsidRPr="00AD03C6">
              <w:rPr>
                <w:rFonts w:ascii="Calibri" w:eastAsia="Calibri" w:hAnsi="Calibri"/>
                <w:bCs/>
                <w:sz w:val="24"/>
                <w:szCs w:val="24"/>
              </w:rPr>
              <w:t>uchwyt z gumowym wykończeniem oraz szczelną pokrywę zapinaną na zamek błyskawiczny.  Wnętrze kosza wyściełane jest warstwą termicznej folii aluminiowej. Poszycie wykonane jest z mocnego, wodoodpornego materiału.</w:t>
            </w:r>
            <w:r w:rsidR="00AD03C6">
              <w:rPr>
                <w:rFonts w:ascii="Calibri" w:eastAsia="Calibri" w:hAnsi="Calibri"/>
                <w:bCs/>
                <w:sz w:val="24"/>
                <w:szCs w:val="24"/>
              </w:rPr>
              <w:t xml:space="preserve"> </w:t>
            </w:r>
            <w:r w:rsidRPr="00AD03C6">
              <w:rPr>
                <w:rFonts w:ascii="Calibri" w:eastAsia="Calibri" w:hAnsi="Calibri"/>
                <w:bCs/>
                <w:sz w:val="24"/>
                <w:szCs w:val="24"/>
              </w:rPr>
              <w:t>Wymiary min.: 44 cm (długość) x 23 cm x 22 cm</w:t>
            </w:r>
          </w:p>
          <w:p w14:paraId="25973320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sz w:val="24"/>
                <w:szCs w:val="24"/>
              </w:rPr>
              <w:t>Materiał: tworzywo sztuczne (Oxford), aluminium</w:t>
            </w:r>
          </w:p>
          <w:p w14:paraId="34911550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sz w:val="24"/>
                <w:szCs w:val="24"/>
              </w:rPr>
              <w:t>Kolor/ Wzór: do uzgodnienia po podpisaniu umowy.</w:t>
            </w:r>
          </w:p>
          <w:p w14:paraId="3CEB6ADD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/>
                <w:bCs/>
                <w:color w:val="FF0000"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sz w:val="24"/>
                <w:szCs w:val="24"/>
                <w:u w:val="single"/>
              </w:rPr>
              <w:t>Oznakowanie na produkcie:</w:t>
            </w:r>
            <w:r w:rsidRPr="00AD03C6">
              <w:rPr>
                <w:rFonts w:ascii="Calibri" w:eastAsia="Calibri" w:hAnsi="Calibri"/>
                <w:bCs/>
                <w:sz w:val="24"/>
                <w:szCs w:val="24"/>
              </w:rPr>
              <w:t xml:space="preserve"> dowolną metodą trwałą, 2 logotypy, jeden kolor.</w:t>
            </w:r>
          </w:p>
        </w:tc>
      </w:tr>
      <w:tr w:rsidR="00E0561F" w:rsidRPr="00AD03C6" w14:paraId="094C1E63" w14:textId="77777777" w:rsidTr="00AD03C6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4346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Torba sportowa/ podróżna z poliestru 600D </w:t>
            </w:r>
          </w:p>
          <w:p w14:paraId="65F987D4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noProof/>
                <w:sz w:val="24"/>
                <w:szCs w:val="24"/>
              </w:rPr>
              <w:drawing>
                <wp:inline distT="0" distB="0" distL="0" distR="0" wp14:anchorId="68EEDB73" wp14:editId="2E65A884">
                  <wp:extent cx="1000125" cy="833345"/>
                  <wp:effectExtent l="0" t="0" r="0" b="5080"/>
                  <wp:docPr id="3" name="Obraz 3" descr="torba sportowa Scuba S-774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" descr="torba sportowa Scuba S-774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75" cy="8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CC115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024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Torba sportowa z </w:t>
            </w:r>
            <w:proofErr w:type="spellStart"/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poliesteru</w:t>
            </w:r>
            <w:proofErr w:type="spellEnd"/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600D z zamkiem i regulowanym paskiem na ramię.  Torba posiada co najmniej jedną zapinaną na zamek błyskawiczny boczną kieszeń wzdłuż długiego boku. Torba posiada uchwyty z dodatkową osłoną dla wygodnego trzymania oraz długi regulowany pasek na ramię. Na pasku jest miękka osłona zabezpieczająca ramię przed otarciem.  </w:t>
            </w:r>
          </w:p>
          <w:p w14:paraId="2725D2EE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Wymiary produktu min.: 540×270×320 mm</w:t>
            </w:r>
          </w:p>
          <w:p w14:paraId="0476E3E2" w14:textId="0DDEEF00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Materiał: poliester 600D, Kolor/ Wzór: do uzgodnienia po podpisaniu umowy. </w:t>
            </w:r>
          </w:p>
          <w:p w14:paraId="60110DD2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Oznakowanie na produkcie (torbie): dowolną metodą trwałą, 2 logotypy, jeden kolor.</w:t>
            </w:r>
          </w:p>
        </w:tc>
      </w:tr>
    </w:tbl>
    <w:p w14:paraId="5DFCF854" w14:textId="77777777" w:rsidR="00AD03C6" w:rsidRDefault="00AD03C6">
      <w:r>
        <w:br w:type="page"/>
      </w:r>
    </w:p>
    <w:tbl>
      <w:tblPr>
        <w:tblpPr w:leftFromText="141" w:rightFromText="141" w:vertAnchor="page" w:horzAnchor="margin" w:tblpY="24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2"/>
      </w:tblGrid>
      <w:tr w:rsidR="00E0561F" w:rsidRPr="00AD03C6" w14:paraId="59B89C1D" w14:textId="77777777" w:rsidTr="00E0561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16C" w14:textId="544E6170" w:rsidR="00E0561F" w:rsidRPr="00AD03C6" w:rsidRDefault="00E0561F" w:rsidP="00AD03C6">
            <w:pPr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Mały portfel / etui na karty z funkcją RFID w eleganckim opakowaniu</w:t>
            </w:r>
          </w:p>
          <w:p w14:paraId="6E0FF4AF" w14:textId="77777777" w:rsidR="00E0561F" w:rsidRPr="00AD03C6" w:rsidRDefault="00E0561F" w:rsidP="00AD03C6">
            <w:pPr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noProof/>
                <w:sz w:val="24"/>
                <w:szCs w:val="24"/>
              </w:rPr>
              <w:drawing>
                <wp:inline distT="0" distB="0" distL="0" distR="0" wp14:anchorId="0CFE8C59" wp14:editId="08E5FF7B">
                  <wp:extent cx="847725" cy="61331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87" cy="62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F5A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Mały portfel/ etui na karty płatnicze z funkcją zabezpieczającą RFID. Posiada mechanizm automatycznego wysuwania kart. Portfel pomieści min. 9 kart, posiada kieszeń na banknoty oraz kieszeń na bilon. Jest zapinany na zatrzask. </w:t>
            </w:r>
          </w:p>
          <w:p w14:paraId="6F8E1FEC" w14:textId="3C838A86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Wymiary około: 7,5 x 9,5 x 3 cm, Materiał: skóra ekologiczna , Kolor: czarny </w:t>
            </w:r>
          </w:p>
          <w:p w14:paraId="3A6B9972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Opakowanie: portfel zapakowany w eleganckie opakowanie.</w:t>
            </w:r>
          </w:p>
          <w:p w14:paraId="4CEA75DE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Wzór: do uzgodnienia po podpisaniu umowy. Oznakowanie na opakowaniu dowolną metodą trwałą, 2 logotypy, jeden kolor. </w:t>
            </w:r>
          </w:p>
        </w:tc>
      </w:tr>
      <w:tr w:rsidR="00E0561F" w:rsidRPr="00AD03C6" w14:paraId="410B701F" w14:textId="77777777" w:rsidTr="00E0561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5E7" w14:textId="77777777" w:rsidR="00E0561F" w:rsidRPr="00AD03C6" w:rsidRDefault="00E0561F" w:rsidP="00AD03C6">
            <w:pPr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Mały automatyczny parasol składany</w:t>
            </w: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AD03C6">
              <w:rPr>
                <w:rFonts w:ascii="Calibri" w:eastAsia="Calibri" w:hAnsi="Calibri"/>
                <w:bCs/>
                <w:noProof/>
                <w:sz w:val="24"/>
                <w:szCs w:val="24"/>
              </w:rPr>
              <w:drawing>
                <wp:inline distT="0" distB="0" distL="0" distR="0" wp14:anchorId="687F2D3A" wp14:editId="71F704E0">
                  <wp:extent cx="962025" cy="845595"/>
                  <wp:effectExtent l="0" t="0" r="0" b="0"/>
                  <wp:docPr id="8" name="Obraz 8" descr="https://gadzety-reklamowe.com/images/content/255_255/56-010121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" descr="https://gadzety-reklamowe.com/images/content/255_255/56-010121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90" cy="84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7EC" w14:textId="00D4DB3B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Mały automatyczny parasol z pokrowcem w kolorze poszycia. Parasol ma 3-częściową metalową laskę, szyny z metalu lub metalu i włókna szklanego oraz metalowe kolce. Parasol ma uchwyt z automatycznym przyciskiem i  funkcjonalnym pętelką. Parasol posiada poszycie z poliestru i jest zapinany na rzep. Wymiary: średnica min. 96 cm, parasol złożony: max 28 cm</w:t>
            </w:r>
          </w:p>
          <w:p w14:paraId="6C63A4EF" w14:textId="5B2300F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Materiał: metal lub metal/ włókno szklane, poliester, Kolor: granatowy</w:t>
            </w:r>
          </w:p>
          <w:p w14:paraId="45BB6481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Oznakowanie na pokrowcu dowolną metodą trwałą, 2 logotypy, jeden kolor. </w:t>
            </w:r>
          </w:p>
        </w:tc>
      </w:tr>
      <w:tr w:rsidR="00E0561F" w:rsidRPr="00AD03C6" w14:paraId="64C6F904" w14:textId="77777777" w:rsidTr="00E0561F">
        <w:trPr>
          <w:trHeight w:val="2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522" w14:textId="77777777" w:rsidR="00E0561F" w:rsidRPr="00AD03C6" w:rsidRDefault="00E0561F" w:rsidP="00AD03C6">
            <w:pPr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Elegancki długopis w eleganckim</w:t>
            </w:r>
          </w:p>
          <w:p w14:paraId="1B727B52" w14:textId="77777777" w:rsidR="00E0561F" w:rsidRPr="00AD03C6" w:rsidRDefault="00E0561F" w:rsidP="00AD03C6">
            <w:pPr>
              <w:spacing w:after="0" w:line="360" w:lineRule="auto"/>
              <w:ind w:left="-75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/>
                <w:bCs/>
                <w:noProof/>
                <w:sz w:val="24"/>
                <w:szCs w:val="24"/>
              </w:rPr>
              <w:drawing>
                <wp:inline distT="0" distB="0" distL="0" distR="0" wp14:anchorId="2C82FA6A" wp14:editId="6BBB3FBC">
                  <wp:extent cx="1009650" cy="10096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C04" w14:textId="6E219396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Wysokiej jakości długopis metalowy. Posiada precyzyjny mechanizm obrotowy. Długopis jest zapakowany w eleganckie, akrylowe etui. Długopis posiada niebieski wkład. Wymiary długopisu min.: 13,8 x średnica 1,2 cm</w:t>
            </w:r>
          </w:p>
          <w:p w14:paraId="5E8DBEBD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Materiał: metal (nie aluminium), etui: akryl</w:t>
            </w:r>
          </w:p>
          <w:p w14:paraId="3AA8D013" w14:textId="27EDD3BA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etui  Kolor: czarny/ srebrne,  wkład niebieski</w:t>
            </w:r>
          </w:p>
          <w:p w14:paraId="79434908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>Kolor/Wzór: do uzgodnienia po podpisaniu umowy.</w:t>
            </w:r>
          </w:p>
          <w:p w14:paraId="2555B9D5" w14:textId="77777777" w:rsidR="00E0561F" w:rsidRPr="00AD03C6" w:rsidRDefault="00E0561F" w:rsidP="00AD03C6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D03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Oznakowanie na etui dowolną metodą trwałą, 2 logotypy, jeden kolor.</w:t>
            </w:r>
          </w:p>
        </w:tc>
      </w:tr>
    </w:tbl>
    <w:p w14:paraId="2962BA16" w14:textId="79172053" w:rsidR="00E0561F" w:rsidRPr="00E0561F" w:rsidRDefault="00E0561F" w:rsidP="00E0561F">
      <w:pPr>
        <w:tabs>
          <w:tab w:val="left" w:pos="2985"/>
        </w:tabs>
        <w:rPr>
          <w:rFonts w:cstheme="minorHAnsi"/>
          <w:sz w:val="24"/>
          <w:szCs w:val="24"/>
        </w:rPr>
      </w:pPr>
    </w:p>
    <w:sectPr w:rsidR="00E0561F" w:rsidRPr="00E0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A574" w14:textId="77777777" w:rsidR="00972470" w:rsidRDefault="00972470" w:rsidP="00E0561F">
      <w:pPr>
        <w:spacing w:after="0" w:line="240" w:lineRule="auto"/>
      </w:pPr>
      <w:r>
        <w:separator/>
      </w:r>
    </w:p>
  </w:endnote>
  <w:endnote w:type="continuationSeparator" w:id="0">
    <w:p w14:paraId="0B15498A" w14:textId="77777777" w:rsidR="00972470" w:rsidRDefault="00972470" w:rsidP="00E0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72E0" w14:textId="77777777" w:rsidR="00972470" w:rsidRDefault="00972470" w:rsidP="00E0561F">
      <w:pPr>
        <w:spacing w:after="0" w:line="240" w:lineRule="auto"/>
      </w:pPr>
      <w:r>
        <w:separator/>
      </w:r>
    </w:p>
  </w:footnote>
  <w:footnote w:type="continuationSeparator" w:id="0">
    <w:p w14:paraId="317C1459" w14:textId="77777777" w:rsidR="00972470" w:rsidRDefault="00972470" w:rsidP="00E0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96C"/>
    <w:multiLevelType w:val="hybridMultilevel"/>
    <w:tmpl w:val="002C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112416"/>
    <w:rsid w:val="00254E8C"/>
    <w:rsid w:val="003A1242"/>
    <w:rsid w:val="004B1DBC"/>
    <w:rsid w:val="005C1CF6"/>
    <w:rsid w:val="008B106B"/>
    <w:rsid w:val="00972470"/>
    <w:rsid w:val="00A917AB"/>
    <w:rsid w:val="00AD03C6"/>
    <w:rsid w:val="00B10986"/>
    <w:rsid w:val="00B13E10"/>
    <w:rsid w:val="00D43A8E"/>
    <w:rsid w:val="00E0561F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5F8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10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B10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986"/>
    <w:pPr>
      <w:spacing w:after="120" w:line="240" w:lineRule="auto"/>
      <w:ind w:left="283"/>
    </w:pPr>
    <w:rPr>
      <w:rFonts w:eastAsiaTheme="minorEastAsia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986"/>
    <w:rPr>
      <w:rFonts w:eastAsiaTheme="minorEastAsi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0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1F"/>
  </w:style>
  <w:style w:type="paragraph" w:styleId="Stopka">
    <w:name w:val="footer"/>
    <w:basedOn w:val="Normalny"/>
    <w:link w:val="StopkaZnak"/>
    <w:uiPriority w:val="99"/>
    <w:unhideWhenUsed/>
    <w:rsid w:val="00E0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1F"/>
  </w:style>
  <w:style w:type="character" w:customStyle="1" w:styleId="Nagwek1Znak">
    <w:name w:val="Nagłówek 1 Znak"/>
    <w:basedOn w:val="Domylnaczcionkaakapitu"/>
    <w:link w:val="Nagwek1"/>
    <w:uiPriority w:val="9"/>
    <w:rsid w:val="00AD0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6</cp:revision>
  <dcterms:created xsi:type="dcterms:W3CDTF">2022-04-20T08:42:00Z</dcterms:created>
  <dcterms:modified xsi:type="dcterms:W3CDTF">2023-10-05T09:32:00Z</dcterms:modified>
</cp:coreProperties>
</file>