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34AE3E6C"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692BA8">
              <w:rPr>
                <w:rFonts w:ascii="Tahoma" w:hAnsi="Tahoma" w:cs="Tahoma"/>
                <w:b/>
                <w:sz w:val="20"/>
                <w:szCs w:val="20"/>
                <w:lang w:eastAsia="pl-PL"/>
              </w:rPr>
              <w:t>4</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(ET/T/</w:t>
            </w:r>
            <w:r w:rsidR="00692BA8">
              <w:rPr>
                <w:rFonts w:ascii="Tahoma" w:hAnsi="Tahoma" w:cs="Tahoma"/>
                <w:b/>
                <w:sz w:val="20"/>
                <w:szCs w:val="20"/>
                <w:lang w:eastAsia="pl-PL"/>
              </w:rPr>
              <w:t>09</w:t>
            </w:r>
            <w:r w:rsidRPr="00841CAD">
              <w:rPr>
                <w:rFonts w:ascii="Tahoma" w:hAnsi="Tahoma" w:cs="Tahoma"/>
                <w:b/>
                <w:sz w:val="20"/>
                <w:szCs w:val="20"/>
                <w:lang w:eastAsia="pl-PL"/>
              </w:rPr>
              <w:t>/0</w:t>
            </w:r>
            <w:r w:rsidR="00692BA8">
              <w:rPr>
                <w:rFonts w:ascii="Tahoma" w:hAnsi="Tahoma" w:cs="Tahoma"/>
                <w:b/>
                <w:sz w:val="20"/>
                <w:szCs w:val="20"/>
                <w:lang w:eastAsia="pl-PL"/>
              </w:rPr>
              <w:t>2</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1B6ECC24"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 xml:space="preserve">wykonanie </w:t>
      </w:r>
      <w:bookmarkStart w:id="2" w:name="_Hlk159316502"/>
      <w:r w:rsidR="0007694B">
        <w:rPr>
          <w:spacing w:val="-4"/>
        </w:rPr>
        <w:t xml:space="preserve">budowy </w:t>
      </w:r>
      <w:r w:rsidR="00692BA8">
        <w:rPr>
          <w:spacing w:val="-4"/>
        </w:rPr>
        <w:t>kanalizacji sanitarnej w ul. Bankowej w Kaliszu w ramach zadania pn. ,,Przełączenie kanalizacji w ul. Wał Staromiejski na nowy układ kanalizacji sanitarnej”</w:t>
      </w:r>
      <w:bookmarkEnd w:id="2"/>
      <w:r w:rsidR="00692BA8">
        <w:rPr>
          <w:spacing w:val="-4"/>
        </w:rPr>
        <w:t>.</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0B84DFFF" w:rsidR="0059521D" w:rsidRPr="00245482" w:rsidRDefault="00AA2976" w:rsidP="004A2634">
      <w:pPr>
        <w:pStyle w:val="Akapitzlist"/>
        <w:spacing w:after="240"/>
        <w:ind w:left="567"/>
        <w:jc w:val="both"/>
        <w:rPr>
          <w:rFonts w:ascii="Times New Roman" w:hAnsi="Times New Roman"/>
          <w:bCs/>
          <w:sz w:val="24"/>
          <w:szCs w:val="24"/>
        </w:rPr>
      </w:pPr>
      <w:r w:rsidRPr="00245482">
        <w:rPr>
          <w:rFonts w:ascii="Times New Roman" w:hAnsi="Times New Roman"/>
          <w:bCs/>
          <w:spacing w:val="-6"/>
          <w:sz w:val="24"/>
          <w:szCs w:val="24"/>
        </w:rPr>
        <w:t xml:space="preserve">Przedmiotem zamówienia jest </w:t>
      </w:r>
      <w:r w:rsidR="004D3CA7" w:rsidRPr="00245482">
        <w:rPr>
          <w:rFonts w:ascii="Times New Roman" w:hAnsi="Times New Roman"/>
          <w:bCs/>
          <w:spacing w:val="-6"/>
          <w:sz w:val="24"/>
          <w:szCs w:val="24"/>
        </w:rPr>
        <w:t>w</w:t>
      </w:r>
      <w:r w:rsidR="004D3CA7" w:rsidRPr="00245482">
        <w:rPr>
          <w:rFonts w:ascii="Times New Roman" w:eastAsia="Times New Roman" w:hAnsi="Times New Roman"/>
          <w:snapToGrid w:val="0"/>
          <w:spacing w:val="-6"/>
          <w:sz w:val="24"/>
          <w:szCs w:val="24"/>
          <w:lang w:eastAsia="pl-PL"/>
        </w:rPr>
        <w:t xml:space="preserve">ykonanie </w:t>
      </w:r>
      <w:r w:rsidR="00692BA8" w:rsidRPr="00245482">
        <w:rPr>
          <w:rFonts w:ascii="Times New Roman" w:eastAsia="Times New Roman" w:hAnsi="Times New Roman"/>
          <w:snapToGrid w:val="0"/>
          <w:spacing w:val="-6"/>
          <w:sz w:val="24"/>
          <w:szCs w:val="24"/>
          <w:lang w:eastAsia="pl-PL"/>
        </w:rPr>
        <w:t>budowy kanalizacji sanitarnej w ul. Bankowej w Kaliszu w ramach zadania pn. ,,Przełączenie kanalizacji w ul. Wał Staromiejski na nowy układ kanalizacji sanitarnej” zgodnie z projektem technicznym ,,Budowa kanalizacji sanitarnej oraz budowa kanalizacji deszczowej wraz z separatorem” – opracowanym przez Przedsiębiorstwo Wielobranżowe STERN – wrzesień 2022r.</w:t>
      </w:r>
    </w:p>
    <w:p w14:paraId="6C65251D" w14:textId="77777777" w:rsidR="00692BA8" w:rsidRPr="00245482" w:rsidRDefault="00692BA8" w:rsidP="00F81EA1">
      <w:pPr>
        <w:pStyle w:val="Akapitzlist"/>
        <w:spacing w:after="120"/>
        <w:ind w:left="567"/>
        <w:jc w:val="both"/>
        <w:rPr>
          <w:rFonts w:ascii="Times New Roman" w:hAnsi="Times New Roman"/>
          <w:bCs/>
          <w:sz w:val="24"/>
          <w:szCs w:val="24"/>
          <w:u w:val="single"/>
        </w:rPr>
      </w:pPr>
    </w:p>
    <w:p w14:paraId="003BB452" w14:textId="2EE6EED5" w:rsidR="00EC5A51" w:rsidRPr="00245482" w:rsidRDefault="009C0651" w:rsidP="00F81EA1">
      <w:pPr>
        <w:pStyle w:val="Akapitzlist"/>
        <w:spacing w:after="120"/>
        <w:ind w:left="567"/>
        <w:jc w:val="both"/>
        <w:rPr>
          <w:rFonts w:ascii="Times New Roman" w:hAnsi="Times New Roman"/>
          <w:bCs/>
          <w:sz w:val="24"/>
          <w:szCs w:val="24"/>
        </w:rPr>
      </w:pPr>
      <w:r w:rsidRPr="00245482">
        <w:rPr>
          <w:rFonts w:ascii="Times New Roman" w:hAnsi="Times New Roman"/>
          <w:bCs/>
          <w:sz w:val="24"/>
          <w:szCs w:val="24"/>
          <w:u w:val="single"/>
        </w:rPr>
        <w:t xml:space="preserve">Szczegółowy zakres </w:t>
      </w:r>
      <w:r w:rsidR="00AA2976" w:rsidRPr="00245482">
        <w:rPr>
          <w:rFonts w:ascii="Times New Roman" w:hAnsi="Times New Roman"/>
          <w:bCs/>
          <w:sz w:val="24"/>
          <w:szCs w:val="24"/>
          <w:u w:val="single"/>
        </w:rPr>
        <w:t xml:space="preserve">zadania </w:t>
      </w:r>
      <w:r w:rsidRPr="00245482">
        <w:rPr>
          <w:rFonts w:ascii="Times New Roman" w:hAnsi="Times New Roman"/>
          <w:bCs/>
          <w:sz w:val="24"/>
          <w:szCs w:val="24"/>
          <w:u w:val="single"/>
        </w:rPr>
        <w:t>obejmuje:</w:t>
      </w:r>
    </w:p>
    <w:p w14:paraId="630F373C" w14:textId="5C6E5038" w:rsidR="00F75A72" w:rsidRPr="00F75A72" w:rsidRDefault="00F75A72" w:rsidP="004271C2">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3" w:name="_Hlk141254584"/>
      <w:bookmarkStart w:id="4" w:name="_Hlk51746832"/>
      <w:r w:rsidRPr="00F75A72">
        <w:rPr>
          <w:rFonts w:ascii="Times New Roman" w:eastAsia="Times New Roman" w:hAnsi="Times New Roman"/>
          <w:snapToGrid w:val="0"/>
          <w:sz w:val="24"/>
          <w:szCs w:val="24"/>
          <w:lang w:eastAsia="pl-PL"/>
        </w:rPr>
        <w:t xml:space="preserve">Wykonanie projektu organizacji ruchu na czas prowadzenia robót oraz na czas odtworzenia nawierzchni zgodnie z decyzją ZDM w Kaliszu i uzgodnienie projektu </w:t>
      </w:r>
      <w:r w:rsidR="00406728" w:rsidRPr="00245482">
        <w:rPr>
          <w:rFonts w:ascii="Times New Roman" w:eastAsia="Times New Roman" w:hAnsi="Times New Roman"/>
          <w:snapToGrid w:val="0"/>
          <w:sz w:val="24"/>
          <w:szCs w:val="24"/>
          <w:lang w:eastAsia="pl-PL"/>
        </w:rPr>
        <w:br/>
      </w:r>
      <w:r w:rsidRPr="00F75A72">
        <w:rPr>
          <w:rFonts w:ascii="Times New Roman" w:eastAsia="Times New Roman" w:hAnsi="Times New Roman"/>
          <w:snapToGrid w:val="0"/>
          <w:sz w:val="24"/>
          <w:szCs w:val="24"/>
          <w:lang w:eastAsia="pl-PL"/>
        </w:rPr>
        <w:t>w Zarządzie Dróg Miejskich w Kalis</w:t>
      </w:r>
      <w:r w:rsidR="00E36029">
        <w:rPr>
          <w:rFonts w:ascii="Times New Roman" w:eastAsia="Times New Roman" w:hAnsi="Times New Roman"/>
          <w:snapToGrid w:val="0"/>
          <w:sz w:val="24"/>
          <w:szCs w:val="24"/>
          <w:lang w:eastAsia="pl-PL"/>
        </w:rPr>
        <w:t>z</w:t>
      </w:r>
      <w:r w:rsidRPr="00F75A72">
        <w:rPr>
          <w:rFonts w:ascii="Times New Roman" w:eastAsia="Times New Roman" w:hAnsi="Times New Roman"/>
          <w:snapToGrid w:val="0"/>
          <w:sz w:val="24"/>
          <w:szCs w:val="24"/>
          <w:lang w:eastAsia="pl-PL"/>
        </w:rPr>
        <w:t xml:space="preserve">u. </w:t>
      </w:r>
    </w:p>
    <w:p w14:paraId="59C6DB67" w14:textId="632D0ACA" w:rsidR="00F75A72" w:rsidRPr="00F75A72" w:rsidRDefault="00F75A72" w:rsidP="004271C2">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Budow</w:t>
      </w:r>
      <w:r w:rsidR="00DA36F3">
        <w:rPr>
          <w:rFonts w:ascii="Times New Roman" w:eastAsia="Times New Roman" w:hAnsi="Times New Roman"/>
          <w:snapToGrid w:val="0"/>
          <w:sz w:val="24"/>
          <w:szCs w:val="24"/>
          <w:lang w:eastAsia="pl-PL"/>
        </w:rPr>
        <w:t>ę</w:t>
      </w:r>
      <w:r w:rsidRPr="00F75A72">
        <w:rPr>
          <w:rFonts w:ascii="Times New Roman" w:eastAsia="Times New Roman" w:hAnsi="Times New Roman"/>
          <w:snapToGrid w:val="0"/>
          <w:sz w:val="24"/>
          <w:szCs w:val="24"/>
          <w:lang w:eastAsia="pl-PL"/>
        </w:rPr>
        <w:t xml:space="preserve"> kanalizacji sanitarnej Ø200PVC-U o długości 70,10m. Materiał: Ø200PCV-U ze ścianką litą klasy S wg PN-EN1401:1999 o średnicy Dz200x5,9mm.</w:t>
      </w:r>
    </w:p>
    <w:p w14:paraId="3CDBD9C2" w14:textId="3BA0F515" w:rsidR="00F75A72" w:rsidRPr="00AD0D64" w:rsidRDefault="00F75A72" w:rsidP="004271C2">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AD0D64">
        <w:rPr>
          <w:rFonts w:ascii="Times New Roman" w:eastAsia="Times New Roman" w:hAnsi="Times New Roman"/>
          <w:snapToGrid w:val="0"/>
          <w:sz w:val="24"/>
          <w:szCs w:val="24"/>
          <w:lang w:eastAsia="pl-PL"/>
        </w:rPr>
        <w:t xml:space="preserve">Wykonanie odtworzenia nawierzchni </w:t>
      </w:r>
      <w:r w:rsidR="00E759FF" w:rsidRPr="00AD0D64">
        <w:rPr>
          <w:rFonts w:ascii="Times New Roman" w:eastAsia="Times New Roman" w:hAnsi="Times New Roman"/>
          <w:snapToGrid w:val="0"/>
          <w:sz w:val="24"/>
          <w:szCs w:val="24"/>
          <w:lang w:eastAsia="pl-PL"/>
        </w:rPr>
        <w:t>po pracach związanych z budową kanalizacji sanitarnej</w:t>
      </w:r>
      <w:r w:rsidR="00CF019A" w:rsidRPr="00AD0D64">
        <w:rPr>
          <w:rFonts w:ascii="Times New Roman" w:eastAsia="Times New Roman" w:hAnsi="Times New Roman"/>
          <w:snapToGrid w:val="0"/>
          <w:sz w:val="24"/>
          <w:szCs w:val="24"/>
          <w:lang w:eastAsia="pl-PL"/>
        </w:rPr>
        <w:t xml:space="preserve"> zgodnie z p</w:t>
      </w:r>
      <w:r w:rsidR="00CF019A" w:rsidRPr="00AD0D64">
        <w:rPr>
          <w:rFonts w:ascii="Times New Roman" w:eastAsia="Times New Roman" w:hAnsi="Times New Roman"/>
          <w:snapToGrid w:val="0"/>
          <w:sz w:val="24"/>
          <w:szCs w:val="24"/>
          <w:lang w:eastAsia="pl-PL"/>
        </w:rPr>
        <w:t>ismem ZDM z dnia 23.02.2024r. nr WU.4132.133.4.2021</w:t>
      </w:r>
      <w:r w:rsidR="00CF019A" w:rsidRPr="00AD0D64">
        <w:rPr>
          <w:rFonts w:ascii="Times New Roman" w:eastAsia="Times New Roman" w:hAnsi="Times New Roman"/>
          <w:snapToGrid w:val="0"/>
          <w:sz w:val="24"/>
          <w:szCs w:val="24"/>
          <w:lang w:eastAsia="pl-PL"/>
        </w:rPr>
        <w:t xml:space="preserve">, tj. </w:t>
      </w:r>
      <w:r w:rsidR="00CF019A" w:rsidRPr="00AD0D64">
        <w:rPr>
          <w:rFonts w:ascii="Times New Roman" w:eastAsia="Times New Roman" w:hAnsi="Times New Roman"/>
          <w:snapToGrid w:val="0"/>
          <w:sz w:val="24"/>
          <w:szCs w:val="24"/>
          <w:lang w:eastAsia="pl-PL"/>
        </w:rPr>
        <w:br/>
      </w:r>
      <w:r w:rsidR="00E759FF" w:rsidRPr="00AD0D64">
        <w:rPr>
          <w:rFonts w:ascii="Times New Roman" w:eastAsia="Times New Roman" w:hAnsi="Times New Roman"/>
          <w:snapToGrid w:val="0"/>
          <w:sz w:val="24"/>
          <w:szCs w:val="24"/>
          <w:lang w:eastAsia="pl-PL"/>
        </w:rPr>
        <w:t>w zakresie odtworzenia nawierzchni należy wykonać wymianę warstwy ścieralnej jezdni na długości prowadzonych prac i na całej szerokości naruszonego pasa ruchu.</w:t>
      </w:r>
    </w:p>
    <w:p w14:paraId="2D7B72C7" w14:textId="5A8DCA56" w:rsidR="00F75A72" w:rsidRPr="00245482" w:rsidRDefault="00F75A72" w:rsidP="004271C2">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 xml:space="preserve">Wykonanie geodezyjnej inwentaryzacji powykonawczej kanalizacji sanitarnej – inwentaryzację należy dostarczyć w wersji papierowej (2 egzemplarze) i cyfrowej </w:t>
      </w:r>
      <w:r w:rsidR="00406728" w:rsidRPr="00245482">
        <w:rPr>
          <w:rFonts w:ascii="Times New Roman" w:eastAsia="Times New Roman" w:hAnsi="Times New Roman"/>
          <w:snapToGrid w:val="0"/>
          <w:sz w:val="24"/>
          <w:szCs w:val="24"/>
          <w:lang w:eastAsia="pl-PL"/>
        </w:rPr>
        <w:br/>
      </w:r>
      <w:r w:rsidRPr="00F75A72">
        <w:rPr>
          <w:rFonts w:ascii="Times New Roman" w:eastAsia="Times New Roman" w:hAnsi="Times New Roman"/>
          <w:snapToGrid w:val="0"/>
          <w:sz w:val="24"/>
          <w:szCs w:val="24"/>
          <w:lang w:eastAsia="pl-PL"/>
        </w:rPr>
        <w:t xml:space="preserve">w formacie </w:t>
      </w:r>
      <w:proofErr w:type="spellStart"/>
      <w:r w:rsidRPr="00F75A72">
        <w:rPr>
          <w:rFonts w:ascii="Times New Roman" w:eastAsia="Times New Roman" w:hAnsi="Times New Roman"/>
          <w:snapToGrid w:val="0"/>
          <w:sz w:val="24"/>
          <w:szCs w:val="24"/>
          <w:lang w:eastAsia="pl-PL"/>
        </w:rPr>
        <w:t>dxf</w:t>
      </w:r>
      <w:proofErr w:type="spellEnd"/>
      <w:r w:rsidRPr="00F75A72">
        <w:rPr>
          <w:rFonts w:ascii="Times New Roman" w:eastAsia="Times New Roman" w:hAnsi="Times New Roman"/>
          <w:snapToGrid w:val="0"/>
          <w:sz w:val="24"/>
          <w:szCs w:val="24"/>
          <w:lang w:eastAsia="pl-PL"/>
        </w:rPr>
        <w:t xml:space="preserve"> oraz txt.</w:t>
      </w:r>
    </w:p>
    <w:p w14:paraId="36B52213" w14:textId="77777777" w:rsidR="00F75A72" w:rsidRPr="00245482" w:rsidRDefault="00F75A72" w:rsidP="009902FD">
      <w:pPr>
        <w:pStyle w:val="Akapitzlist"/>
        <w:tabs>
          <w:tab w:val="left" w:pos="567"/>
        </w:tabs>
        <w:spacing w:after="120"/>
        <w:ind w:left="567"/>
        <w:jc w:val="both"/>
        <w:rPr>
          <w:rFonts w:ascii="Times New Roman" w:hAnsi="Times New Roman"/>
          <w:sz w:val="24"/>
          <w:szCs w:val="24"/>
          <w:u w:val="single"/>
        </w:rPr>
      </w:pPr>
    </w:p>
    <w:p w14:paraId="43B0CD41" w14:textId="73EF1993" w:rsidR="00010D5D" w:rsidRPr="00226B74"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r w:rsidRPr="00226B74">
        <w:rPr>
          <w:rFonts w:ascii="Times New Roman" w:hAnsi="Times New Roman"/>
          <w:color w:val="000000" w:themeColor="text1"/>
          <w:sz w:val="24"/>
          <w:szCs w:val="24"/>
          <w:u w:val="single"/>
        </w:rPr>
        <w:t xml:space="preserve">Do obowiązków Wykonawcy </w:t>
      </w:r>
      <w:bookmarkEnd w:id="3"/>
      <w:r w:rsidRPr="00226B74">
        <w:rPr>
          <w:rFonts w:ascii="Times New Roman" w:hAnsi="Times New Roman"/>
          <w:color w:val="000000" w:themeColor="text1"/>
          <w:sz w:val="24"/>
          <w:szCs w:val="24"/>
          <w:u w:val="single"/>
        </w:rPr>
        <w:t>ujętych w ramach umownego wynagrodzenia należy:</w:t>
      </w:r>
      <w:bookmarkStart w:id="5" w:name="_Hlk66966839"/>
    </w:p>
    <w:p w14:paraId="5478F77B" w14:textId="74378891" w:rsidR="00213E05" w:rsidRPr="00245482"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6" w:name="_Hlk118111094"/>
      <w:bookmarkEnd w:id="5"/>
      <w:r w:rsidRPr="00245482">
        <w:rPr>
          <w:rFonts w:ascii="Times New Roman" w:hAnsi="Times New Roman" w:cs="Times New Roman"/>
          <w:spacing w:val="-8"/>
        </w:rPr>
        <w:t>Prowadzenie prac przy zapewnieniu ciągłości dostaw wody</w:t>
      </w:r>
      <w:r w:rsidR="006E6689" w:rsidRPr="00245482">
        <w:rPr>
          <w:rFonts w:ascii="Times New Roman" w:hAnsi="Times New Roman" w:cs="Times New Roman"/>
          <w:spacing w:val="-8"/>
        </w:rPr>
        <w:t xml:space="preserve"> dla odbiorców</w:t>
      </w:r>
      <w:r w:rsidR="00B33E6C" w:rsidRPr="00245482">
        <w:rPr>
          <w:rFonts w:ascii="Times New Roman" w:hAnsi="Times New Roman" w:cs="Times New Roman"/>
          <w:spacing w:val="-8"/>
        </w:rPr>
        <w:t>.</w:t>
      </w:r>
    </w:p>
    <w:p w14:paraId="62282F65" w14:textId="34C610FF" w:rsidR="00B33E6C" w:rsidRPr="00245482"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245482">
        <w:rPr>
          <w:rFonts w:ascii="Times New Roman" w:hAnsi="Times New Roman" w:cs="Times New Roman"/>
        </w:rPr>
        <w:t>Odwodnienie wykopów.</w:t>
      </w:r>
    </w:p>
    <w:p w14:paraId="341D1701" w14:textId="6D690ED0" w:rsidR="00EE7738" w:rsidRPr="00245482"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bookmarkStart w:id="7" w:name="_Hlk135305185"/>
      <w:r w:rsidRPr="00245482">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245482"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245482">
        <w:rPr>
          <w:rFonts w:ascii="Times New Roman" w:hAnsi="Times New Roman"/>
          <w:sz w:val="24"/>
          <w:szCs w:val="24"/>
        </w:rPr>
        <w:t>Organizacja oraz zabezpieczenie placu budowy przed dostępem osób trzecich.</w:t>
      </w:r>
    </w:p>
    <w:p w14:paraId="7D86A248" w14:textId="1BA32FA3" w:rsidR="00AA09D7" w:rsidRPr="000F27A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Zapewnienie kierownika budowy.</w:t>
      </w:r>
    </w:p>
    <w:bookmarkEnd w:id="4"/>
    <w:bookmarkEnd w:id="6"/>
    <w:bookmarkEnd w:id="7"/>
    <w:p w14:paraId="41D10A64" w14:textId="77777777" w:rsidR="00E759FF" w:rsidRDefault="00E759FF" w:rsidP="00EC5A51">
      <w:pPr>
        <w:spacing w:after="120"/>
        <w:ind w:left="567"/>
        <w:jc w:val="both"/>
        <w:rPr>
          <w:rFonts w:ascii="Times New Roman" w:hAnsi="Times New Roman"/>
          <w:spacing w:val="-6"/>
          <w:sz w:val="24"/>
          <w:szCs w:val="24"/>
          <w:u w:val="single"/>
        </w:rPr>
      </w:pPr>
    </w:p>
    <w:p w14:paraId="1CA809F7" w14:textId="05E51E88"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t>Prace należy prowadzić zgodnie z:</w:t>
      </w:r>
    </w:p>
    <w:p w14:paraId="4F96D0C0" w14:textId="4406AE81" w:rsidR="00F315BC" w:rsidRPr="00245482" w:rsidRDefault="00F315B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8" w:name="_Hlk135303274"/>
      <w:bookmarkStart w:id="9" w:name="_Hlk143244169"/>
      <w:r w:rsidRPr="00245482">
        <w:rPr>
          <w:rFonts w:ascii="Times New Roman" w:eastAsia="Times New Roman" w:hAnsi="Times New Roman"/>
          <w:snapToGrid w:val="0"/>
          <w:sz w:val="24"/>
          <w:szCs w:val="24"/>
          <w:lang w:eastAsia="pl-PL"/>
        </w:rPr>
        <w:t>Projektem organizacji ruchu.</w:t>
      </w:r>
    </w:p>
    <w:p w14:paraId="6AC5B975" w14:textId="7EDE5F99" w:rsidR="00980659" w:rsidRDefault="0072241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Decyzją ZDM w Kaliszu WU.41</w:t>
      </w:r>
      <w:r w:rsidR="00F315BC" w:rsidRPr="00245482">
        <w:rPr>
          <w:rFonts w:ascii="Times New Roman" w:eastAsia="Times New Roman" w:hAnsi="Times New Roman"/>
          <w:snapToGrid w:val="0"/>
          <w:sz w:val="24"/>
          <w:szCs w:val="24"/>
          <w:lang w:eastAsia="pl-PL"/>
        </w:rPr>
        <w:t>32.133.1.2022</w:t>
      </w:r>
      <w:r w:rsidRPr="00245482">
        <w:rPr>
          <w:rFonts w:ascii="Times New Roman" w:eastAsia="Times New Roman" w:hAnsi="Times New Roman"/>
          <w:snapToGrid w:val="0"/>
          <w:sz w:val="24"/>
          <w:szCs w:val="24"/>
          <w:lang w:eastAsia="pl-PL"/>
        </w:rPr>
        <w:t xml:space="preserve"> z dnia </w:t>
      </w:r>
      <w:r w:rsidR="00F315BC" w:rsidRPr="00245482">
        <w:rPr>
          <w:rFonts w:ascii="Times New Roman" w:eastAsia="Times New Roman" w:hAnsi="Times New Roman"/>
          <w:snapToGrid w:val="0"/>
          <w:sz w:val="24"/>
          <w:szCs w:val="24"/>
          <w:lang w:eastAsia="pl-PL"/>
        </w:rPr>
        <w:t>30.03.2022</w:t>
      </w:r>
      <w:r w:rsidRPr="00245482">
        <w:rPr>
          <w:rFonts w:ascii="Times New Roman" w:eastAsia="Times New Roman" w:hAnsi="Times New Roman"/>
          <w:snapToGrid w:val="0"/>
          <w:sz w:val="24"/>
          <w:szCs w:val="24"/>
          <w:lang w:eastAsia="pl-PL"/>
        </w:rPr>
        <w:t>r.</w:t>
      </w:r>
    </w:p>
    <w:p w14:paraId="0FB001B1" w14:textId="56E86BC3" w:rsidR="00E759FF" w:rsidRPr="00245482" w:rsidRDefault="00E759FF"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10" w:name="_Hlk159934234"/>
      <w:r>
        <w:rPr>
          <w:rFonts w:ascii="Times New Roman" w:eastAsia="Times New Roman" w:hAnsi="Times New Roman"/>
          <w:snapToGrid w:val="0"/>
          <w:sz w:val="24"/>
          <w:szCs w:val="24"/>
          <w:lang w:eastAsia="pl-PL"/>
        </w:rPr>
        <w:t>Pismem z ZDM z dnia 23.02.2024r. nr WU.4132.133.4.2021.</w:t>
      </w:r>
    </w:p>
    <w:bookmarkEnd w:id="10"/>
    <w:p w14:paraId="0A8D4F92" w14:textId="77777777" w:rsidR="00ED303E" w:rsidRPr="00245482" w:rsidRDefault="0051038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Protokołem z narady koordynacyjnej WGK.6630.</w:t>
      </w:r>
      <w:r w:rsidR="00ED303E" w:rsidRPr="00245482">
        <w:rPr>
          <w:rFonts w:ascii="Times New Roman" w:eastAsia="Times New Roman" w:hAnsi="Times New Roman"/>
          <w:snapToGrid w:val="0"/>
          <w:sz w:val="24"/>
          <w:szCs w:val="24"/>
          <w:lang w:eastAsia="pl-PL"/>
        </w:rPr>
        <w:t>555.2021</w:t>
      </w:r>
      <w:r w:rsidRPr="00245482">
        <w:rPr>
          <w:rFonts w:ascii="Times New Roman" w:eastAsia="Times New Roman" w:hAnsi="Times New Roman"/>
          <w:snapToGrid w:val="0"/>
          <w:sz w:val="24"/>
          <w:szCs w:val="24"/>
          <w:lang w:eastAsia="pl-PL"/>
        </w:rPr>
        <w:t xml:space="preserve"> z dnia </w:t>
      </w:r>
      <w:r w:rsidR="00ED303E" w:rsidRPr="00245482">
        <w:rPr>
          <w:rFonts w:ascii="Times New Roman" w:eastAsia="Times New Roman" w:hAnsi="Times New Roman"/>
          <w:snapToGrid w:val="0"/>
          <w:sz w:val="24"/>
          <w:szCs w:val="24"/>
          <w:lang w:eastAsia="pl-PL"/>
        </w:rPr>
        <w:t>21.12.2021</w:t>
      </w:r>
      <w:r w:rsidRPr="00245482">
        <w:rPr>
          <w:rFonts w:ascii="Times New Roman" w:eastAsia="Times New Roman" w:hAnsi="Times New Roman"/>
          <w:snapToGrid w:val="0"/>
          <w:sz w:val="24"/>
          <w:szCs w:val="24"/>
          <w:lang w:eastAsia="pl-PL"/>
        </w:rPr>
        <w:t>r.</w:t>
      </w:r>
      <w:r w:rsidR="00ED303E" w:rsidRPr="00245482">
        <w:rPr>
          <w:rFonts w:ascii="Times New Roman" w:eastAsia="Times New Roman" w:hAnsi="Times New Roman"/>
          <w:snapToGrid w:val="0"/>
          <w:sz w:val="24"/>
          <w:szCs w:val="24"/>
          <w:lang w:eastAsia="pl-PL"/>
        </w:rPr>
        <w:t xml:space="preserve"> </w:t>
      </w:r>
    </w:p>
    <w:p w14:paraId="31DC61B8" w14:textId="31DD1C24" w:rsidR="0051038C" w:rsidRPr="00245482" w:rsidRDefault="00ED303E" w:rsidP="00E36029">
      <w:pPr>
        <w:pStyle w:val="Akapitzlist"/>
        <w:widowControl w:val="0"/>
        <w:spacing w:after="120"/>
        <w:ind w:left="1134"/>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i Protokołem WGK.6630.125.2022 z dnia 26.04.2022r.</w:t>
      </w:r>
    </w:p>
    <w:p w14:paraId="3010A0EE" w14:textId="43BB5AA7" w:rsidR="0051038C" w:rsidRPr="00245482" w:rsidRDefault="00ED303E"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pacing w:val="-8"/>
          <w:sz w:val="24"/>
          <w:szCs w:val="24"/>
          <w:lang w:eastAsia="pl-PL"/>
        </w:rPr>
        <w:t>Pozwoleniem Wojewódzkiego Konserwatora Zabytków w Poznaniu Delegatura w Kaliszu, Pozwolenie Nr 437/2022/A z dnia 28.06.2022r.</w:t>
      </w:r>
    </w:p>
    <w:p w14:paraId="578A48EA" w14:textId="44123C85" w:rsidR="00C44FFF" w:rsidRPr="00245482" w:rsidRDefault="0051038C"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 xml:space="preserve">Pozwoleniem na budowę Decyzja nr </w:t>
      </w:r>
      <w:r w:rsidR="00ED303E" w:rsidRPr="00245482">
        <w:rPr>
          <w:rFonts w:ascii="Times New Roman" w:eastAsia="Times New Roman" w:hAnsi="Times New Roman"/>
          <w:snapToGrid w:val="0"/>
          <w:sz w:val="24"/>
          <w:szCs w:val="24"/>
          <w:lang w:eastAsia="pl-PL"/>
        </w:rPr>
        <w:t>504/22</w:t>
      </w:r>
      <w:r w:rsidRPr="00245482">
        <w:rPr>
          <w:rFonts w:ascii="Times New Roman" w:eastAsia="Times New Roman" w:hAnsi="Times New Roman"/>
          <w:snapToGrid w:val="0"/>
          <w:sz w:val="24"/>
          <w:szCs w:val="24"/>
          <w:lang w:eastAsia="pl-PL"/>
        </w:rPr>
        <w:t xml:space="preserve"> z dnia </w:t>
      </w:r>
      <w:r w:rsidR="00ED303E" w:rsidRPr="00245482">
        <w:rPr>
          <w:rFonts w:ascii="Times New Roman" w:eastAsia="Times New Roman" w:hAnsi="Times New Roman"/>
          <w:snapToGrid w:val="0"/>
          <w:sz w:val="24"/>
          <w:szCs w:val="24"/>
          <w:lang w:eastAsia="pl-PL"/>
        </w:rPr>
        <w:t>31.10.2022</w:t>
      </w:r>
      <w:r w:rsidRPr="00245482">
        <w:rPr>
          <w:rFonts w:ascii="Times New Roman" w:eastAsia="Times New Roman" w:hAnsi="Times New Roman"/>
          <w:snapToGrid w:val="0"/>
          <w:sz w:val="24"/>
          <w:szCs w:val="24"/>
          <w:lang w:eastAsia="pl-PL"/>
        </w:rPr>
        <w:t>r</w:t>
      </w:r>
      <w:r w:rsidR="00C44FFF" w:rsidRPr="00245482">
        <w:rPr>
          <w:rFonts w:ascii="Times New Roman" w:eastAsia="Times New Roman" w:hAnsi="Times New Roman"/>
          <w:snapToGrid w:val="0"/>
          <w:sz w:val="24"/>
          <w:szCs w:val="24"/>
          <w:lang w:eastAsia="pl-PL"/>
        </w:rPr>
        <w:t>.</w:t>
      </w:r>
    </w:p>
    <w:p w14:paraId="420FC503" w14:textId="39FBAE4F" w:rsidR="00ED303E" w:rsidRPr="00245482" w:rsidRDefault="00ED303E"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Projektem Odtworzenia Nawierzchni – opracowanym przez mgr inż. R. Popławski  - wrzesień 2022r.</w:t>
      </w:r>
    </w:p>
    <w:p w14:paraId="7D62F591" w14:textId="0C75A1CF" w:rsidR="00ED303E" w:rsidRPr="00245482" w:rsidRDefault="00ED303E"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Opinią geotechniczną i dokumentacją badań podłoża gruntowego opracowaną przez GEO-MI – grudzień 2021.</w:t>
      </w:r>
    </w:p>
    <w:p w14:paraId="6C54E053" w14:textId="6F1C2594" w:rsidR="003B6CA6" w:rsidRPr="00245482" w:rsidRDefault="00000DB8"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hAnsi="Times New Roman"/>
          <w:sz w:val="24"/>
          <w:szCs w:val="24"/>
        </w:rPr>
        <w:t xml:space="preserve">Zasadami Kodeksu Pracy oraz przy przestrzeganiu zasad bhp, ochrony zdrowia </w:t>
      </w:r>
      <w:r w:rsidR="00C44FFF" w:rsidRPr="00245482">
        <w:rPr>
          <w:rFonts w:ascii="Times New Roman" w:hAnsi="Times New Roman"/>
          <w:sz w:val="24"/>
          <w:szCs w:val="24"/>
        </w:rPr>
        <w:br/>
      </w:r>
      <w:r w:rsidRPr="00245482">
        <w:rPr>
          <w:rFonts w:ascii="Times New Roman" w:hAnsi="Times New Roman"/>
          <w:sz w:val="24"/>
          <w:szCs w:val="24"/>
        </w:rPr>
        <w:t>i środowiska oraz ochrony przeciwpożarowej.</w:t>
      </w:r>
      <w:bookmarkEnd w:id="8"/>
    </w:p>
    <w:bookmarkEnd w:id="9"/>
    <w:p w14:paraId="7C5F7A36" w14:textId="5E4636A6"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1" w:name="_Hlk146196233"/>
      <w:bookmarkStart w:id="12" w:name="_Hlk117583336"/>
      <w:r w:rsidRPr="00245482">
        <w:rPr>
          <w:rStyle w:val="FontStyle11"/>
          <w:spacing w:val="0"/>
          <w:sz w:val="24"/>
          <w:szCs w:val="24"/>
        </w:rPr>
        <w:t>Zajęcie pasa drogowego będzie odbywać się na podstawie harmonogramu prowadzenia robót dostarcz</w:t>
      </w:r>
      <w:r w:rsidR="004D3FA9" w:rsidRPr="00245482">
        <w:rPr>
          <w:rStyle w:val="FontStyle11"/>
          <w:spacing w:val="0"/>
          <w:sz w:val="24"/>
          <w:szCs w:val="24"/>
        </w:rPr>
        <w:t>a</w:t>
      </w:r>
      <w:r w:rsidRPr="00245482">
        <w:rPr>
          <w:rStyle w:val="FontStyle11"/>
          <w:spacing w:val="0"/>
          <w:sz w:val="24"/>
          <w:szCs w:val="24"/>
        </w:rPr>
        <w:t>nego przez Wykonawcę (wszystkie odstępstwa od zatwierdzonego harmonogramu winny być zgł</w:t>
      </w:r>
      <w:r w:rsidR="00EE7738" w:rsidRPr="00245482">
        <w:rPr>
          <w:rStyle w:val="FontStyle11"/>
          <w:spacing w:val="0"/>
          <w:sz w:val="24"/>
          <w:szCs w:val="24"/>
        </w:rPr>
        <w:t>a</w:t>
      </w:r>
      <w:r w:rsidRPr="00245482">
        <w:rPr>
          <w:rStyle w:val="FontStyle11"/>
          <w:spacing w:val="0"/>
          <w:sz w:val="24"/>
          <w:szCs w:val="24"/>
        </w:rPr>
        <w:t>sz</w:t>
      </w:r>
      <w:r w:rsidR="00EE7738" w:rsidRPr="00245482">
        <w:rPr>
          <w:rStyle w:val="FontStyle11"/>
          <w:spacing w:val="0"/>
          <w:sz w:val="24"/>
          <w:szCs w:val="24"/>
        </w:rPr>
        <w:t>a</w:t>
      </w:r>
      <w:r w:rsidRPr="00245482">
        <w:rPr>
          <w:rStyle w:val="FontStyle11"/>
          <w:spacing w:val="0"/>
          <w:sz w:val="24"/>
          <w:szCs w:val="24"/>
        </w:rPr>
        <w:t>ne pisemnie).</w:t>
      </w:r>
    </w:p>
    <w:p w14:paraId="176BCC48" w14:textId="77777777"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 xml:space="preserve">Wnioski o zajęcie pasa drogowego przygotowuje Wykonawca. </w:t>
      </w:r>
    </w:p>
    <w:p w14:paraId="459F26BD" w14:textId="7F8DFA9F" w:rsidR="00932B7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Wszystkie sprawy związane ze zwolnieniem i odbiorem pasa drogowego oraz ewentualnymi naprawami gwarancyjnymi leżą po stronie Wykonawcy.</w:t>
      </w:r>
    </w:p>
    <w:p w14:paraId="04D4AA64" w14:textId="52CBCC0F" w:rsidR="00893810" w:rsidRPr="00245482" w:rsidRDefault="001F1741">
      <w:pPr>
        <w:pStyle w:val="Style2"/>
        <w:numPr>
          <w:ilvl w:val="0"/>
          <w:numId w:val="14"/>
        </w:numPr>
        <w:tabs>
          <w:tab w:val="left" w:pos="1134"/>
        </w:tabs>
        <w:spacing w:after="240" w:line="276" w:lineRule="auto"/>
        <w:ind w:left="1134" w:hanging="567"/>
        <w:jc w:val="both"/>
      </w:pPr>
      <w:proofErr w:type="spellStart"/>
      <w:r w:rsidRPr="00245482">
        <w:t>PWiK</w:t>
      </w:r>
      <w:proofErr w:type="spellEnd"/>
      <w:r w:rsidRPr="00245482">
        <w:t xml:space="preserve"> Sp. z o.o. będzie obciążać Wykonawcę kosztami za zajęcie pasa drogowego na podstawie faktur VAT wystawionych na bieżąco w trakcie realizacji zadania.</w:t>
      </w:r>
    </w:p>
    <w:bookmarkEnd w:id="11"/>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3"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3"/>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w:t>
      </w:r>
      <w:proofErr w:type="spellStart"/>
      <w:r w:rsidRPr="00226B74">
        <w:rPr>
          <w:rFonts w:ascii="Times New Roman" w:hAnsi="Times New Roman"/>
          <w:sz w:val="24"/>
          <w:szCs w:val="24"/>
        </w:rPr>
        <w:t>ppkt</w:t>
      </w:r>
      <w:proofErr w:type="spellEnd"/>
      <w:r w:rsidRPr="00226B74">
        <w:rPr>
          <w:rFonts w:ascii="Times New Roman" w:hAnsi="Times New Roman"/>
          <w:sz w:val="24"/>
          <w:szCs w:val="24"/>
        </w:rPr>
        <w:t xml:space="preserve">. 4 Regulaminu Udzielania Zamówień </w:t>
      </w:r>
      <w:proofErr w:type="spellStart"/>
      <w:r w:rsidRPr="00226B74">
        <w:rPr>
          <w:rFonts w:ascii="Times New Roman" w:hAnsi="Times New Roman"/>
          <w:sz w:val="24"/>
          <w:szCs w:val="24"/>
          <w:lang w:bidi="he-IL"/>
        </w:rPr>
        <w:t>PWiK</w:t>
      </w:r>
      <w:proofErr w:type="spellEnd"/>
      <w:r w:rsidRPr="00226B74">
        <w:rPr>
          <w:rFonts w:ascii="Times New Roman" w:hAnsi="Times New Roman"/>
          <w:sz w:val="24"/>
          <w:szCs w:val="24"/>
          <w:lang w:bidi="he-IL"/>
        </w:rPr>
        <w:t xml:space="preserve">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4" w:name="_Hlk140484682"/>
      <w:r w:rsidRPr="00226B74">
        <w:rPr>
          <w:rFonts w:ascii="Times New Roman" w:hAnsi="Times New Roman"/>
          <w:sz w:val="24"/>
          <w:szCs w:val="24"/>
        </w:rPr>
        <w:t>Zamawiający odstępuje od wymagania podmiotowych środków dowodowych w tym zakresie;</w:t>
      </w:r>
    </w:p>
    <w:bookmarkEnd w:id="14"/>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5"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w:t>
      </w:r>
      <w:r w:rsidR="0082521E" w:rsidRPr="003355AA">
        <w:rPr>
          <w:rFonts w:ascii="Times New Roman" w:hAnsi="Times New Roman"/>
          <w:color w:val="000000" w:themeColor="text1"/>
          <w:sz w:val="24"/>
          <w:szCs w:val="24"/>
        </w:rPr>
        <w:lastRenderedPageBreak/>
        <w:t xml:space="preserve">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6" w:name="_Hlk140494232"/>
      <w:bookmarkEnd w:id="15"/>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6"/>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Koparka obrotowa – min. 1 szt.;</w:t>
      </w:r>
    </w:p>
    <w:p w14:paraId="17D5C8A5" w14:textId="03ECEFEB"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Koparko – ładowarka – min 1 szt.;</w:t>
      </w:r>
    </w:p>
    <w:p w14:paraId="0923F721" w14:textId="34FDF72E"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Szalunki – min. 2 </w:t>
      </w:r>
      <w:proofErr w:type="spellStart"/>
      <w:r w:rsidRPr="00617D2E">
        <w:rPr>
          <w:rFonts w:ascii="Times New Roman" w:hAnsi="Times New Roman"/>
          <w:sz w:val="24"/>
          <w:szCs w:val="24"/>
        </w:rPr>
        <w:t>kpl</w:t>
      </w:r>
      <w:proofErr w:type="spellEnd"/>
      <w:r w:rsidRPr="00617D2E">
        <w:rPr>
          <w:rFonts w:ascii="Times New Roman" w:hAnsi="Times New Roman"/>
          <w:sz w:val="24"/>
          <w:szCs w:val="24"/>
        </w:rPr>
        <w:t>.;</w:t>
      </w:r>
    </w:p>
    <w:p w14:paraId="324FA872" w14:textId="501BBB2D"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Elementy </w:t>
      </w:r>
      <w:r w:rsidR="00977499" w:rsidRPr="00617D2E">
        <w:rPr>
          <w:rFonts w:ascii="Times New Roman" w:hAnsi="Times New Roman"/>
          <w:sz w:val="24"/>
          <w:szCs w:val="24"/>
        </w:rPr>
        <w:t xml:space="preserve">zabezpieczenia robót drogowych (barierki, podesty, oznakowania) – min. 2 </w:t>
      </w:r>
      <w:proofErr w:type="spellStart"/>
      <w:r w:rsidR="00977499" w:rsidRPr="00617D2E">
        <w:rPr>
          <w:rFonts w:ascii="Times New Roman" w:hAnsi="Times New Roman"/>
          <w:sz w:val="24"/>
          <w:szCs w:val="24"/>
        </w:rPr>
        <w:t>kpl</w:t>
      </w:r>
      <w:proofErr w:type="spellEnd"/>
      <w:r w:rsidR="00977499" w:rsidRPr="00617D2E">
        <w:rPr>
          <w:rFonts w:ascii="Times New Roman" w:hAnsi="Times New Roman"/>
          <w:sz w:val="24"/>
          <w:szCs w:val="24"/>
        </w:rPr>
        <w:t>.;</w:t>
      </w:r>
    </w:p>
    <w:p w14:paraId="3C499D1D" w14:textId="77834FC0"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płytowa – min. 1 szt.;</w:t>
      </w:r>
    </w:p>
    <w:p w14:paraId="6689290E" w14:textId="260F094E"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stopowa – min. 1 szt.;</w:t>
      </w:r>
    </w:p>
    <w:p w14:paraId="286044C9" w14:textId="2963999C" w:rsidR="0025439D" w:rsidRPr="00617D2E" w:rsidRDefault="00977499">
      <w:pPr>
        <w:pStyle w:val="Akapitzlist"/>
        <w:numPr>
          <w:ilvl w:val="0"/>
          <w:numId w:val="21"/>
        </w:numPr>
        <w:spacing w:before="120" w:after="240"/>
        <w:ind w:left="2835" w:hanging="567"/>
        <w:jc w:val="both"/>
        <w:rPr>
          <w:rFonts w:ascii="Times New Roman" w:hAnsi="Times New Roman"/>
          <w:sz w:val="24"/>
          <w:szCs w:val="24"/>
        </w:rPr>
      </w:pPr>
      <w:r w:rsidRPr="00617D2E">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7C9C115F"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7" w:name="_Hlk140495921"/>
      <w:r w:rsidR="00D43BC2">
        <w:rPr>
          <w:rFonts w:ascii="Times New Roman" w:hAnsi="Times New Roman"/>
          <w:color w:val="000000" w:themeColor="text1"/>
          <w:sz w:val="24"/>
          <w:szCs w:val="24"/>
        </w:rPr>
        <w:t xml:space="preserve">o wartości nie mniejszej </w:t>
      </w:r>
      <w:r w:rsidR="00D43BC2" w:rsidRPr="00617D2E">
        <w:rPr>
          <w:rFonts w:ascii="Times New Roman" w:hAnsi="Times New Roman"/>
          <w:sz w:val="24"/>
          <w:szCs w:val="24"/>
        </w:rPr>
        <w:t xml:space="preserve">niż </w:t>
      </w:r>
      <w:r w:rsidR="006B42BA">
        <w:rPr>
          <w:rFonts w:ascii="Times New Roman" w:hAnsi="Times New Roman"/>
          <w:sz w:val="24"/>
          <w:szCs w:val="24"/>
        </w:rPr>
        <w:t>2</w:t>
      </w:r>
      <w:r w:rsidR="00A565F1" w:rsidRPr="00617D2E">
        <w:rPr>
          <w:rFonts w:ascii="Times New Roman" w:hAnsi="Times New Roman"/>
          <w:sz w:val="24"/>
          <w:szCs w:val="24"/>
        </w:rPr>
        <w:t>00</w:t>
      </w:r>
      <w:r w:rsidR="00D43BC2" w:rsidRPr="00617D2E">
        <w:rPr>
          <w:rFonts w:ascii="Times New Roman" w:hAnsi="Times New Roman"/>
          <w:sz w:val="24"/>
          <w:szCs w:val="24"/>
        </w:rPr>
        <w:t>.000,00 zł netto</w:t>
      </w:r>
      <w:r w:rsidRPr="00617D2E">
        <w:rPr>
          <w:rFonts w:ascii="Times New Roman" w:hAnsi="Times New Roman"/>
          <w:sz w:val="24"/>
          <w:szCs w:val="24"/>
        </w:rPr>
        <w:t>.</w:t>
      </w:r>
      <w:bookmarkEnd w:id="17"/>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p w14:paraId="2031DF61" w14:textId="77777777" w:rsidR="00E36029" w:rsidRPr="003355AA" w:rsidRDefault="00E36029" w:rsidP="00E36029">
      <w:pPr>
        <w:pStyle w:val="Akapitzlist"/>
        <w:tabs>
          <w:tab w:val="left" w:pos="567"/>
        </w:tabs>
        <w:autoSpaceDE w:val="0"/>
        <w:autoSpaceDN w:val="0"/>
        <w:adjustRightInd w:val="0"/>
        <w:spacing w:after="120"/>
        <w:ind w:left="1134"/>
        <w:jc w:val="both"/>
        <w:rPr>
          <w:rFonts w:ascii="Times New Roman" w:eastAsiaTheme="minorEastAsia" w:hAnsi="Times New Roman"/>
          <w:bCs/>
          <w:iCs/>
          <w:color w:val="000000" w:themeColor="text1"/>
          <w:spacing w:val="-4"/>
          <w:sz w:val="24"/>
          <w:szCs w:val="24"/>
          <w:lang w:eastAsia="pl-PL"/>
        </w:rPr>
      </w:pPr>
    </w:p>
    <w:bookmarkEnd w:id="12"/>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lastRenderedPageBreak/>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66F342B9" w:rsidR="001A2365" w:rsidRPr="00AD0D64"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AD0D64">
        <w:rPr>
          <w:rFonts w:ascii="Times New Roman" w:hAnsi="Times New Roman"/>
          <w:sz w:val="24"/>
          <w:szCs w:val="24"/>
        </w:rPr>
        <w:t xml:space="preserve">Termin </w:t>
      </w:r>
      <w:r w:rsidR="00406728" w:rsidRPr="00AD0D64">
        <w:rPr>
          <w:rFonts w:ascii="Times New Roman" w:hAnsi="Times New Roman"/>
          <w:sz w:val="24"/>
          <w:szCs w:val="24"/>
        </w:rPr>
        <w:t>rozpoczęcia prac</w:t>
      </w:r>
      <w:r w:rsidR="000F27A1" w:rsidRPr="00AD0D64">
        <w:rPr>
          <w:rFonts w:ascii="Times New Roman" w:hAnsi="Times New Roman"/>
          <w:sz w:val="24"/>
          <w:szCs w:val="24"/>
        </w:rPr>
        <w:t>:</w:t>
      </w:r>
      <w:r w:rsidRPr="00AD0D64">
        <w:rPr>
          <w:rFonts w:ascii="Times New Roman" w:hAnsi="Times New Roman"/>
          <w:sz w:val="24"/>
          <w:szCs w:val="24"/>
        </w:rPr>
        <w:t xml:space="preserve"> </w:t>
      </w:r>
      <w:r w:rsidR="00CF019A" w:rsidRPr="00AD0D64">
        <w:rPr>
          <w:rFonts w:ascii="Times New Roman" w:hAnsi="Times New Roman"/>
          <w:sz w:val="24"/>
          <w:szCs w:val="24"/>
        </w:rPr>
        <w:t>02</w:t>
      </w:r>
      <w:r w:rsidRPr="00AD0D64">
        <w:rPr>
          <w:rFonts w:ascii="Times New Roman" w:hAnsi="Times New Roman"/>
          <w:sz w:val="24"/>
          <w:szCs w:val="24"/>
        </w:rPr>
        <w:t>.</w:t>
      </w:r>
      <w:r w:rsidR="00406728" w:rsidRPr="00AD0D64">
        <w:rPr>
          <w:rFonts w:ascii="Times New Roman" w:hAnsi="Times New Roman"/>
          <w:sz w:val="24"/>
          <w:szCs w:val="24"/>
        </w:rPr>
        <w:t>0</w:t>
      </w:r>
      <w:r w:rsidR="00CF019A" w:rsidRPr="00AD0D64">
        <w:rPr>
          <w:rFonts w:ascii="Times New Roman" w:hAnsi="Times New Roman"/>
          <w:sz w:val="24"/>
          <w:szCs w:val="24"/>
        </w:rPr>
        <w:t>5</w:t>
      </w:r>
      <w:r w:rsidRPr="00AD0D64">
        <w:rPr>
          <w:rFonts w:ascii="Times New Roman" w:hAnsi="Times New Roman"/>
          <w:sz w:val="24"/>
          <w:szCs w:val="24"/>
        </w:rPr>
        <w:t>.202</w:t>
      </w:r>
      <w:r w:rsidR="00406728" w:rsidRPr="00AD0D64">
        <w:rPr>
          <w:rFonts w:ascii="Times New Roman" w:hAnsi="Times New Roman"/>
          <w:sz w:val="24"/>
          <w:szCs w:val="24"/>
        </w:rPr>
        <w:t>4</w:t>
      </w:r>
      <w:r w:rsidRPr="00AD0D64">
        <w:rPr>
          <w:rFonts w:ascii="Times New Roman" w:hAnsi="Times New Roman"/>
          <w:sz w:val="24"/>
          <w:szCs w:val="24"/>
        </w:rPr>
        <w:t>r.</w:t>
      </w:r>
    </w:p>
    <w:p w14:paraId="4147F4F2" w14:textId="2B871CFE" w:rsidR="001A2365" w:rsidRPr="00AD0D64"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AD0D64">
        <w:rPr>
          <w:rFonts w:ascii="Times New Roman" w:hAnsi="Times New Roman"/>
          <w:sz w:val="24"/>
          <w:szCs w:val="24"/>
        </w:rPr>
        <w:t xml:space="preserve">Termin wykonania do </w:t>
      </w:r>
      <w:r w:rsidR="00CF019A" w:rsidRPr="00AD0D64">
        <w:rPr>
          <w:rFonts w:ascii="Times New Roman" w:hAnsi="Times New Roman"/>
          <w:sz w:val="24"/>
          <w:szCs w:val="24"/>
        </w:rPr>
        <w:t>14</w:t>
      </w:r>
      <w:r w:rsidR="00406728" w:rsidRPr="00AD0D64">
        <w:rPr>
          <w:rFonts w:ascii="Times New Roman" w:hAnsi="Times New Roman"/>
          <w:sz w:val="24"/>
          <w:szCs w:val="24"/>
        </w:rPr>
        <w:t>.0</w:t>
      </w:r>
      <w:r w:rsidR="00CF019A" w:rsidRPr="00AD0D64">
        <w:rPr>
          <w:rFonts w:ascii="Times New Roman" w:hAnsi="Times New Roman"/>
          <w:sz w:val="24"/>
          <w:szCs w:val="24"/>
        </w:rPr>
        <w:t>6</w:t>
      </w:r>
      <w:r w:rsidR="00406728" w:rsidRPr="00AD0D64">
        <w:rPr>
          <w:rFonts w:ascii="Times New Roman" w:hAnsi="Times New Roman"/>
          <w:sz w:val="24"/>
          <w:szCs w:val="24"/>
        </w:rPr>
        <w:t>.2024r</w:t>
      </w:r>
      <w:r w:rsidRPr="00AD0D64">
        <w:rPr>
          <w:rFonts w:ascii="Times New Roman" w:hAnsi="Times New Roman"/>
          <w:sz w:val="24"/>
          <w:szCs w:val="24"/>
        </w:rPr>
        <w:t>.</w:t>
      </w:r>
    </w:p>
    <w:p w14:paraId="5F63D0FF" w14:textId="77777777" w:rsidR="00BC2CA0" w:rsidRPr="00245482"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245482"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245482">
        <w:rPr>
          <w:rFonts w:ascii="Times New Roman" w:hAnsi="Times New Roman"/>
          <w:b/>
          <w:sz w:val="24"/>
          <w:szCs w:val="24"/>
        </w:rPr>
        <w:t>Forma płatności.</w:t>
      </w:r>
    </w:p>
    <w:p w14:paraId="59729D8A" w14:textId="5FBA2755" w:rsidR="00BC2CA0" w:rsidRPr="00245482" w:rsidRDefault="00BC2CA0"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 xml:space="preserve">Termin płatności: przelew, </w:t>
      </w:r>
      <w:r w:rsidR="00406728" w:rsidRPr="00245482">
        <w:rPr>
          <w:rFonts w:ascii="Times New Roman" w:hAnsi="Times New Roman"/>
          <w:sz w:val="24"/>
          <w:szCs w:val="24"/>
        </w:rPr>
        <w:t>30</w:t>
      </w:r>
      <w:r w:rsidRPr="00245482">
        <w:rPr>
          <w:rFonts w:ascii="Times New Roman" w:hAnsi="Times New Roman"/>
          <w:sz w:val="24"/>
          <w:szCs w:val="24"/>
        </w:rPr>
        <w:t xml:space="preserve"> dni od daty podpisania protokołu końcowego odbioru robót.</w:t>
      </w:r>
    </w:p>
    <w:p w14:paraId="52FB1FE3" w14:textId="77777777" w:rsidR="00EC5A51" w:rsidRPr="00245482" w:rsidRDefault="00EC5A51"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8" w:name="_Hlk66874512"/>
      <w:r>
        <w:rPr>
          <w:rFonts w:ascii="Times New Roman" w:hAnsi="Times New Roman"/>
          <w:spacing w:val="-8"/>
          <w:sz w:val="24"/>
          <w:szCs w:val="24"/>
        </w:rPr>
        <w:t>Specjalista ds. Inwestycji – Artur Maruda – tel. 62 760 80 17, 786 822 257.</w:t>
      </w:r>
      <w:bookmarkEnd w:id="18"/>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Cena podana w formularzu ofertowym nie będzie negocjowana.</w:t>
      </w:r>
    </w:p>
    <w:p w14:paraId="77940DBA" w14:textId="2B53FD68"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106161" w:rsidRDefault="0003628E" w:rsidP="0003628E">
      <w:pPr>
        <w:spacing w:before="120" w:after="12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190F26C1" w14:textId="0201821A"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480604DE" w14:textId="09EDACD0"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w:t>
      </w:r>
      <w:proofErr w:type="spellStart"/>
      <w:r w:rsidRPr="0003628E">
        <w:rPr>
          <w:rFonts w:ascii="Times New Roman" w:hAnsi="Times New Roman"/>
          <w:sz w:val="24"/>
          <w:szCs w:val="24"/>
        </w:rPr>
        <w:t>PWiK</w:t>
      </w:r>
      <w:proofErr w:type="spellEnd"/>
      <w:r w:rsidRPr="0003628E">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w:t>
      </w:r>
      <w:r w:rsidRPr="0003628E">
        <w:rPr>
          <w:rFonts w:ascii="Times New Roman" w:hAnsi="Times New Roman"/>
          <w:sz w:val="24"/>
          <w:szCs w:val="24"/>
        </w:rPr>
        <w:lastRenderedPageBreak/>
        <w:t>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9" w:name="_Hlk34647304"/>
      <w:bookmarkStart w:id="20"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03D6B881" w14:textId="77777777" w:rsidR="006821FC" w:rsidRPr="006821FC" w:rsidRDefault="006821FC" w:rsidP="0024642A">
      <w:pPr>
        <w:numPr>
          <w:ilvl w:val="0"/>
          <w:numId w:val="28"/>
        </w:numPr>
        <w:spacing w:before="120" w:after="160" w:line="259" w:lineRule="auto"/>
        <w:ind w:left="567" w:hanging="567"/>
        <w:rPr>
          <w:rFonts w:ascii="Times New Roman" w:eastAsiaTheme="minorHAnsi" w:hAnsi="Times New Roman"/>
          <w:b/>
          <w:color w:val="000000" w:themeColor="text1"/>
          <w:sz w:val="24"/>
          <w:szCs w:val="24"/>
        </w:rPr>
      </w:pPr>
      <w:r w:rsidRPr="006821FC">
        <w:rPr>
          <w:rFonts w:ascii="Times New Roman" w:eastAsiaTheme="minorHAnsi" w:hAnsi="Times New Roman"/>
          <w:b/>
          <w:color w:val="000000" w:themeColor="text1"/>
          <w:sz w:val="24"/>
          <w:szCs w:val="24"/>
        </w:rPr>
        <w:t>Wadium</w:t>
      </w:r>
    </w:p>
    <w:p w14:paraId="5F70CDD5" w14:textId="10A529C9" w:rsidR="006821FC" w:rsidRPr="00617D2E" w:rsidRDefault="006821FC">
      <w:pPr>
        <w:numPr>
          <w:ilvl w:val="1"/>
          <w:numId w:val="28"/>
        </w:numPr>
        <w:spacing w:after="160" w:line="259" w:lineRule="auto"/>
        <w:ind w:left="1134" w:hanging="567"/>
        <w:contextualSpacing/>
        <w:jc w:val="both"/>
        <w:rPr>
          <w:rFonts w:ascii="Times New Roman" w:eastAsiaTheme="minorHAnsi" w:hAnsi="Times New Roman"/>
          <w:spacing w:val="-4"/>
          <w:sz w:val="24"/>
          <w:szCs w:val="24"/>
        </w:rPr>
      </w:pPr>
      <w:r w:rsidRPr="00617D2E">
        <w:rPr>
          <w:rFonts w:ascii="Times New Roman" w:eastAsiaTheme="minorHAnsi" w:hAnsi="Times New Roman"/>
          <w:spacing w:val="-4"/>
          <w:sz w:val="24"/>
          <w:szCs w:val="24"/>
        </w:rPr>
        <w:t xml:space="preserve">W niniejszym postępowaniu Zamawiający wymaga wniesienia wadium w wysokości </w:t>
      </w:r>
      <w:r w:rsidR="00F315BC">
        <w:rPr>
          <w:rFonts w:ascii="Times New Roman" w:eastAsiaTheme="minorHAnsi" w:hAnsi="Times New Roman"/>
          <w:b/>
          <w:bCs/>
          <w:spacing w:val="-4"/>
          <w:sz w:val="24"/>
          <w:szCs w:val="24"/>
        </w:rPr>
        <w:t>3</w:t>
      </w:r>
      <w:r w:rsidR="00754B8E" w:rsidRPr="00617D2E">
        <w:rPr>
          <w:rFonts w:ascii="Times New Roman" w:eastAsiaTheme="minorHAnsi" w:hAnsi="Times New Roman"/>
          <w:b/>
          <w:bCs/>
          <w:spacing w:val="-4"/>
          <w:sz w:val="24"/>
          <w:szCs w:val="24"/>
        </w:rPr>
        <w:t>.000,00</w:t>
      </w:r>
      <w:r w:rsidRPr="00617D2E">
        <w:rPr>
          <w:rFonts w:ascii="Times New Roman" w:eastAsiaTheme="minorHAnsi" w:hAnsi="Times New Roman"/>
          <w:b/>
          <w:bCs/>
          <w:spacing w:val="-4"/>
          <w:sz w:val="24"/>
          <w:szCs w:val="24"/>
        </w:rPr>
        <w:t xml:space="preserve"> zł</w:t>
      </w:r>
      <w:r w:rsidRPr="00617D2E">
        <w:rPr>
          <w:rFonts w:ascii="Times New Roman" w:eastAsiaTheme="minorHAnsi" w:hAnsi="Times New Roman"/>
          <w:spacing w:val="-4"/>
          <w:sz w:val="24"/>
          <w:szCs w:val="24"/>
        </w:rPr>
        <w:t xml:space="preserve"> stanowiącego zabezpieczenie składanej oferty. </w:t>
      </w:r>
    </w:p>
    <w:p w14:paraId="05953B3A" w14:textId="77777777" w:rsidR="006821FC" w:rsidRPr="00617D2E" w:rsidRDefault="006821FC">
      <w:pPr>
        <w:numPr>
          <w:ilvl w:val="1"/>
          <w:numId w:val="28"/>
        </w:numPr>
        <w:spacing w:after="0" w:line="259" w:lineRule="auto"/>
        <w:ind w:left="1134" w:hanging="567"/>
        <w:contextualSpacing/>
        <w:jc w:val="both"/>
        <w:rPr>
          <w:rFonts w:ascii="Times New Roman" w:eastAsiaTheme="minorHAnsi" w:hAnsi="Times New Roman"/>
          <w:sz w:val="24"/>
          <w:szCs w:val="24"/>
        </w:rPr>
      </w:pPr>
      <w:r w:rsidRPr="00617D2E">
        <w:rPr>
          <w:rFonts w:ascii="Times New Roman" w:eastAsiaTheme="minorHAnsi" w:hAnsi="Times New Roman"/>
          <w:sz w:val="24"/>
          <w:szCs w:val="24"/>
        </w:rPr>
        <w:t>Wadium należy wnieść przed upływem terminu składania ofert.</w:t>
      </w:r>
    </w:p>
    <w:p w14:paraId="490DC130" w14:textId="77777777" w:rsidR="006821FC" w:rsidRPr="00617D2E" w:rsidRDefault="006821FC">
      <w:pPr>
        <w:numPr>
          <w:ilvl w:val="1"/>
          <w:numId w:val="28"/>
        </w:numPr>
        <w:spacing w:after="160" w:line="259" w:lineRule="auto"/>
        <w:ind w:left="1134" w:hanging="567"/>
        <w:contextualSpacing/>
        <w:jc w:val="both"/>
        <w:rPr>
          <w:rFonts w:ascii="Times New Roman" w:eastAsiaTheme="minorHAnsi" w:hAnsi="Times New Roman"/>
          <w:sz w:val="24"/>
          <w:szCs w:val="24"/>
        </w:rPr>
      </w:pPr>
      <w:r w:rsidRPr="00617D2E">
        <w:rPr>
          <w:rFonts w:ascii="Times New Roman" w:eastAsiaTheme="minorHAnsi" w:hAnsi="Times New Roman"/>
          <w:sz w:val="24"/>
          <w:szCs w:val="24"/>
        </w:rPr>
        <w:t>Wadium może być wnoszone w jednej lub kilku następujących formach:</w:t>
      </w:r>
    </w:p>
    <w:p w14:paraId="2FB93338"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Pieniądzu;</w:t>
      </w:r>
    </w:p>
    <w:p w14:paraId="6EEEAA95"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Poręczeniach bankowych;</w:t>
      </w:r>
    </w:p>
    <w:p w14:paraId="5512FBA8"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Gwarancjach bankowych lub ubezpieczeniowych.</w:t>
      </w:r>
    </w:p>
    <w:p w14:paraId="544D3AAA"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Wadium wnoszone w pieniądzu wpłaca się przelewem na rachunek bankowy wskazany przez Zamawiającego, tj. 43 1750 1019 0000 0000 4159 5485. Do oferty należy dołączyć potwierdzenie wykonania przelewu na wskazane konto Zamawiającego.</w:t>
      </w:r>
    </w:p>
    <w:p w14:paraId="31D07568" w14:textId="05320005"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W przypadku składania przez Wykonawcę wadium w formie gwarancji, poręczenia </w:t>
      </w:r>
      <w:r w:rsidR="00AA5AB0" w:rsidRPr="00617D2E">
        <w:rPr>
          <w:rFonts w:ascii="Times New Roman" w:eastAsiaTheme="minorHAnsi" w:hAnsi="Times New Roman"/>
          <w:sz w:val="24"/>
          <w:szCs w:val="24"/>
        </w:rPr>
        <w:br/>
      </w:r>
      <w:r w:rsidRPr="00617D2E">
        <w:rPr>
          <w:rFonts w:ascii="Times New Roman" w:eastAsiaTheme="minorHAnsi" w:hAnsi="Times New Roman"/>
          <w:sz w:val="24"/>
          <w:szCs w:val="24"/>
        </w:rPr>
        <w:t xml:space="preserve">z ich treści musi jednoznacznie wynikać: nazwa zlecającego, beneficjenta gwarancji, gwaranta wraz z adresami ich siedzib, określenie wierzytelności, która ma być </w:t>
      </w:r>
      <w:r w:rsidRPr="00617D2E">
        <w:rPr>
          <w:rFonts w:ascii="Times New Roman" w:eastAsiaTheme="minorHAnsi" w:hAnsi="Times New Roman"/>
          <w:sz w:val="24"/>
          <w:szCs w:val="24"/>
        </w:rPr>
        <w:lastRenderedPageBreak/>
        <w:t xml:space="preserve">zabezpieczona gwarancją; kwota gwarancji; termin ważności gwarancji, bezwarunkowe i nieodwołalne zobowiązanie gwaranta do zapłacenia kwoty gwarancji na pierwsze żądanie Zamawiającego w przypadku zaistnienia następujących przesłanek, o których mowa w pkt </w:t>
      </w:r>
      <w:r w:rsidR="003F5F51" w:rsidRPr="00617D2E">
        <w:rPr>
          <w:rFonts w:ascii="Times New Roman" w:eastAsiaTheme="minorHAnsi" w:hAnsi="Times New Roman"/>
          <w:sz w:val="24"/>
          <w:szCs w:val="24"/>
        </w:rPr>
        <w:t>8)</w:t>
      </w:r>
      <w:r w:rsidRPr="00617D2E">
        <w:rPr>
          <w:rFonts w:ascii="Times New Roman" w:eastAsiaTheme="minorHAnsi" w:hAnsi="Times New Roman"/>
          <w:sz w:val="24"/>
          <w:szCs w:val="24"/>
        </w:rPr>
        <w:t>.</w:t>
      </w:r>
    </w:p>
    <w:p w14:paraId="2534F4F8" w14:textId="488502DF"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b/>
          <w:i/>
          <w:sz w:val="24"/>
          <w:szCs w:val="24"/>
        </w:rPr>
        <w:t>W przypadku wadium wnoszonego w formie niepieniężnej (gwarancja, poręczenie) winno ono być złożone w oryginale w postaci elektronicznej i opatrzone kwalifikowanym podpisem elektronicznym osoby (osób) upoważnionej</w:t>
      </w:r>
      <w:r w:rsidR="00881134" w:rsidRPr="00617D2E">
        <w:rPr>
          <w:rFonts w:ascii="Times New Roman" w:eastAsiaTheme="minorHAnsi" w:hAnsi="Times New Roman"/>
          <w:b/>
          <w:i/>
          <w:sz w:val="24"/>
          <w:szCs w:val="24"/>
        </w:rPr>
        <w:t xml:space="preserve"> </w:t>
      </w:r>
      <w:r w:rsidRPr="00617D2E">
        <w:rPr>
          <w:rFonts w:ascii="Times New Roman" w:eastAsiaTheme="minorHAnsi" w:hAnsi="Times New Roman"/>
          <w:b/>
          <w:i/>
          <w:sz w:val="24"/>
          <w:szCs w:val="24"/>
        </w:rPr>
        <w:t>(upoważnionych) do reprezentowania wystawcy gwarancji, poręczenia pod rygorem nieważności i odrzucenia oferty.</w:t>
      </w:r>
      <w:r w:rsidRPr="00617D2E">
        <w:rPr>
          <w:rFonts w:ascii="Times New Roman" w:eastAsiaTheme="minorHAnsi" w:hAnsi="Times New Roman"/>
          <w:sz w:val="24"/>
          <w:szCs w:val="24"/>
        </w:rPr>
        <w:t xml:space="preserve"> Nie dopuszcza się składania gwarancji, poręczenia </w:t>
      </w:r>
      <w:r w:rsidR="00AA5AB0" w:rsidRPr="00617D2E">
        <w:rPr>
          <w:rFonts w:ascii="Times New Roman" w:eastAsiaTheme="minorHAnsi" w:hAnsi="Times New Roman"/>
          <w:sz w:val="24"/>
          <w:szCs w:val="24"/>
        </w:rPr>
        <w:br/>
      </w:r>
      <w:r w:rsidRPr="00617D2E">
        <w:rPr>
          <w:rFonts w:ascii="Times New Roman" w:eastAsiaTheme="minorHAnsi" w:hAnsi="Times New Roman"/>
          <w:sz w:val="24"/>
          <w:szCs w:val="24"/>
        </w:rPr>
        <w:t xml:space="preserve">w formie pisemnej. </w:t>
      </w:r>
    </w:p>
    <w:p w14:paraId="7BA68DEE" w14:textId="77777777" w:rsidR="006821FC" w:rsidRPr="00617D2E" w:rsidRDefault="006821FC" w:rsidP="003F5F51">
      <w:pPr>
        <w:spacing w:after="0" w:line="259" w:lineRule="auto"/>
        <w:ind w:left="1134"/>
        <w:jc w:val="both"/>
        <w:rPr>
          <w:rFonts w:ascii="Times New Roman" w:eastAsiaTheme="minorHAnsi" w:hAnsi="Times New Roman"/>
          <w:b/>
          <w:i/>
          <w:sz w:val="24"/>
          <w:szCs w:val="24"/>
        </w:rPr>
      </w:pPr>
      <w:r w:rsidRPr="00617D2E">
        <w:rPr>
          <w:rFonts w:ascii="Times New Roman" w:eastAsiaTheme="minorHAnsi" w:hAnsi="Times New Roman"/>
          <w:b/>
          <w:i/>
          <w:sz w:val="24"/>
          <w:szCs w:val="24"/>
        </w:rPr>
        <w:t>Dokument gwarancji, poręczenia musi zostać załączony do oferty w postaci oryginalnego pliku otrzymanego od wystawcy gwarancji, poręczenia.</w:t>
      </w:r>
    </w:p>
    <w:p w14:paraId="3F9FDA5F" w14:textId="18406434"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Za termin wniesienia wadium w formie pieniężnej zostanie przyjęty termin uznania rachunku Zamawiającego, o którym mowa w pkt. </w:t>
      </w:r>
      <w:r w:rsidR="003F5F51" w:rsidRPr="00617D2E">
        <w:rPr>
          <w:rFonts w:ascii="Times New Roman" w:eastAsiaTheme="minorHAnsi" w:hAnsi="Times New Roman"/>
          <w:sz w:val="24"/>
          <w:szCs w:val="24"/>
        </w:rPr>
        <w:t>4)</w:t>
      </w:r>
      <w:r w:rsidRPr="00617D2E">
        <w:rPr>
          <w:rFonts w:ascii="Times New Roman" w:eastAsiaTheme="minorHAnsi" w:hAnsi="Times New Roman"/>
          <w:sz w:val="24"/>
          <w:szCs w:val="24"/>
        </w:rPr>
        <w:t>. Tym samym zlecenie dokonania przelewu przez Wykonawcę w dniu składania ofert lub dniu poprzedzającym może okazać się zbyt późne.</w:t>
      </w:r>
    </w:p>
    <w:p w14:paraId="7289528A"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Wykonawca traci wadium wraz z odsetkami jeżeli Wykonawca, którego oferta została wybrana:</w:t>
      </w:r>
    </w:p>
    <w:p w14:paraId="193064C8" w14:textId="77777777" w:rsidR="006821FC" w:rsidRPr="00617D2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odmówił podpisania umowy w sprawie zamówienia publicznego na warunkach określonych w ofercie;</w:t>
      </w:r>
    </w:p>
    <w:p w14:paraId="6E2050AC" w14:textId="6A0D8DA4" w:rsidR="006821FC" w:rsidRPr="00617D2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 xml:space="preserve">zawarcie umowy w sprawie zamówienia publicznego stało się niemożliwe z przyczyn leżących po stronie </w:t>
      </w:r>
      <w:r w:rsidR="00AA5AB0" w:rsidRPr="00617D2E">
        <w:rPr>
          <w:rFonts w:ascii="Times New Roman" w:eastAsiaTheme="minorEastAsia" w:hAnsi="Times New Roman"/>
          <w:spacing w:val="-4"/>
          <w:sz w:val="24"/>
          <w:szCs w:val="24"/>
          <w:lang w:eastAsia="pl-PL"/>
        </w:rPr>
        <w:t>W</w:t>
      </w:r>
      <w:r w:rsidRPr="00617D2E">
        <w:rPr>
          <w:rFonts w:ascii="Times New Roman" w:eastAsiaTheme="minorEastAsia" w:hAnsi="Times New Roman"/>
          <w:spacing w:val="-4"/>
          <w:sz w:val="24"/>
          <w:szCs w:val="24"/>
          <w:lang w:eastAsia="pl-PL"/>
        </w:rPr>
        <w:t>ykonawcy.</w:t>
      </w:r>
    </w:p>
    <w:p w14:paraId="68C3D449"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Wadium musi zabezpieczać złożoną ofertę przez cały okres związania ofertą tj. 30 dni, licząc od dnia upływu terminu składania ofert.</w:t>
      </w:r>
    </w:p>
    <w:p w14:paraId="10FCFE73" w14:textId="09A661DE" w:rsidR="006821FC" w:rsidRPr="00617D2E" w:rsidRDefault="006821FC">
      <w:pPr>
        <w:numPr>
          <w:ilvl w:val="1"/>
          <w:numId w:val="28"/>
        </w:numPr>
        <w:spacing w:after="12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W pozostałym zakresie mają zastosowanie zapisy Regulaminu Udzielania Zamówień </w:t>
      </w:r>
      <w:proofErr w:type="spellStart"/>
      <w:r w:rsidRPr="00617D2E">
        <w:rPr>
          <w:rFonts w:ascii="Times New Roman" w:eastAsiaTheme="minorHAnsi" w:hAnsi="Times New Roman"/>
          <w:sz w:val="24"/>
          <w:szCs w:val="24"/>
        </w:rPr>
        <w:t>PWiK</w:t>
      </w:r>
      <w:proofErr w:type="spellEnd"/>
      <w:r w:rsidRPr="00617D2E">
        <w:rPr>
          <w:rFonts w:ascii="Times New Roman" w:eastAsiaTheme="minorHAnsi" w:hAnsi="Times New Roman"/>
          <w:sz w:val="24"/>
          <w:szCs w:val="24"/>
        </w:rPr>
        <w:t xml:space="preserve"> Sp. z o.o.</w:t>
      </w:r>
    </w:p>
    <w:p w14:paraId="6ADD0171" w14:textId="53F6DE3D" w:rsidR="008F16AD" w:rsidRPr="008F16AD"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lastRenderedPageBreak/>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9"/>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0"/>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w:t>
      </w:r>
      <w:proofErr w:type="spellStart"/>
      <w:r w:rsidR="007C5035" w:rsidRPr="00DB3A06">
        <w:rPr>
          <w:rStyle w:val="FontStyle11"/>
          <w:spacing w:val="-2"/>
          <w:sz w:val="24"/>
          <w:szCs w:val="24"/>
        </w:rPr>
        <w:t>PWiK</w:t>
      </w:r>
      <w:proofErr w:type="spellEnd"/>
      <w:r w:rsidR="007C5035" w:rsidRPr="00DB3A06">
        <w:rPr>
          <w:rStyle w:val="FontStyle11"/>
          <w:spacing w:val="-2"/>
          <w:sz w:val="24"/>
          <w:szCs w:val="24"/>
        </w:rPr>
        <w:t xml:space="preserve">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lastRenderedPageBreak/>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21" w:name="_Hlk140563191"/>
      <w:r w:rsidR="00AA5AB0">
        <w:rPr>
          <w:rStyle w:val="FontStyle11"/>
          <w:spacing w:val="0"/>
          <w:sz w:val="24"/>
          <w:szCs w:val="24"/>
        </w:rPr>
        <w:t xml:space="preserve">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pierwsze pisma przewodniego do zapytania ofertowego </w:t>
      </w:r>
      <w:bookmarkEnd w:id="21"/>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Potencjał techniczny –</w:t>
      </w:r>
      <w:r w:rsidR="00AA5AB0">
        <w:rPr>
          <w:rStyle w:val="FontStyle11"/>
          <w:spacing w:val="0"/>
          <w:sz w:val="24"/>
          <w:szCs w:val="24"/>
        </w:rPr>
        <w:t xml:space="preserve"> 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drugie pisma przewodniego do zapytania ofertowego </w:t>
      </w:r>
      <w:r>
        <w:rPr>
          <w:rStyle w:val="FontStyle11"/>
          <w:spacing w:val="0"/>
          <w:sz w:val="24"/>
          <w:szCs w:val="24"/>
        </w:rPr>
        <w:t>(załącznik nr 7).</w:t>
      </w:r>
    </w:p>
    <w:p w14:paraId="34892AF8" w14:textId="58BB5765"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 xml:space="preserve">o wartości min </w:t>
      </w:r>
      <w:r w:rsidR="00245482">
        <w:rPr>
          <w:spacing w:val="-4"/>
        </w:rPr>
        <w:t>2</w:t>
      </w:r>
      <w:r w:rsidR="00617D2E" w:rsidRPr="00617D2E">
        <w:rPr>
          <w:spacing w:val="-4"/>
        </w:rPr>
        <w:t>00.000,00 zł</w:t>
      </w:r>
      <w:r w:rsidRPr="00F24EF4">
        <w:rPr>
          <w:spacing w:val="-4"/>
        </w:rPr>
        <w:t xml:space="preserve"> </w:t>
      </w:r>
      <w:r w:rsidR="00617D2E">
        <w:rPr>
          <w:spacing w:val="-4"/>
        </w:rPr>
        <w:t>netto</w:t>
      </w:r>
      <w:r w:rsidR="00617D2E" w:rsidRPr="00F24EF4">
        <w:rPr>
          <w:spacing w:val="-4"/>
        </w:rPr>
        <w:t xml:space="preserve"> </w:t>
      </w:r>
      <w:r w:rsidRPr="00F24EF4">
        <w:rPr>
          <w:spacing w:val="-4"/>
        </w:rPr>
        <w:t xml:space="preserve">(załącznik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2AD2F608" w:rsidR="00A804B8" w:rsidRPr="008B12C6"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FF2B03">
        <w:rPr>
          <w:rStyle w:val="FontStyle11"/>
          <w:spacing w:val="0"/>
          <w:sz w:val="24"/>
          <w:szCs w:val="24"/>
        </w:rPr>
        <w:t>Przed</w:t>
      </w:r>
      <w:r w:rsidR="00D049AC" w:rsidRPr="00FF2B03">
        <w:rPr>
          <w:rStyle w:val="FontStyle11"/>
          <w:spacing w:val="0"/>
          <w:sz w:val="24"/>
          <w:szCs w:val="24"/>
        </w:rPr>
        <w:t xml:space="preserve"> podpisaniu umowy Wykonawca zobowiązany jest dostarczyć kopię opłaconej polisy wraz </w:t>
      </w:r>
      <w:r w:rsidR="00D049AC" w:rsidRPr="00902714">
        <w:rPr>
          <w:rStyle w:val="FontStyle11"/>
          <w:spacing w:val="0"/>
          <w:sz w:val="24"/>
          <w:szCs w:val="24"/>
        </w:rPr>
        <w:t xml:space="preserve">z dowodem zapłaty, a w przypadku jej braku innego </w:t>
      </w:r>
      <w:r w:rsidR="00D049AC" w:rsidRPr="00902714">
        <w:rPr>
          <w:rStyle w:val="FontStyle11"/>
          <w:spacing w:val="-4"/>
          <w:sz w:val="24"/>
          <w:szCs w:val="24"/>
        </w:rPr>
        <w:t xml:space="preserve">dokumentu potwierdzającego, że Wykonawca jest ubezpieczony od odpowiedzialności cywilnej </w:t>
      </w:r>
      <w:r w:rsidR="00D049AC" w:rsidRPr="00902714">
        <w:rPr>
          <w:rStyle w:val="FontStyle11"/>
          <w:spacing w:val="-4"/>
          <w:sz w:val="24"/>
          <w:szCs w:val="24"/>
        </w:rPr>
        <w:br/>
        <w:t xml:space="preserve">w zakresie prowadzonej działalności związanej z przedmiotem zamówienia </w:t>
      </w:r>
      <w:r w:rsidR="00D049AC" w:rsidRPr="00902714">
        <w:rPr>
          <w:rStyle w:val="FontStyle11"/>
          <w:rFonts w:eastAsiaTheme="minorEastAsia"/>
          <w:spacing w:val="-4"/>
          <w:sz w:val="24"/>
          <w:szCs w:val="24"/>
          <w:lang w:eastAsia="pl-PL"/>
        </w:rPr>
        <w:t xml:space="preserve">na sumę ubezpieczeniową w wysokości, co najmniej </w:t>
      </w:r>
      <w:r w:rsidR="00861FDB">
        <w:rPr>
          <w:rStyle w:val="FontStyle11"/>
          <w:rFonts w:eastAsiaTheme="minorEastAsia"/>
          <w:spacing w:val="-4"/>
          <w:sz w:val="24"/>
          <w:szCs w:val="24"/>
          <w:lang w:eastAsia="pl-PL"/>
        </w:rPr>
        <w:t>3</w:t>
      </w:r>
      <w:r w:rsidR="00573FBD">
        <w:rPr>
          <w:rStyle w:val="FontStyle11"/>
          <w:rFonts w:eastAsiaTheme="minorEastAsia"/>
          <w:spacing w:val="-4"/>
          <w:sz w:val="24"/>
          <w:szCs w:val="24"/>
          <w:lang w:eastAsia="pl-PL"/>
        </w:rPr>
        <w:t>00</w:t>
      </w:r>
      <w:r w:rsidR="00D049AC" w:rsidRPr="00902714">
        <w:rPr>
          <w:rStyle w:val="FontStyle11"/>
          <w:rFonts w:eastAsiaTheme="minorEastAsia"/>
          <w:spacing w:val="-4"/>
          <w:sz w:val="24"/>
          <w:szCs w:val="24"/>
          <w:lang w:eastAsia="pl-PL"/>
        </w:rPr>
        <w:t>.000,00</w:t>
      </w:r>
      <w:r w:rsidR="008A5A2B">
        <w:rPr>
          <w:rStyle w:val="FontStyle11"/>
          <w:rFonts w:eastAsiaTheme="minorEastAsia"/>
          <w:spacing w:val="-4"/>
          <w:sz w:val="24"/>
          <w:szCs w:val="24"/>
          <w:lang w:eastAsia="pl-PL"/>
        </w:rPr>
        <w:t xml:space="preserve"> zł</w:t>
      </w:r>
      <w:r w:rsidR="00D049AC"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00D049AC" w:rsidRPr="00902714">
        <w:rPr>
          <w:rStyle w:val="FontStyle11"/>
          <w:rFonts w:eastAsiaTheme="minorEastAsia"/>
          <w:spacing w:val="-4"/>
          <w:sz w:val="24"/>
          <w:szCs w:val="24"/>
          <w:lang w:eastAsia="pl-PL"/>
        </w:rPr>
        <w:t xml:space="preserve"> na jedno i wszystkie zdarzenia</w:t>
      </w:r>
      <w:r w:rsidR="00D049AC"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907BF7">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7BE1" w14:textId="77777777" w:rsidR="00907BF7" w:rsidRDefault="00907BF7" w:rsidP="00FA2EE4">
      <w:pPr>
        <w:spacing w:after="0" w:line="240" w:lineRule="auto"/>
      </w:pPr>
      <w:r>
        <w:separator/>
      </w:r>
    </w:p>
  </w:endnote>
  <w:endnote w:type="continuationSeparator" w:id="0">
    <w:p w14:paraId="6E074CE3" w14:textId="77777777" w:rsidR="00907BF7" w:rsidRDefault="00907BF7"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3A27" w14:textId="77777777" w:rsidR="00907BF7" w:rsidRDefault="00907BF7" w:rsidP="00FA2EE4">
      <w:pPr>
        <w:spacing w:after="0" w:line="240" w:lineRule="auto"/>
      </w:pPr>
      <w:r>
        <w:separator/>
      </w:r>
    </w:p>
  </w:footnote>
  <w:footnote w:type="continuationSeparator" w:id="0">
    <w:p w14:paraId="56471207" w14:textId="77777777" w:rsidR="00907BF7" w:rsidRDefault="00907BF7"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59A904BB"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07694B">
      <w:rPr>
        <w:rFonts w:asciiTheme="minorHAnsi" w:hAnsiTheme="minorHAnsi" w:cstheme="minorHAnsi"/>
        <w:sz w:val="16"/>
        <w:szCs w:val="16"/>
      </w:rPr>
      <w:t xml:space="preserve">Budowa </w:t>
    </w:r>
    <w:r w:rsidR="00692BA8">
      <w:rPr>
        <w:rFonts w:asciiTheme="minorHAnsi" w:hAnsiTheme="minorHAnsi" w:cstheme="minorHAnsi"/>
        <w:sz w:val="16"/>
        <w:szCs w:val="16"/>
      </w:rPr>
      <w:t>kanalizacji sanitarne w ul. Bankowej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1"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2"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8"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0"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1"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9"/>
  </w:num>
  <w:num w:numId="2" w16cid:durableId="2064324731">
    <w:abstractNumId w:val="40"/>
  </w:num>
  <w:num w:numId="3" w16cid:durableId="1644895750">
    <w:abstractNumId w:val="2"/>
  </w:num>
  <w:num w:numId="4" w16cid:durableId="563106474">
    <w:abstractNumId w:val="13"/>
  </w:num>
  <w:num w:numId="5" w16cid:durableId="154884268">
    <w:abstractNumId w:val="22"/>
  </w:num>
  <w:num w:numId="6" w16cid:durableId="209726700">
    <w:abstractNumId w:val="29"/>
  </w:num>
  <w:num w:numId="7" w16cid:durableId="1118915399">
    <w:abstractNumId w:val="11"/>
  </w:num>
  <w:num w:numId="8" w16cid:durableId="333193346">
    <w:abstractNumId w:val="9"/>
  </w:num>
  <w:num w:numId="9" w16cid:durableId="1715542991">
    <w:abstractNumId w:val="14"/>
  </w:num>
  <w:num w:numId="10" w16cid:durableId="71238862">
    <w:abstractNumId w:val="36"/>
  </w:num>
  <w:num w:numId="11" w16cid:durableId="749691381">
    <w:abstractNumId w:val="26"/>
  </w:num>
  <w:num w:numId="12" w16cid:durableId="1633754876">
    <w:abstractNumId w:val="34"/>
  </w:num>
  <w:num w:numId="13" w16cid:durableId="1301881195">
    <w:abstractNumId w:val="24"/>
  </w:num>
  <w:num w:numId="14" w16cid:durableId="1352417232">
    <w:abstractNumId w:val="23"/>
  </w:num>
  <w:num w:numId="15" w16cid:durableId="1408579517">
    <w:abstractNumId w:val="1"/>
  </w:num>
  <w:num w:numId="16" w16cid:durableId="1583949126">
    <w:abstractNumId w:val="15"/>
  </w:num>
  <w:num w:numId="17" w16cid:durableId="1624657154">
    <w:abstractNumId w:val="4"/>
  </w:num>
  <w:num w:numId="18" w16cid:durableId="503709723">
    <w:abstractNumId w:val="21"/>
  </w:num>
  <w:num w:numId="19" w16cid:durableId="2087066522">
    <w:abstractNumId w:val="10"/>
  </w:num>
  <w:num w:numId="20" w16cid:durableId="620842119">
    <w:abstractNumId w:val="20"/>
  </w:num>
  <w:num w:numId="21" w16cid:durableId="2092703292">
    <w:abstractNumId w:val="17"/>
  </w:num>
  <w:num w:numId="22" w16cid:durableId="700908841">
    <w:abstractNumId w:val="6"/>
  </w:num>
  <w:num w:numId="23" w16cid:durableId="1932271293">
    <w:abstractNumId w:val="39"/>
  </w:num>
  <w:num w:numId="24" w16cid:durableId="1393652327">
    <w:abstractNumId w:val="38"/>
  </w:num>
  <w:num w:numId="25" w16cid:durableId="42558973">
    <w:abstractNumId w:val="33"/>
  </w:num>
  <w:num w:numId="26" w16cid:durableId="964041114">
    <w:abstractNumId w:val="5"/>
  </w:num>
  <w:num w:numId="27" w16cid:durableId="1480339368">
    <w:abstractNumId w:val="7"/>
  </w:num>
  <w:num w:numId="28" w16cid:durableId="1302805151">
    <w:abstractNumId w:val="18"/>
  </w:num>
  <w:num w:numId="29" w16cid:durableId="2086561113">
    <w:abstractNumId w:val="35"/>
  </w:num>
  <w:num w:numId="30" w16cid:durableId="1160123807">
    <w:abstractNumId w:val="16"/>
  </w:num>
  <w:num w:numId="31" w16cid:durableId="1098600671">
    <w:abstractNumId w:val="27"/>
  </w:num>
  <w:num w:numId="32" w16cid:durableId="907301257">
    <w:abstractNumId w:val="28"/>
  </w:num>
  <w:num w:numId="33" w16cid:durableId="621764561">
    <w:abstractNumId w:val="12"/>
  </w:num>
  <w:num w:numId="34" w16cid:durableId="997152950">
    <w:abstractNumId w:val="3"/>
  </w:num>
  <w:num w:numId="35" w16cid:durableId="1733504380">
    <w:abstractNumId w:val="31"/>
  </w:num>
  <w:num w:numId="36" w16cid:durableId="1177843820">
    <w:abstractNumId w:val="25"/>
  </w:num>
  <w:num w:numId="37" w16cid:durableId="1702248088">
    <w:abstractNumId w:val="0"/>
  </w:num>
  <w:num w:numId="38" w16cid:durableId="1970503236">
    <w:abstractNumId w:val="32"/>
  </w:num>
  <w:num w:numId="39" w16cid:durableId="1689023938">
    <w:abstractNumId w:val="30"/>
  </w:num>
  <w:num w:numId="40" w16cid:durableId="1965305978">
    <w:abstractNumId w:val="37"/>
  </w:num>
  <w:num w:numId="41" w16cid:durableId="62227185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0A9D"/>
    <w:rsid w:val="000222C7"/>
    <w:rsid w:val="00031FC1"/>
    <w:rsid w:val="0003628E"/>
    <w:rsid w:val="00037A2A"/>
    <w:rsid w:val="00040B0B"/>
    <w:rsid w:val="00055EF0"/>
    <w:rsid w:val="00056CB0"/>
    <w:rsid w:val="00057FB9"/>
    <w:rsid w:val="00062772"/>
    <w:rsid w:val="00065569"/>
    <w:rsid w:val="00066F02"/>
    <w:rsid w:val="000735E1"/>
    <w:rsid w:val="0007694B"/>
    <w:rsid w:val="0009560E"/>
    <w:rsid w:val="000A0163"/>
    <w:rsid w:val="000A2690"/>
    <w:rsid w:val="000B0076"/>
    <w:rsid w:val="000B2F06"/>
    <w:rsid w:val="000D31EB"/>
    <w:rsid w:val="000E218A"/>
    <w:rsid w:val="000E2B3E"/>
    <w:rsid w:val="000E31B3"/>
    <w:rsid w:val="000E332A"/>
    <w:rsid w:val="000E3382"/>
    <w:rsid w:val="000E4C44"/>
    <w:rsid w:val="000F0EAD"/>
    <w:rsid w:val="000F27A1"/>
    <w:rsid w:val="00100473"/>
    <w:rsid w:val="00101EDD"/>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A2365"/>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330CF"/>
    <w:rsid w:val="002409A2"/>
    <w:rsid w:val="0024126F"/>
    <w:rsid w:val="00243646"/>
    <w:rsid w:val="00243B2F"/>
    <w:rsid w:val="00245482"/>
    <w:rsid w:val="0024642A"/>
    <w:rsid w:val="0024670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87437"/>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60D2"/>
    <w:rsid w:val="002F6CA1"/>
    <w:rsid w:val="00320272"/>
    <w:rsid w:val="00321D6A"/>
    <w:rsid w:val="00332B93"/>
    <w:rsid w:val="00333BA7"/>
    <w:rsid w:val="0033449B"/>
    <w:rsid w:val="003354A2"/>
    <w:rsid w:val="003355AA"/>
    <w:rsid w:val="0033575D"/>
    <w:rsid w:val="00342068"/>
    <w:rsid w:val="00342FE1"/>
    <w:rsid w:val="00353FC7"/>
    <w:rsid w:val="0036126D"/>
    <w:rsid w:val="00366973"/>
    <w:rsid w:val="00370CFD"/>
    <w:rsid w:val="003768B1"/>
    <w:rsid w:val="00391974"/>
    <w:rsid w:val="003922AC"/>
    <w:rsid w:val="003A1DCD"/>
    <w:rsid w:val="003A3C8D"/>
    <w:rsid w:val="003B6CA6"/>
    <w:rsid w:val="003D0F93"/>
    <w:rsid w:val="003D5F15"/>
    <w:rsid w:val="003D73AF"/>
    <w:rsid w:val="003E1D48"/>
    <w:rsid w:val="003E6651"/>
    <w:rsid w:val="003E6E33"/>
    <w:rsid w:val="003F5F51"/>
    <w:rsid w:val="00406728"/>
    <w:rsid w:val="004139CC"/>
    <w:rsid w:val="004158EB"/>
    <w:rsid w:val="0042237E"/>
    <w:rsid w:val="00423A39"/>
    <w:rsid w:val="00425335"/>
    <w:rsid w:val="00426373"/>
    <w:rsid w:val="0042653E"/>
    <w:rsid w:val="004271C2"/>
    <w:rsid w:val="00431B03"/>
    <w:rsid w:val="00433BD3"/>
    <w:rsid w:val="00442B00"/>
    <w:rsid w:val="00450CDE"/>
    <w:rsid w:val="004525E1"/>
    <w:rsid w:val="00457233"/>
    <w:rsid w:val="00467A4D"/>
    <w:rsid w:val="00471F91"/>
    <w:rsid w:val="004757F2"/>
    <w:rsid w:val="00485091"/>
    <w:rsid w:val="00487A93"/>
    <w:rsid w:val="004914B7"/>
    <w:rsid w:val="00495484"/>
    <w:rsid w:val="004A2634"/>
    <w:rsid w:val="004B4798"/>
    <w:rsid w:val="004B4D7F"/>
    <w:rsid w:val="004B5E1A"/>
    <w:rsid w:val="004B7950"/>
    <w:rsid w:val="004C34DA"/>
    <w:rsid w:val="004D2F6F"/>
    <w:rsid w:val="004D3CA7"/>
    <w:rsid w:val="004D3FA9"/>
    <w:rsid w:val="004D3FB6"/>
    <w:rsid w:val="004E50EA"/>
    <w:rsid w:val="004E5E68"/>
    <w:rsid w:val="004F21C7"/>
    <w:rsid w:val="00506397"/>
    <w:rsid w:val="0051038C"/>
    <w:rsid w:val="00516058"/>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97B71"/>
    <w:rsid w:val="005A58E6"/>
    <w:rsid w:val="005A61A3"/>
    <w:rsid w:val="005B0F20"/>
    <w:rsid w:val="005B2ACB"/>
    <w:rsid w:val="005C2082"/>
    <w:rsid w:val="005C67D0"/>
    <w:rsid w:val="005E02F1"/>
    <w:rsid w:val="005E23A5"/>
    <w:rsid w:val="005E2542"/>
    <w:rsid w:val="005E2DFF"/>
    <w:rsid w:val="005E6DB2"/>
    <w:rsid w:val="005F40DC"/>
    <w:rsid w:val="005F64AC"/>
    <w:rsid w:val="005F7768"/>
    <w:rsid w:val="00603D41"/>
    <w:rsid w:val="00611268"/>
    <w:rsid w:val="00612CA3"/>
    <w:rsid w:val="0061735F"/>
    <w:rsid w:val="00617D2E"/>
    <w:rsid w:val="00622510"/>
    <w:rsid w:val="00630F08"/>
    <w:rsid w:val="00633DC2"/>
    <w:rsid w:val="00634F79"/>
    <w:rsid w:val="00636576"/>
    <w:rsid w:val="006445EE"/>
    <w:rsid w:val="00646F11"/>
    <w:rsid w:val="006568DD"/>
    <w:rsid w:val="00667228"/>
    <w:rsid w:val="006762C2"/>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5AA1"/>
    <w:rsid w:val="006E6689"/>
    <w:rsid w:val="00701725"/>
    <w:rsid w:val="00701C90"/>
    <w:rsid w:val="00702422"/>
    <w:rsid w:val="00702C6B"/>
    <w:rsid w:val="00721C99"/>
    <w:rsid w:val="0072241C"/>
    <w:rsid w:val="00722E77"/>
    <w:rsid w:val="007274D5"/>
    <w:rsid w:val="00731254"/>
    <w:rsid w:val="00733292"/>
    <w:rsid w:val="00743C94"/>
    <w:rsid w:val="007445E7"/>
    <w:rsid w:val="00744B70"/>
    <w:rsid w:val="00751BA0"/>
    <w:rsid w:val="00754B8E"/>
    <w:rsid w:val="00756787"/>
    <w:rsid w:val="00771FD0"/>
    <w:rsid w:val="007766B5"/>
    <w:rsid w:val="00782B5E"/>
    <w:rsid w:val="00784252"/>
    <w:rsid w:val="00791176"/>
    <w:rsid w:val="00793251"/>
    <w:rsid w:val="00796AA4"/>
    <w:rsid w:val="007A614F"/>
    <w:rsid w:val="007A6582"/>
    <w:rsid w:val="007A6DB6"/>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CAD"/>
    <w:rsid w:val="00850B7E"/>
    <w:rsid w:val="00851E86"/>
    <w:rsid w:val="00854765"/>
    <w:rsid w:val="00855299"/>
    <w:rsid w:val="00861FDB"/>
    <w:rsid w:val="0087259D"/>
    <w:rsid w:val="00876464"/>
    <w:rsid w:val="00881134"/>
    <w:rsid w:val="008813F7"/>
    <w:rsid w:val="00885624"/>
    <w:rsid w:val="00892AFC"/>
    <w:rsid w:val="00892F06"/>
    <w:rsid w:val="00893810"/>
    <w:rsid w:val="008966AD"/>
    <w:rsid w:val="008A2D8D"/>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07BF7"/>
    <w:rsid w:val="00910FAE"/>
    <w:rsid w:val="00911F45"/>
    <w:rsid w:val="0092205B"/>
    <w:rsid w:val="00927B62"/>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0659"/>
    <w:rsid w:val="00981A53"/>
    <w:rsid w:val="009823DA"/>
    <w:rsid w:val="009902FD"/>
    <w:rsid w:val="00991C74"/>
    <w:rsid w:val="00993534"/>
    <w:rsid w:val="009971F1"/>
    <w:rsid w:val="0099740B"/>
    <w:rsid w:val="009A321D"/>
    <w:rsid w:val="009B3F01"/>
    <w:rsid w:val="009B6781"/>
    <w:rsid w:val="009C0651"/>
    <w:rsid w:val="009C77EB"/>
    <w:rsid w:val="009D0EE2"/>
    <w:rsid w:val="009D231E"/>
    <w:rsid w:val="009E110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68F2"/>
    <w:rsid w:val="00AD0D64"/>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E6C"/>
    <w:rsid w:val="00B342D5"/>
    <w:rsid w:val="00B35E29"/>
    <w:rsid w:val="00B37D08"/>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6CF5"/>
    <w:rsid w:val="00BE45CB"/>
    <w:rsid w:val="00BF0C72"/>
    <w:rsid w:val="00BF1D3C"/>
    <w:rsid w:val="00BF2A12"/>
    <w:rsid w:val="00BF4025"/>
    <w:rsid w:val="00C054CE"/>
    <w:rsid w:val="00C07A62"/>
    <w:rsid w:val="00C10966"/>
    <w:rsid w:val="00C21C86"/>
    <w:rsid w:val="00C261A2"/>
    <w:rsid w:val="00C31BB0"/>
    <w:rsid w:val="00C341C3"/>
    <w:rsid w:val="00C37C78"/>
    <w:rsid w:val="00C42B82"/>
    <w:rsid w:val="00C44FFF"/>
    <w:rsid w:val="00C51B72"/>
    <w:rsid w:val="00C546C3"/>
    <w:rsid w:val="00C63785"/>
    <w:rsid w:val="00C64746"/>
    <w:rsid w:val="00C71C79"/>
    <w:rsid w:val="00C74289"/>
    <w:rsid w:val="00C7519B"/>
    <w:rsid w:val="00C81289"/>
    <w:rsid w:val="00C832FD"/>
    <w:rsid w:val="00C84D1A"/>
    <w:rsid w:val="00C93D1B"/>
    <w:rsid w:val="00CA201D"/>
    <w:rsid w:val="00CA2CFC"/>
    <w:rsid w:val="00CB7A24"/>
    <w:rsid w:val="00CC40EA"/>
    <w:rsid w:val="00CC6126"/>
    <w:rsid w:val="00CE5361"/>
    <w:rsid w:val="00CF019A"/>
    <w:rsid w:val="00CF1139"/>
    <w:rsid w:val="00CF6423"/>
    <w:rsid w:val="00D00A13"/>
    <w:rsid w:val="00D00E37"/>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36F3"/>
    <w:rsid w:val="00DA4F93"/>
    <w:rsid w:val="00DB3A06"/>
    <w:rsid w:val="00DB4CDB"/>
    <w:rsid w:val="00DB518D"/>
    <w:rsid w:val="00DB6E04"/>
    <w:rsid w:val="00DC06C7"/>
    <w:rsid w:val="00DD18E7"/>
    <w:rsid w:val="00DD348B"/>
    <w:rsid w:val="00DD4757"/>
    <w:rsid w:val="00DD4D76"/>
    <w:rsid w:val="00DE0080"/>
    <w:rsid w:val="00DE1C20"/>
    <w:rsid w:val="00DE519C"/>
    <w:rsid w:val="00DF5376"/>
    <w:rsid w:val="00DF5A54"/>
    <w:rsid w:val="00DF66E1"/>
    <w:rsid w:val="00E032EF"/>
    <w:rsid w:val="00E045D4"/>
    <w:rsid w:val="00E20349"/>
    <w:rsid w:val="00E21C63"/>
    <w:rsid w:val="00E236C1"/>
    <w:rsid w:val="00E240EC"/>
    <w:rsid w:val="00E25AC2"/>
    <w:rsid w:val="00E36029"/>
    <w:rsid w:val="00E42C16"/>
    <w:rsid w:val="00E4375D"/>
    <w:rsid w:val="00E44D33"/>
    <w:rsid w:val="00E45D35"/>
    <w:rsid w:val="00E46A90"/>
    <w:rsid w:val="00E52A52"/>
    <w:rsid w:val="00E5600B"/>
    <w:rsid w:val="00E6263E"/>
    <w:rsid w:val="00E64143"/>
    <w:rsid w:val="00E647C0"/>
    <w:rsid w:val="00E67AD9"/>
    <w:rsid w:val="00E74572"/>
    <w:rsid w:val="00E759FF"/>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303E"/>
    <w:rsid w:val="00ED4720"/>
    <w:rsid w:val="00ED6DFF"/>
    <w:rsid w:val="00ED7AE8"/>
    <w:rsid w:val="00EE22F2"/>
    <w:rsid w:val="00EE24CA"/>
    <w:rsid w:val="00EE57A1"/>
    <w:rsid w:val="00EE7738"/>
    <w:rsid w:val="00F00326"/>
    <w:rsid w:val="00F02124"/>
    <w:rsid w:val="00F0518E"/>
    <w:rsid w:val="00F06D7A"/>
    <w:rsid w:val="00F10C74"/>
    <w:rsid w:val="00F21ACE"/>
    <w:rsid w:val="00F24359"/>
    <w:rsid w:val="00F315BC"/>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5A72"/>
    <w:rsid w:val="00F77E90"/>
    <w:rsid w:val="00F81EA1"/>
    <w:rsid w:val="00F83559"/>
    <w:rsid w:val="00F9092F"/>
    <w:rsid w:val="00F9146B"/>
    <w:rsid w:val="00FA2EE4"/>
    <w:rsid w:val="00FA4443"/>
    <w:rsid w:val="00FA6CDF"/>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954</TotalTime>
  <Pages>8</Pages>
  <Words>2813</Words>
  <Characters>16881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88</cp:revision>
  <cp:lastPrinted>2024-02-29T09:16:00Z</cp:lastPrinted>
  <dcterms:created xsi:type="dcterms:W3CDTF">2023-07-13T12:57:00Z</dcterms:created>
  <dcterms:modified xsi:type="dcterms:W3CDTF">2024-02-29T11:53:00Z</dcterms:modified>
</cp:coreProperties>
</file>