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A" w:rsidRDefault="00C25292" w:rsidP="00283DBA">
      <w:pPr>
        <w:pStyle w:val="Teksttreci150"/>
        <w:shd w:val="clear" w:color="auto" w:fill="auto"/>
        <w:spacing w:after="387" w:line="220" w:lineRule="exact"/>
        <w:ind w:left="7420" w:firstLine="0"/>
      </w:pPr>
      <w:r>
        <w:t>Załącznik Nr 5</w:t>
      </w:r>
      <w:bookmarkStart w:id="0" w:name="_GoBack"/>
      <w:bookmarkEnd w:id="0"/>
      <w:r w:rsidR="00283DBA">
        <w:t xml:space="preserve"> do umowy</w:t>
      </w:r>
    </w:p>
    <w:p w:rsidR="00283DBA" w:rsidRDefault="00283DBA" w:rsidP="00283DBA">
      <w:pPr>
        <w:pStyle w:val="Teksttreci230"/>
        <w:shd w:val="clear" w:color="auto" w:fill="auto"/>
        <w:spacing w:before="0" w:line="280" w:lineRule="exact"/>
        <w:ind w:left="140"/>
      </w:pPr>
      <w:r>
        <w:t>WZÓR RAPORTU WYKONANIA PRZEGLĄDU</w:t>
      </w:r>
      <w:r w:rsidR="00326739">
        <w:t xml:space="preserve"> ROCZNEGO</w:t>
      </w:r>
    </w:p>
    <w:p w:rsidR="00283DBA" w:rsidRDefault="00283DBA" w:rsidP="00283DBA">
      <w:pPr>
        <w:pStyle w:val="Podpistabeli40"/>
        <w:framePr w:w="9240" w:wrap="notBeside" w:vAnchor="text" w:hAnchor="text" w:xAlign="center" w:y="1"/>
        <w:shd w:val="clear" w:color="auto" w:fill="auto"/>
        <w:spacing w:line="240" w:lineRule="exact"/>
        <w:jc w:val="center"/>
      </w:pPr>
      <w:r>
        <w:t>Konserwac</w:t>
      </w:r>
      <w:r w:rsidR="00CE1EE3">
        <w:t>ja kotłowni w budynkach Izby Administracji Skarbowej w Zielonej Górze</w:t>
      </w:r>
    </w:p>
    <w:tbl>
      <w:tblPr>
        <w:tblOverlap w:val="never"/>
        <w:tblW w:w="9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132"/>
        <w:gridCol w:w="1246"/>
        <w:gridCol w:w="1308"/>
      </w:tblGrid>
      <w:tr w:rsidR="00283DBA" w:rsidTr="00CE1EE3">
        <w:trPr>
          <w:trHeight w:hRule="exact" w:val="331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Raport wykonania przeglądu</w:t>
            </w:r>
            <w:r w:rsidR="00326739">
              <w:rPr>
                <w:rStyle w:val="Teksttreci2Pogrubienie"/>
              </w:rPr>
              <w:t xml:space="preserve"> rocznego</w:t>
            </w:r>
          </w:p>
        </w:tc>
      </w:tr>
      <w:tr w:rsidR="00283DBA" w:rsidTr="00641557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Data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31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641557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 urzędu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Adres</w:t>
            </w:r>
          </w:p>
          <w:p w:rsidR="00283DBA" w:rsidRDefault="00283DBA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41557">
        <w:trPr>
          <w:trHeight w:hRule="exact" w:val="111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12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Nazwa</w:t>
            </w:r>
          </w:p>
          <w:p w:rsidR="00283DBA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12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urządzenia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CE1EE3">
        <w:trPr>
          <w:trHeight w:hRule="exact" w:val="317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1EE3" w:rsidTr="0048459F">
        <w:trPr>
          <w:trHeight w:hRule="exact" w:val="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Teksttreci2Pogrubienie"/>
              </w:rPr>
              <w:t>L.p.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Default="00CE1EE3" w:rsidP="00CE1EE3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</w:p>
          <w:p w:rsidR="00CE1EE3" w:rsidRP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8" w:lineRule="exact"/>
              <w:ind w:left="320" w:firstLine="0"/>
              <w:jc w:val="left"/>
              <w:rPr>
                <w:b/>
              </w:rPr>
            </w:pPr>
            <w:r w:rsidRPr="00CE1EE3">
              <w:rPr>
                <w:b/>
              </w:rPr>
              <w:t>Zakres czynności serwisowej przeglądu kotłowni opalanej gazem, olejem opałowym, zasilanych energią elektryczną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  <w:rPr>
                <w:rStyle w:val="Teksttreci2Pogrubienie"/>
              </w:rPr>
            </w:pPr>
          </w:p>
          <w:p w:rsidR="00CE1EE3" w:rsidRDefault="0048459F" w:rsidP="0048459F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Teksttreci2Pogrubienie"/>
              </w:rPr>
              <w:t xml:space="preserve">       </w:t>
            </w:r>
            <w:r w:rsidR="00CE1EE3"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left="180" w:firstLine="0"/>
              <w:jc w:val="left"/>
            </w:pPr>
            <w:r>
              <w:rPr>
                <w:rStyle w:val="Teksttreci2Pogrubienie"/>
              </w:rPr>
              <w:t>negaty</w:t>
            </w:r>
            <w:r w:rsidR="0048459F">
              <w:rPr>
                <w:rStyle w:val="Teksttreci2Pogrubienie"/>
              </w:rPr>
              <w:t>wny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59F" w:rsidRDefault="0048459F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  <w:rPr>
                <w:rStyle w:val="Teksttreci2Pogrubienie"/>
              </w:rPr>
            </w:pP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Teksttreci2Pogrubienie"/>
              </w:rPr>
              <w:t>Wynik</w:t>
            </w:r>
          </w:p>
          <w:p w:rsidR="00CE1EE3" w:rsidRDefault="00CE1EE3" w:rsidP="006A403B">
            <w:pPr>
              <w:pStyle w:val="Teksttreci20"/>
              <w:framePr w:w="924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Teksttreci2Pogrubienie"/>
              </w:rPr>
              <w:t>pozytywny</w:t>
            </w:r>
          </w:p>
        </w:tc>
      </w:tr>
      <w:tr w:rsidR="00CE1EE3" w:rsidTr="00554259">
        <w:trPr>
          <w:trHeight w:hRule="exact"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3775BE" w:rsidP="00CE1EE3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szczelności wewnętrznej instalacji gazu do kurka głównego.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1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poprawności działania automatyki pod względem prawidłowych nastaw tj. data, godzina, dzień tygodnia, krzywa grzewcza, program ogrzewania w poszczególne dni tygodni, ewentualna korekta i zmiana nastaw.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554259">
        <w:trPr>
          <w:trHeight w:hRule="exact"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termostatu kotła.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554259">
        <w:trPr>
          <w:trHeight w:hRule="exact"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  <w:color w:val="000000"/>
              </w:rPr>
              <w:t>Sprawdzenie czujnika zewnętrznego pod względem poprawności odczytu temperatury.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48459F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48459F" w:rsidP="0048459F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działania pomp obiegowych C.O.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filtra gazowego lub olejowego.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1EE3" w:rsidTr="0086315E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palnika w tym sprawdzenie elektrody zapłonowej</w:t>
            </w:r>
            <w:r w:rsidRPr="00054454">
              <w:rPr>
                <w:rStyle w:val="Teksttreci2"/>
              </w:rPr>
              <w:br/>
              <w:t>i jonizującej / czujnika kontroli płomienia.</w:t>
            </w:r>
          </w:p>
          <w:p w:rsidR="00CE1EE3" w:rsidRPr="00054454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EE3" w:rsidRPr="0086315E" w:rsidRDefault="00CE1EE3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554259">
        <w:trPr>
          <w:trHeight w:hRule="exact" w:val="6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Regulacja palnika wentylatorowego lub inżektorowego oraz komputerowe badanie spalin analizatorem spalin wraz z wydrukiem pomiaru.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554259">
        <w:trPr>
          <w:trHeight w:hRule="exact"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Pomiar ciśnienia gazu przed ścieżką gazową.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6315E" w:rsidTr="00D33B55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054454" w:rsidRDefault="0086315E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filtra wodnego.</w:t>
            </w:r>
          </w:p>
          <w:p w:rsidR="0086315E" w:rsidRPr="00054454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5E" w:rsidRPr="0048459F" w:rsidRDefault="0086315E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4259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054454" w:rsidRDefault="00554259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Czyszczenie syfonu kondensatu.</w:t>
            </w:r>
          </w:p>
          <w:p w:rsidR="00554259" w:rsidRPr="00054454" w:rsidRDefault="00554259" w:rsidP="00554259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259" w:rsidRPr="0048459F" w:rsidRDefault="00554259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59" w:rsidRPr="0048459F" w:rsidRDefault="00554259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zaworu bezpieczeństwa kotła pod względem drożności wypływu z zaworu bezpieczeństwa.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działania zaworów odcinających, poprzez jego uruchomienie zabezpieczających kocioł i instalację.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454" w:rsidTr="0086315E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86315E">
            <w:pPr>
              <w:framePr w:w="9240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54454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054454">
              <w:rPr>
                <w:rStyle w:val="Teksttreci2"/>
              </w:rPr>
              <w:t>Sprawdzenie ciśnienia w układzie ogrzewania oraz uzupełnienie w przypadku konieczności.</w:t>
            </w:r>
          </w:p>
          <w:p w:rsidR="00054454" w:rsidRPr="00054454" w:rsidRDefault="00054454" w:rsidP="00054454">
            <w:pPr>
              <w:pStyle w:val="Teksttreci21"/>
              <w:framePr w:w="9240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454" w:rsidRPr="0048459F" w:rsidRDefault="00054454" w:rsidP="006A403B">
            <w:pPr>
              <w:framePr w:w="9240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3DBA" w:rsidRDefault="00283DBA" w:rsidP="00283DBA">
      <w:pPr>
        <w:framePr w:w="9240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tbl>
      <w:tblPr>
        <w:tblW w:w="9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125"/>
        <w:gridCol w:w="1246"/>
        <w:gridCol w:w="1308"/>
      </w:tblGrid>
      <w:tr w:rsidR="003775BE" w:rsidRPr="0048459F" w:rsidTr="003775BE">
        <w:trPr>
          <w:trHeight w:hRule="exact"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ciśnienia w naczyniu przeponowym C.O.</w:t>
            </w:r>
          </w:p>
          <w:p w:rsidR="003775BE" w:rsidRPr="003775BE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wizualne stanu technicznego zbiorników oleju pod względem szczelności.</w:t>
            </w:r>
          </w:p>
          <w:p w:rsidR="003775BE" w:rsidRPr="003775BE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Kontrola ciągu nawiewu i wywiewu wentylacji kotłowni.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instalacji elektrycznej i sterowniczej oraz wyłącznika różnicowoprądowego w przypadku kotłów elektrycznych.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>Sprawdzenie urządzeń zabezpieczających aktywnego systemu bezpieczeństwa gazowego.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75BE" w:rsidRPr="0048459F" w:rsidTr="003775BE">
        <w:trPr>
          <w:trHeight w:hRule="exact" w:val="7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framePr w:w="9082" w:wrap="notBeside" w:vAnchor="text" w:hAnchor="text" w:xAlign="center" w:y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75B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  <w:r w:rsidRPr="003775BE">
              <w:rPr>
                <w:rStyle w:val="Teksttreci2"/>
              </w:rPr>
              <w:t xml:space="preserve">Ocena konieczności usunięcia nieszczelności na połączeniach hydraulicznych. </w:t>
            </w:r>
          </w:p>
          <w:p w:rsidR="003775BE" w:rsidRPr="003775BE" w:rsidRDefault="003775BE" w:rsidP="003775BE">
            <w:pPr>
              <w:pStyle w:val="Teksttreci21"/>
              <w:framePr w:w="9082" w:wrap="notBeside" w:vAnchor="text" w:hAnchor="text" w:xAlign="center" w:y="1"/>
              <w:shd w:val="clear" w:color="auto" w:fill="auto"/>
              <w:tabs>
                <w:tab w:val="left" w:pos="904"/>
              </w:tabs>
              <w:ind w:firstLine="0"/>
              <w:rPr>
                <w:rStyle w:val="Teksttreci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E" w:rsidRPr="0048459F" w:rsidRDefault="003775BE" w:rsidP="003775BE">
            <w:pPr>
              <w:framePr w:w="9082" w:wrap="notBeside" w:vAnchor="text" w:hAnchor="text" w:xAlign="center" w:y="1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75BE" w:rsidRDefault="003775BE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</w:p>
    <w:p w:rsidR="003775BE" w:rsidRDefault="003775BE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Proponowane naprawy/wymiany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987"/>
        <w:gridCol w:w="2976"/>
        <w:gridCol w:w="1555"/>
      </w:tblGrid>
      <w:tr w:rsidR="00283DBA" w:rsidTr="006A403B">
        <w:trPr>
          <w:trHeight w:hRule="exact" w:val="33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pStyle w:val="Podpistabeli50"/>
        <w:framePr w:w="9082" w:wrap="notBeside" w:vAnchor="text" w:hAnchor="text" w:xAlign="center" w:y="1"/>
        <w:shd w:val="clear" w:color="auto" w:fill="auto"/>
        <w:spacing w:line="190" w:lineRule="exact"/>
      </w:pPr>
      <w:r>
        <w:t>Wymienione lub użyte części i elementy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92"/>
        <w:gridCol w:w="2981"/>
        <w:gridCol w:w="1550"/>
      </w:tblGrid>
      <w:tr w:rsidR="00283DBA" w:rsidTr="006A403B">
        <w:trPr>
          <w:trHeight w:hRule="exact" w:val="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Nazwa części/elementu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Ilość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Przyczyna wymiany/naprawy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pStyle w:val="Teksttreci20"/>
              <w:framePr w:w="90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Teksttreci2Pogrubienie"/>
              </w:rPr>
              <w:t>Uwagi</w:t>
            </w:r>
          </w:p>
        </w:tc>
      </w:tr>
      <w:tr w:rsidR="00283DBA" w:rsidTr="006A403B">
        <w:trPr>
          <w:trHeight w:hRule="exact" w:val="3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3DBA" w:rsidTr="006A403B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82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5"/>
        <w:gridCol w:w="4536"/>
      </w:tblGrid>
      <w:tr w:rsidR="00283DBA" w:rsidTr="006A403B">
        <w:trPr>
          <w:trHeight w:hRule="exact" w:val="69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konserwatora odpowiedzialnego za powyższe czynności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DBA" w:rsidRDefault="00283DBA" w:rsidP="006A403B">
            <w:pPr>
              <w:pStyle w:val="Teksttreci20"/>
              <w:framePr w:w="9091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PogrubienieTeksttreci2Calibri115ptKursywa"/>
              </w:rPr>
              <w:t>Data, czytelny podpis klienta-użytkownika przyjmującego informację.</w:t>
            </w:r>
          </w:p>
        </w:tc>
      </w:tr>
      <w:tr w:rsidR="00283DBA" w:rsidTr="006A403B">
        <w:trPr>
          <w:trHeight w:hRule="exact" w:val="98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BA" w:rsidRDefault="00283DBA" w:rsidP="006A403B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DBA" w:rsidRDefault="00283DBA" w:rsidP="00283DBA">
      <w:pPr>
        <w:framePr w:w="9091" w:wrap="notBeside" w:vAnchor="text" w:hAnchor="text" w:xAlign="center" w:y="1"/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283DBA" w:rsidRDefault="00283DBA" w:rsidP="00283DBA">
      <w:pPr>
        <w:rPr>
          <w:sz w:val="2"/>
          <w:szCs w:val="2"/>
        </w:rPr>
      </w:pPr>
    </w:p>
    <w:p w:rsidR="00AF426B" w:rsidRDefault="00AF426B"/>
    <w:sectPr w:rsidR="00AF426B">
      <w:pgSz w:w="11900" w:h="16840"/>
      <w:pgMar w:top="1553" w:right="569" w:bottom="1553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B1" w:rsidRDefault="00A952B1" w:rsidP="003775BE">
      <w:r>
        <w:separator/>
      </w:r>
    </w:p>
  </w:endnote>
  <w:endnote w:type="continuationSeparator" w:id="0">
    <w:p w:rsidR="00A952B1" w:rsidRDefault="00A952B1" w:rsidP="0037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B1" w:rsidRDefault="00A952B1" w:rsidP="003775BE">
      <w:r>
        <w:separator/>
      </w:r>
    </w:p>
  </w:footnote>
  <w:footnote w:type="continuationSeparator" w:id="0">
    <w:p w:rsidR="00A952B1" w:rsidRDefault="00A952B1" w:rsidP="0037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6A3C5CD8"/>
    <w:multiLevelType w:val="multilevel"/>
    <w:tmpl w:val="1FECFD7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A"/>
    <w:rsid w:val="00054454"/>
    <w:rsid w:val="000C7276"/>
    <w:rsid w:val="00283DBA"/>
    <w:rsid w:val="00326739"/>
    <w:rsid w:val="003775BE"/>
    <w:rsid w:val="0048459F"/>
    <w:rsid w:val="00554259"/>
    <w:rsid w:val="00630AB2"/>
    <w:rsid w:val="00641557"/>
    <w:rsid w:val="0086315E"/>
    <w:rsid w:val="00A9005A"/>
    <w:rsid w:val="00A952B1"/>
    <w:rsid w:val="00AF426B"/>
    <w:rsid w:val="00C25292"/>
    <w:rsid w:val="00CE1EE3"/>
    <w:rsid w:val="00D33B55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7452-60B2-403D-B0C9-FB4D98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3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283DB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83DB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283DBA"/>
    <w:rPr>
      <w:rFonts w:ascii="Arial" w:eastAsia="Arial" w:hAnsi="Arial" w:cs="Arial"/>
      <w:i/>
      <w:iCs/>
      <w:w w:val="80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rsid w:val="00283DBA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283DB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Podpistabeli5">
    <w:name w:val="Podpis tabeli (5)_"/>
    <w:basedOn w:val="Domylnaczcionkaakapitu"/>
    <w:link w:val="Podpistabeli50"/>
    <w:rsid w:val="00283DB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PogrubienieTeksttreci2Calibri115ptKursywa">
    <w:name w:val="Pogrubienie;Tekst treści (2) + Calibri;11;5 pt;Kursywa"/>
    <w:basedOn w:val="Teksttreci2"/>
    <w:rsid w:val="00283DB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83DBA"/>
    <w:pPr>
      <w:shd w:val="clear" w:color="auto" w:fill="FFFFFF"/>
      <w:spacing w:before="180" w:after="60" w:line="0" w:lineRule="atLeast"/>
      <w:ind w:hanging="540"/>
      <w:jc w:val="righ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283DBA"/>
    <w:pPr>
      <w:shd w:val="clear" w:color="auto" w:fill="FFFFFF"/>
      <w:spacing w:after="720" w:line="0" w:lineRule="atLeast"/>
      <w:ind w:hanging="480"/>
    </w:pPr>
    <w:rPr>
      <w:rFonts w:ascii="Arial" w:eastAsia="Arial" w:hAnsi="Arial" w:cs="Arial"/>
      <w:i/>
      <w:iCs/>
      <w:color w:val="auto"/>
      <w:w w:val="80"/>
      <w:sz w:val="22"/>
      <w:szCs w:val="22"/>
      <w:lang w:eastAsia="en-US" w:bidi="ar-SA"/>
    </w:rPr>
  </w:style>
  <w:style w:type="paragraph" w:customStyle="1" w:styleId="Teksttreci230">
    <w:name w:val="Tekst treści (23)"/>
    <w:basedOn w:val="Normalny"/>
    <w:link w:val="Teksttreci23"/>
    <w:rsid w:val="00283DBA"/>
    <w:pPr>
      <w:shd w:val="clear" w:color="auto" w:fill="FFFFFF"/>
      <w:spacing w:before="42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40">
    <w:name w:val="Podpis tabeli (4)"/>
    <w:basedOn w:val="Normalny"/>
    <w:link w:val="Podpistabeli4"/>
    <w:rsid w:val="00283DB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Podpistabeli50">
    <w:name w:val="Podpis tabeli (5)"/>
    <w:basedOn w:val="Normalny"/>
    <w:link w:val="Podpistabeli5"/>
    <w:rsid w:val="00283D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B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Teksttreci21">
    <w:name w:val="Tekst treści (2)1"/>
    <w:basedOn w:val="Normalny"/>
    <w:uiPriority w:val="99"/>
    <w:rsid w:val="0048459F"/>
    <w:pPr>
      <w:shd w:val="clear" w:color="auto" w:fill="FFFFFF"/>
      <w:spacing w:line="302" w:lineRule="exact"/>
      <w:ind w:hanging="400"/>
      <w:jc w:val="both"/>
    </w:pPr>
    <w:rPr>
      <w:rFonts w:ascii="Microsoft Sans Serif" w:eastAsia="Times New Roman" w:hAnsi="Microsoft Sans Serif" w:cs="Microsoft Sans Serif"/>
      <w:color w:val="auto"/>
      <w:sz w:val="18"/>
      <w:szCs w:val="18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77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5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7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5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Rybczyński Łukasz</dc:creator>
  <cp:keywords/>
  <dc:description/>
  <cp:lastModifiedBy>Rybczyński Łukasz</cp:lastModifiedBy>
  <cp:revision>18</cp:revision>
  <cp:lastPrinted>2018-07-03T08:06:00Z</cp:lastPrinted>
  <dcterms:created xsi:type="dcterms:W3CDTF">2018-07-03T08:05:00Z</dcterms:created>
  <dcterms:modified xsi:type="dcterms:W3CDTF">2019-07-31T07:22:00Z</dcterms:modified>
</cp:coreProperties>
</file>