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4CE2" w14:textId="4D48D743" w:rsidR="00D349B1" w:rsidRPr="00D349B1" w:rsidRDefault="00D349B1" w:rsidP="00D349B1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349B1">
        <w:rPr>
          <w:rFonts w:ascii="Tahoma" w:hAnsi="Tahoma" w:cs="Tahoma"/>
          <w:b/>
          <w:bCs/>
          <w:sz w:val="24"/>
          <w:szCs w:val="24"/>
        </w:rPr>
        <w:t>Wyjaśnienie nr 1</w:t>
      </w:r>
    </w:p>
    <w:p w14:paraId="3BBFA328" w14:textId="77777777" w:rsidR="00D349B1" w:rsidRDefault="00D349B1" w:rsidP="002E5EE3">
      <w:pPr>
        <w:spacing w:after="0"/>
        <w:jc w:val="both"/>
        <w:rPr>
          <w:rFonts w:ascii="Tahoma" w:hAnsi="Tahoma" w:cs="Tahoma"/>
          <w:b/>
          <w:bCs/>
        </w:rPr>
      </w:pPr>
    </w:p>
    <w:p w14:paraId="17403EC6" w14:textId="5A564C72" w:rsidR="002E5EE3" w:rsidRPr="002E5EE3" w:rsidRDefault="00064B22" w:rsidP="002E5EE3">
      <w:pPr>
        <w:spacing w:after="0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1:</w:t>
      </w:r>
      <w:r w:rsidRPr="002E5EE3">
        <w:rPr>
          <w:rFonts w:ascii="Tahoma" w:hAnsi="Tahoma" w:cs="Tahoma"/>
        </w:rPr>
        <w:t xml:space="preserve"> </w:t>
      </w:r>
    </w:p>
    <w:p w14:paraId="7A595BE7" w14:textId="5413D0DB" w:rsidR="00064B22" w:rsidRPr="002E5EE3" w:rsidRDefault="00064B22" w:rsidP="002E5EE3">
      <w:pPr>
        <w:spacing w:after="0"/>
        <w:jc w:val="both"/>
        <w:rPr>
          <w:rFonts w:ascii="Tahoma" w:hAnsi="Tahoma" w:cs="Tahoma"/>
        </w:rPr>
      </w:pPr>
      <w:r w:rsidRPr="002E5EE3">
        <w:rPr>
          <w:rFonts w:ascii="Tahoma" w:hAnsi="Tahoma" w:cs="Tahoma"/>
        </w:rPr>
        <w:t>Czy okablowanie instalacji elektrycznych będących przedmiotem zamówienia należy wykonać na tynkowo w listwach lub korytach kablowych czy pod tynkiem?</w:t>
      </w:r>
    </w:p>
    <w:p w14:paraId="7BF2FF6E" w14:textId="77777777" w:rsidR="002E5EE3" w:rsidRDefault="002E5EE3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4981B0A" w14:textId="6BF0F587" w:rsidR="002E5EE3" w:rsidRPr="002E5EE3" w:rsidRDefault="00064B22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1E4A72">
        <w:rPr>
          <w:rFonts w:ascii="Tahoma" w:hAnsi="Tahoma" w:cs="Tahoma"/>
          <w:b/>
          <w:bCs/>
        </w:rPr>
        <w:t xml:space="preserve"> 1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</w:p>
    <w:p w14:paraId="5194FEBE" w14:textId="16B4E3E9" w:rsidR="00064B22" w:rsidRPr="002E5EE3" w:rsidRDefault="00064B22" w:rsidP="002E5EE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5EE3">
        <w:rPr>
          <w:rFonts w:ascii="Tahoma" w:eastAsia="Times New Roman" w:hAnsi="Tahoma" w:cs="Tahoma"/>
          <w:lang w:eastAsia="pl-PL"/>
        </w:rPr>
        <w:t>Zgodnie z projektem oraz przedmiarem robót instalację elektryczną należy układać pod tynk.</w:t>
      </w:r>
    </w:p>
    <w:p w14:paraId="5BFD9C75" w14:textId="77777777" w:rsidR="00064B22" w:rsidRPr="002E5EE3" w:rsidRDefault="00064B22" w:rsidP="002E5EE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5EE3">
        <w:rPr>
          <w:rFonts w:ascii="Tahoma" w:eastAsia="Times New Roman" w:hAnsi="Tahoma" w:cs="Tahoma"/>
          <w:lang w:eastAsia="pl-PL"/>
        </w:rPr>
        <w:t>Wyjątkiem od tej sytuacji są:</w:t>
      </w:r>
    </w:p>
    <w:p w14:paraId="2B6821C0" w14:textId="78738391" w:rsidR="00064B22" w:rsidRPr="002E5EE3" w:rsidRDefault="00064B22" w:rsidP="002E5EE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5EE3">
        <w:rPr>
          <w:rFonts w:ascii="Tahoma" w:eastAsia="Times New Roman" w:hAnsi="Tahoma" w:cs="Tahoma"/>
          <w:lang w:eastAsia="pl-PL"/>
        </w:rPr>
        <w:t>Strych: gdzie instalacja ma być układana w rurkach osłonowych na ścianach oddzielających pomieszczenia i konstrukcjach nośnych dachu</w:t>
      </w:r>
      <w:r w:rsidR="002B753B" w:rsidRPr="002E5EE3">
        <w:rPr>
          <w:rFonts w:ascii="Tahoma" w:eastAsia="Times New Roman" w:hAnsi="Tahoma" w:cs="Tahoma"/>
          <w:lang w:eastAsia="pl-PL"/>
        </w:rPr>
        <w:t>.</w:t>
      </w:r>
    </w:p>
    <w:p w14:paraId="54E39625" w14:textId="43CB41A2" w:rsidR="00064B22" w:rsidRPr="002E5EE3" w:rsidRDefault="00064B22" w:rsidP="002E5EE3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5EE3">
        <w:rPr>
          <w:rFonts w:ascii="Tahoma" w:eastAsia="Times New Roman" w:hAnsi="Tahoma" w:cs="Tahoma"/>
          <w:lang w:eastAsia="pl-PL"/>
        </w:rPr>
        <w:t xml:space="preserve">Sale informatyczne: dopuszcza się ułożenie przewodów zasilających gniazda </w:t>
      </w:r>
      <w:r w:rsidR="002E5EE3">
        <w:rPr>
          <w:rFonts w:ascii="Tahoma" w:eastAsia="Times New Roman" w:hAnsi="Tahoma" w:cs="Tahoma"/>
          <w:lang w:eastAsia="pl-PL"/>
        </w:rPr>
        <w:br/>
      </w:r>
      <w:r w:rsidRPr="002E5EE3">
        <w:rPr>
          <w:rFonts w:ascii="Tahoma" w:eastAsia="Times New Roman" w:hAnsi="Tahoma" w:cs="Tahoma"/>
          <w:lang w:eastAsia="pl-PL"/>
        </w:rPr>
        <w:t xml:space="preserve">w </w:t>
      </w:r>
      <w:r w:rsidR="002E5EE3">
        <w:rPr>
          <w:rFonts w:ascii="Tahoma" w:eastAsia="Times New Roman" w:hAnsi="Tahoma" w:cs="Tahoma"/>
          <w:lang w:eastAsia="pl-PL"/>
        </w:rPr>
        <w:t>P</w:t>
      </w:r>
      <w:r w:rsidRPr="002E5EE3">
        <w:rPr>
          <w:rFonts w:ascii="Tahoma" w:eastAsia="Times New Roman" w:hAnsi="Tahoma" w:cs="Tahoma"/>
          <w:lang w:eastAsia="pl-PL"/>
        </w:rPr>
        <w:t>omieszczeniach klas informatycznych w drugiej komorze koryta kablowego.</w:t>
      </w:r>
    </w:p>
    <w:p w14:paraId="432767D6" w14:textId="1686A543" w:rsidR="00064B22" w:rsidRPr="002E5EE3" w:rsidRDefault="00064B22" w:rsidP="002E5EE3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5EE3">
        <w:rPr>
          <w:rFonts w:ascii="Tahoma" w:eastAsia="Times New Roman" w:hAnsi="Tahoma" w:cs="Tahoma"/>
          <w:lang w:eastAsia="pl-PL"/>
        </w:rPr>
        <w:t>Zgodnie z projektem oraz przedmiarem robót instalację logiczną należy układać w korytach kablowych.</w:t>
      </w:r>
    </w:p>
    <w:p w14:paraId="42BCF1DB" w14:textId="77777777" w:rsidR="00455B07" w:rsidRDefault="00455B07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DFF0635" w14:textId="74282268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2:</w:t>
      </w:r>
      <w:r w:rsidRPr="002E5EE3">
        <w:rPr>
          <w:rFonts w:ascii="Tahoma" w:hAnsi="Tahoma" w:cs="Tahoma"/>
        </w:rPr>
        <w:t xml:space="preserve"> </w:t>
      </w:r>
    </w:p>
    <w:p w14:paraId="5F50EFFD" w14:textId="14737FEB" w:rsidR="002E5EE3" w:rsidRP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</w:rPr>
        <w:t>Brak pomiarów oświetlenia awaryjnego i podstawowego. Czy Zamawiający wykona je we własnym zakresie?</w:t>
      </w:r>
    </w:p>
    <w:p w14:paraId="6E610DD1" w14:textId="7BA374CF" w:rsidR="002E5EE3" w:rsidRDefault="002E5EE3" w:rsidP="001E4A72">
      <w:pPr>
        <w:spacing w:before="100" w:beforeAutospacing="1" w:after="0" w:line="240" w:lineRule="auto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1E4A72">
        <w:rPr>
          <w:rFonts w:ascii="Tahoma" w:hAnsi="Tahoma" w:cs="Tahoma"/>
          <w:b/>
          <w:bCs/>
        </w:rPr>
        <w:t xml:space="preserve"> 2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  <w:r w:rsidR="001E4A72">
        <w:rPr>
          <w:rFonts w:ascii="Tahoma" w:hAnsi="Tahoma" w:cs="Tahoma"/>
        </w:rPr>
        <w:br/>
      </w:r>
      <w:r w:rsidR="001E4A72" w:rsidRPr="001E4A72">
        <w:rPr>
          <w:rFonts w:ascii="Tahoma" w:hAnsi="Tahoma" w:cs="Tahoma"/>
        </w:rPr>
        <w:t>Pomiary oświetlenia muszą być wykonane</w:t>
      </w:r>
      <w:r w:rsidR="001E4A72" w:rsidRPr="001E4A72">
        <w:rPr>
          <w:rFonts w:ascii="Tahoma" w:hAnsi="Tahoma" w:cs="Tahoma"/>
        </w:rPr>
        <w:t xml:space="preserve"> </w:t>
      </w:r>
      <w:r w:rsidR="001E4A72" w:rsidRPr="001E4A72">
        <w:rPr>
          <w:rFonts w:ascii="Tahoma" w:hAnsi="Tahoma" w:cs="Tahoma"/>
        </w:rPr>
        <w:t>zgodnie ze specyfikacją.</w:t>
      </w:r>
    </w:p>
    <w:p w14:paraId="4AC7E0D0" w14:textId="77777777" w:rsidR="001E4A72" w:rsidRPr="002E5EE3" w:rsidRDefault="001E4A72" w:rsidP="002E5EE3">
      <w:pPr>
        <w:spacing w:before="100" w:beforeAutospacing="1" w:after="0" w:line="240" w:lineRule="auto"/>
        <w:jc w:val="both"/>
        <w:rPr>
          <w:rFonts w:ascii="Tahoma" w:hAnsi="Tahoma" w:cs="Tahoma"/>
        </w:rPr>
      </w:pPr>
    </w:p>
    <w:p w14:paraId="62287067" w14:textId="77777777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3:</w:t>
      </w:r>
      <w:r w:rsidRPr="002E5EE3">
        <w:rPr>
          <w:rFonts w:ascii="Tahoma" w:hAnsi="Tahoma" w:cs="Tahoma"/>
        </w:rPr>
        <w:t xml:space="preserve"> </w:t>
      </w:r>
    </w:p>
    <w:p w14:paraId="46E71CE0" w14:textId="2B9DDCB2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</w:rPr>
        <w:t xml:space="preserve">Brak szafy krosowej i wyposażenia / </w:t>
      </w:r>
      <w:proofErr w:type="spellStart"/>
      <w:r w:rsidRPr="002E5EE3">
        <w:rPr>
          <w:rFonts w:ascii="Tahoma" w:hAnsi="Tahoma" w:cs="Tahoma"/>
        </w:rPr>
        <w:t>patchpanele</w:t>
      </w:r>
      <w:proofErr w:type="spellEnd"/>
      <w:r w:rsidRPr="002E5EE3">
        <w:rPr>
          <w:rFonts w:ascii="Tahoma" w:hAnsi="Tahoma" w:cs="Tahoma"/>
        </w:rPr>
        <w:t xml:space="preserve"> są uwzględnione /. czy Zamawiający dostarczy szafę wraz z wyposażeniem?</w:t>
      </w:r>
    </w:p>
    <w:p w14:paraId="66127804" w14:textId="06A5A86D" w:rsidR="001E4A72" w:rsidRPr="001E4A72" w:rsidRDefault="002E5EE3" w:rsidP="001E4A72">
      <w:pPr>
        <w:spacing w:before="100" w:beforeAutospacing="1" w:after="0" w:line="240" w:lineRule="auto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1E4A72">
        <w:rPr>
          <w:rFonts w:ascii="Tahoma" w:hAnsi="Tahoma" w:cs="Tahoma"/>
          <w:b/>
          <w:bCs/>
        </w:rPr>
        <w:t xml:space="preserve"> 3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  <w:r w:rsidR="001E4A72">
        <w:rPr>
          <w:rFonts w:ascii="Tahoma" w:hAnsi="Tahoma" w:cs="Tahoma"/>
        </w:rPr>
        <w:br/>
      </w:r>
      <w:r w:rsidR="001E4A72" w:rsidRPr="001E4A72">
        <w:rPr>
          <w:rFonts w:ascii="Tahoma" w:hAnsi="Tahoma" w:cs="Tahoma"/>
        </w:rPr>
        <w:t xml:space="preserve">Zgodnie z projektem w sali </w:t>
      </w:r>
      <w:r w:rsidR="00370C9C" w:rsidRPr="001E4A72">
        <w:rPr>
          <w:rFonts w:ascii="Tahoma" w:hAnsi="Tahoma" w:cs="Tahoma"/>
        </w:rPr>
        <w:t>komputerowej</w:t>
      </w:r>
      <w:r w:rsidR="001E4A72" w:rsidRPr="001E4A72">
        <w:rPr>
          <w:rFonts w:ascii="Tahoma" w:hAnsi="Tahoma" w:cs="Tahoma"/>
        </w:rPr>
        <w:t xml:space="preserve"> znajduje się istniejąca szafa krosowa. Nie jest objęta przedmiotem opracowania. Szafę należy uzupełnić o wymienione </w:t>
      </w:r>
      <w:proofErr w:type="spellStart"/>
      <w:r w:rsidR="001E4A72" w:rsidRPr="001E4A72">
        <w:rPr>
          <w:rFonts w:ascii="Tahoma" w:hAnsi="Tahoma" w:cs="Tahoma"/>
        </w:rPr>
        <w:t>patchpanele</w:t>
      </w:r>
      <w:proofErr w:type="spellEnd"/>
      <w:r w:rsidR="001E4A72" w:rsidRPr="001E4A72">
        <w:rPr>
          <w:rFonts w:ascii="Tahoma" w:hAnsi="Tahoma" w:cs="Tahoma"/>
        </w:rPr>
        <w:t>.</w:t>
      </w:r>
    </w:p>
    <w:p w14:paraId="159311E1" w14:textId="77777777" w:rsidR="001E4A72" w:rsidRPr="002E5EE3" w:rsidRDefault="001E4A72" w:rsidP="002E5EE3">
      <w:pPr>
        <w:spacing w:before="100" w:beforeAutospacing="1" w:after="0" w:line="240" w:lineRule="auto"/>
        <w:jc w:val="both"/>
        <w:rPr>
          <w:rFonts w:ascii="Tahoma" w:hAnsi="Tahoma" w:cs="Tahoma"/>
        </w:rPr>
      </w:pPr>
    </w:p>
    <w:p w14:paraId="27AB1C39" w14:textId="77777777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4:</w:t>
      </w:r>
      <w:r w:rsidRPr="002E5EE3">
        <w:rPr>
          <w:rFonts w:ascii="Tahoma" w:hAnsi="Tahoma" w:cs="Tahoma"/>
        </w:rPr>
        <w:t xml:space="preserve"> </w:t>
      </w:r>
    </w:p>
    <w:p w14:paraId="1474553B" w14:textId="446D1428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</w:rPr>
        <w:t>Jakie parametry opraw będą brane pod uwagę w celu stwierdzenia równoważności opraw?</w:t>
      </w:r>
    </w:p>
    <w:p w14:paraId="3DECFF59" w14:textId="7B2B0BF8" w:rsidR="001E4A72" w:rsidRPr="001E4A72" w:rsidRDefault="002E5EE3" w:rsidP="001E4A72">
      <w:pPr>
        <w:spacing w:before="100" w:beforeAutospacing="1" w:after="0" w:line="240" w:lineRule="auto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1E4A72">
        <w:rPr>
          <w:rFonts w:ascii="Tahoma" w:hAnsi="Tahoma" w:cs="Tahoma"/>
          <w:b/>
          <w:bCs/>
        </w:rPr>
        <w:t xml:space="preserve"> 4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  <w:r w:rsidR="001E4A72">
        <w:rPr>
          <w:rFonts w:ascii="Tahoma" w:hAnsi="Tahoma" w:cs="Tahoma"/>
        </w:rPr>
        <w:br/>
      </w:r>
      <w:r w:rsidR="001E4A72" w:rsidRPr="001E4A72">
        <w:rPr>
          <w:rFonts w:ascii="Tahoma" w:hAnsi="Tahoma" w:cs="Tahoma"/>
        </w:rPr>
        <w:t>W specyfikacji są podane parametry równoważności. Cześć parametrów została wskazana tak, że równoważność polega na wymogu utrzymania parametrów nie gorszych niż wskazane w specyfikacji. Wynika to z polepszania się parametrów świetlnych opraw.</w:t>
      </w:r>
    </w:p>
    <w:p w14:paraId="480CCE27" w14:textId="77777777" w:rsidR="001E4A72" w:rsidRPr="001E4A72" w:rsidRDefault="001E4A72" w:rsidP="001E4A72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1E4A72">
        <w:rPr>
          <w:rFonts w:ascii="Tahoma" w:hAnsi="Tahoma" w:cs="Tahoma"/>
        </w:rPr>
        <w:t>Dopuszcza się odstępstwo mocy od podanej w specyfikacji pod warunkiem zapewnienia wymogów uzyskania wymaganych parametrów natężenia i równomierności w pomieszczeniach zgodnie z normą oraz zapewnienia skuteczności świetlnej nie gorszej niż podana w specyfikacji.  </w:t>
      </w:r>
    </w:p>
    <w:p w14:paraId="63C317AC" w14:textId="7D3D75FE" w:rsidR="001E4A72" w:rsidRDefault="001E4A72" w:rsidP="002E5EE3">
      <w:pPr>
        <w:spacing w:before="100" w:beforeAutospacing="1" w:after="0" w:line="240" w:lineRule="auto"/>
        <w:jc w:val="both"/>
        <w:rPr>
          <w:rFonts w:ascii="Tahoma" w:hAnsi="Tahoma" w:cs="Tahoma"/>
        </w:rPr>
      </w:pPr>
    </w:p>
    <w:p w14:paraId="39E492FA" w14:textId="10E7447C" w:rsidR="00D349B1" w:rsidRDefault="00D349B1" w:rsidP="002E5EE3">
      <w:pPr>
        <w:spacing w:before="100" w:beforeAutospacing="1" w:after="0" w:line="240" w:lineRule="auto"/>
        <w:jc w:val="both"/>
        <w:rPr>
          <w:rFonts w:ascii="Tahoma" w:hAnsi="Tahoma" w:cs="Tahoma"/>
        </w:rPr>
      </w:pPr>
    </w:p>
    <w:p w14:paraId="133AFD5A" w14:textId="77777777" w:rsidR="00D349B1" w:rsidRPr="002E5EE3" w:rsidRDefault="00D349B1" w:rsidP="002E5EE3">
      <w:pPr>
        <w:spacing w:before="100" w:beforeAutospacing="1" w:after="0" w:line="240" w:lineRule="auto"/>
        <w:jc w:val="both"/>
        <w:rPr>
          <w:rFonts w:ascii="Tahoma" w:hAnsi="Tahoma" w:cs="Tahoma"/>
        </w:rPr>
      </w:pPr>
    </w:p>
    <w:p w14:paraId="787422AE" w14:textId="77777777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5:</w:t>
      </w:r>
      <w:r w:rsidRPr="002E5EE3">
        <w:rPr>
          <w:rFonts w:ascii="Tahoma" w:hAnsi="Tahoma" w:cs="Tahoma"/>
        </w:rPr>
        <w:t xml:space="preserve"> </w:t>
      </w:r>
    </w:p>
    <w:p w14:paraId="457B0333" w14:textId="6A667A71" w:rsidR="002E5EE3" w:rsidRP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</w:rPr>
        <w:t>Czy utylizacja istniejących opraw należy do Wykonawcy?</w:t>
      </w:r>
    </w:p>
    <w:p w14:paraId="1A32101F" w14:textId="4F211F8E" w:rsidR="002E5EE3" w:rsidRPr="00AA77DF" w:rsidRDefault="002E5EE3" w:rsidP="00AA77DF">
      <w:pPr>
        <w:spacing w:before="100" w:beforeAutospacing="1" w:after="0" w:line="240" w:lineRule="auto"/>
        <w:rPr>
          <w:rFonts w:ascii="Tahoma" w:hAnsi="Tahoma" w:cs="Tahoma"/>
        </w:rPr>
      </w:pPr>
      <w:r w:rsidRPr="00AA77DF">
        <w:rPr>
          <w:rFonts w:ascii="Tahoma" w:hAnsi="Tahoma" w:cs="Tahoma"/>
          <w:b/>
          <w:bCs/>
        </w:rPr>
        <w:t>Odpowiedź</w:t>
      </w:r>
      <w:r w:rsidR="001E4A72" w:rsidRPr="00AA77DF">
        <w:rPr>
          <w:rFonts w:ascii="Tahoma" w:hAnsi="Tahoma" w:cs="Tahoma"/>
          <w:b/>
          <w:bCs/>
        </w:rPr>
        <w:t xml:space="preserve"> 5</w:t>
      </w:r>
      <w:r w:rsidRPr="00AA77DF">
        <w:rPr>
          <w:rFonts w:ascii="Tahoma" w:hAnsi="Tahoma" w:cs="Tahoma"/>
          <w:b/>
          <w:bCs/>
        </w:rPr>
        <w:t>:</w:t>
      </w:r>
      <w:r w:rsidRPr="00AA77DF">
        <w:rPr>
          <w:rFonts w:ascii="Tahoma" w:hAnsi="Tahoma" w:cs="Tahoma"/>
        </w:rPr>
        <w:t xml:space="preserve"> </w:t>
      </w:r>
      <w:r w:rsidR="00AA77DF" w:rsidRPr="00AA77DF">
        <w:rPr>
          <w:rFonts w:ascii="Tahoma" w:hAnsi="Tahoma" w:cs="Tahoma"/>
        </w:rPr>
        <w:br/>
        <w:t>Zamawiający przewiduje ok. 65% lamp do utylizacji przez Wykonawcę, pozostałą część należy przekazać protokolarnie użytkownikowi.</w:t>
      </w:r>
    </w:p>
    <w:p w14:paraId="6A1F7889" w14:textId="77777777" w:rsidR="00AA77DF" w:rsidRPr="00AA77DF" w:rsidRDefault="00AA77DF" w:rsidP="002E5EE3">
      <w:pPr>
        <w:spacing w:before="100" w:beforeAutospacing="1" w:after="0" w:line="240" w:lineRule="auto"/>
        <w:jc w:val="both"/>
        <w:rPr>
          <w:rFonts w:ascii="Tahoma" w:hAnsi="Tahoma" w:cs="Tahoma"/>
          <w:color w:val="FF0000"/>
        </w:rPr>
      </w:pPr>
    </w:p>
    <w:p w14:paraId="34B5FCE8" w14:textId="77777777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6:</w:t>
      </w:r>
      <w:r w:rsidRPr="002E5EE3">
        <w:rPr>
          <w:rFonts w:ascii="Tahoma" w:hAnsi="Tahoma" w:cs="Tahoma"/>
        </w:rPr>
        <w:t xml:space="preserve"> </w:t>
      </w:r>
    </w:p>
    <w:p w14:paraId="5758CAC5" w14:textId="1DDCA516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</w:rPr>
        <w:t xml:space="preserve">Istnieją różnice pomiędzy rys. 13 i 14. Wg którego wykonać rozdzielnie TG / </w:t>
      </w:r>
      <w:proofErr w:type="spellStart"/>
      <w:r w:rsidRPr="002E5EE3">
        <w:rPr>
          <w:rFonts w:ascii="Tahoma" w:hAnsi="Tahoma" w:cs="Tahoma"/>
        </w:rPr>
        <w:t>n.p</w:t>
      </w:r>
      <w:proofErr w:type="spellEnd"/>
      <w:r w:rsidRPr="002E5EE3">
        <w:rPr>
          <w:rFonts w:ascii="Tahoma" w:hAnsi="Tahoma" w:cs="Tahoma"/>
        </w:rPr>
        <w:t>. inne ilości rozłączników bezpiecznikowych, brak PF-431, inny ochronnik /?</w:t>
      </w:r>
    </w:p>
    <w:p w14:paraId="4424A629" w14:textId="74E56602" w:rsidR="002E5EE3" w:rsidRPr="002E5EE3" w:rsidRDefault="002E5EE3" w:rsidP="002E5EE3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1E4A72">
        <w:rPr>
          <w:rFonts w:ascii="Tahoma" w:hAnsi="Tahoma" w:cs="Tahoma"/>
          <w:b/>
          <w:bCs/>
        </w:rPr>
        <w:t xml:space="preserve"> 6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</w:p>
    <w:p w14:paraId="5830D623" w14:textId="42EBD071" w:rsidR="001E4A72" w:rsidRPr="001E4A72" w:rsidRDefault="001E4A72" w:rsidP="001E4A72">
      <w:pPr>
        <w:spacing w:after="0" w:line="240" w:lineRule="auto"/>
        <w:jc w:val="both"/>
        <w:rPr>
          <w:rFonts w:ascii="Tahoma" w:hAnsi="Tahoma" w:cs="Tahoma"/>
        </w:rPr>
      </w:pPr>
      <w:r w:rsidRPr="001E4A72">
        <w:rPr>
          <w:rFonts w:ascii="Tahoma" w:hAnsi="Tahoma" w:cs="Tahoma"/>
        </w:rPr>
        <w:t>Rozdzielnia TG ma posiadać ob</w:t>
      </w:r>
      <w:r>
        <w:rPr>
          <w:rFonts w:ascii="Tahoma" w:hAnsi="Tahoma" w:cs="Tahoma"/>
        </w:rPr>
        <w:t>owiązkowo</w:t>
      </w:r>
      <w:r w:rsidRPr="001E4A72">
        <w:rPr>
          <w:rFonts w:ascii="Tahoma" w:hAnsi="Tahoma" w:cs="Tahoma"/>
        </w:rPr>
        <w:t xml:space="preserve"> zabezpieczenia wyłącznika pożarowego poprzez element przełączania faz np. PF-431 lub równoważny.</w:t>
      </w:r>
    </w:p>
    <w:p w14:paraId="6493DC2C" w14:textId="77777777" w:rsidR="001E4A72" w:rsidRPr="001E4A72" w:rsidRDefault="001E4A72" w:rsidP="001E4A72">
      <w:pPr>
        <w:spacing w:after="0" w:line="240" w:lineRule="auto"/>
        <w:jc w:val="both"/>
        <w:rPr>
          <w:rFonts w:ascii="Tahoma" w:hAnsi="Tahoma" w:cs="Tahoma"/>
        </w:rPr>
      </w:pPr>
      <w:r w:rsidRPr="001E4A72">
        <w:rPr>
          <w:rFonts w:ascii="Tahoma" w:hAnsi="Tahoma" w:cs="Tahoma"/>
        </w:rPr>
        <w:t>W rozdzielni TG należy zastosować ochronnik typu I+II.</w:t>
      </w:r>
    </w:p>
    <w:p w14:paraId="4A280E7C" w14:textId="1F875037" w:rsidR="002E5EE3" w:rsidRDefault="002E5EE3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51D20A1" w14:textId="77777777" w:rsidR="001E4A72" w:rsidRDefault="001E4A72" w:rsidP="002E5EE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18F02AA" w14:textId="2C5EC13D" w:rsid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nr 7:</w:t>
      </w:r>
      <w:r w:rsidRPr="002E5EE3">
        <w:rPr>
          <w:rFonts w:ascii="Tahoma" w:hAnsi="Tahoma" w:cs="Tahoma"/>
        </w:rPr>
        <w:t xml:space="preserve"> </w:t>
      </w:r>
    </w:p>
    <w:p w14:paraId="77E4B816" w14:textId="1A63610D" w:rsidR="002E5EE3" w:rsidRPr="002E5EE3" w:rsidRDefault="002E5EE3" w:rsidP="002E5EE3">
      <w:pPr>
        <w:spacing w:after="0" w:line="240" w:lineRule="auto"/>
        <w:jc w:val="both"/>
        <w:rPr>
          <w:rFonts w:ascii="Tahoma" w:hAnsi="Tahoma" w:cs="Tahoma"/>
        </w:rPr>
      </w:pPr>
      <w:r w:rsidRPr="002E5EE3">
        <w:rPr>
          <w:rFonts w:ascii="Tahoma" w:hAnsi="Tahoma" w:cs="Tahoma"/>
        </w:rPr>
        <w:t>Czy w zakresie prac Wykonawcy jest instalacja TL? Jeżeli tak to czy jest uzgodniony układ pomiarowy i czy jest to uzgodnione z dostawcą energii?</w:t>
      </w:r>
    </w:p>
    <w:p w14:paraId="351BFA18" w14:textId="5E9E62B4" w:rsidR="009E3C4B" w:rsidRPr="002E5EE3" w:rsidRDefault="002E5EE3" w:rsidP="00D349B1">
      <w:pPr>
        <w:spacing w:before="100" w:beforeAutospacing="1" w:after="0" w:line="240" w:lineRule="auto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9E3C4B">
        <w:rPr>
          <w:rFonts w:ascii="Tahoma" w:hAnsi="Tahoma" w:cs="Tahoma"/>
          <w:b/>
          <w:bCs/>
        </w:rPr>
        <w:t xml:space="preserve"> 7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  <w:r w:rsidR="009E3C4B">
        <w:rPr>
          <w:rFonts w:ascii="Tahoma" w:hAnsi="Tahoma" w:cs="Tahoma"/>
        </w:rPr>
        <w:br/>
      </w:r>
      <w:r w:rsidR="009E3C4B" w:rsidRPr="009E3C4B">
        <w:rPr>
          <w:rFonts w:ascii="Tahoma" w:hAnsi="Tahoma" w:cs="Tahoma"/>
        </w:rPr>
        <w:t xml:space="preserve">Tablica licznikowa nie ulega przeniesieniu. </w:t>
      </w:r>
      <w:r w:rsidR="009E3C4B">
        <w:rPr>
          <w:rFonts w:ascii="Tahoma" w:hAnsi="Tahoma" w:cs="Tahoma"/>
        </w:rPr>
        <w:br/>
      </w:r>
      <w:r w:rsidR="009E3C4B" w:rsidRPr="009E3C4B">
        <w:rPr>
          <w:rFonts w:ascii="Tahoma" w:hAnsi="Tahoma" w:cs="Tahoma"/>
        </w:rPr>
        <w:t xml:space="preserve">Przed </w:t>
      </w:r>
      <w:proofErr w:type="spellStart"/>
      <w:r w:rsidR="009E3C4B" w:rsidRPr="009E3C4B">
        <w:rPr>
          <w:rFonts w:ascii="Tahoma" w:hAnsi="Tahoma" w:cs="Tahoma"/>
        </w:rPr>
        <w:t>rozplombowaniem</w:t>
      </w:r>
      <w:proofErr w:type="spellEnd"/>
      <w:r w:rsidR="009E3C4B" w:rsidRPr="009E3C4B">
        <w:rPr>
          <w:rFonts w:ascii="Tahoma" w:hAnsi="Tahoma" w:cs="Tahoma"/>
        </w:rPr>
        <w:t xml:space="preserve"> należy uzyskać zgodę w Rejonie oraz po zakończeniu prac zgłosić o ponowne zaplombowanie. </w:t>
      </w:r>
    </w:p>
    <w:p w14:paraId="7E2B733C" w14:textId="2C240CA7" w:rsidR="002E5EE3" w:rsidRDefault="002E5EE3" w:rsidP="009E3C4B">
      <w:pPr>
        <w:spacing w:before="100" w:beforeAutospacing="1" w:after="0" w:line="240" w:lineRule="auto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Pytanie 8:</w:t>
      </w:r>
      <w:r w:rsidRPr="002E5EE3">
        <w:rPr>
          <w:rFonts w:ascii="Tahoma" w:hAnsi="Tahoma" w:cs="Tahoma"/>
        </w:rPr>
        <w:t xml:space="preserve"> </w:t>
      </w:r>
      <w:r w:rsidR="009E3C4B">
        <w:rPr>
          <w:rFonts w:ascii="Tahoma" w:hAnsi="Tahoma" w:cs="Tahoma"/>
        </w:rPr>
        <w:br/>
      </w:r>
      <w:r w:rsidRPr="002E5EE3">
        <w:rPr>
          <w:rFonts w:ascii="Tahoma" w:hAnsi="Tahoma" w:cs="Tahoma"/>
        </w:rPr>
        <w:t>Brak w przedmiarze połączeń kablowych o przekroju 25mm2. Czy należy traktować to jako instalacja istniejąca?</w:t>
      </w:r>
    </w:p>
    <w:p w14:paraId="78764EB9" w14:textId="21FC4CB7" w:rsidR="002E5EE3" w:rsidRPr="009E3C4B" w:rsidRDefault="002E5EE3" w:rsidP="009E3C4B">
      <w:pPr>
        <w:spacing w:before="100" w:beforeAutospacing="1" w:after="0" w:line="240" w:lineRule="auto"/>
        <w:rPr>
          <w:rFonts w:ascii="Tahoma" w:hAnsi="Tahoma" w:cs="Tahoma"/>
        </w:rPr>
      </w:pPr>
      <w:r w:rsidRPr="002E5EE3">
        <w:rPr>
          <w:rFonts w:ascii="Tahoma" w:hAnsi="Tahoma" w:cs="Tahoma"/>
          <w:b/>
          <w:bCs/>
        </w:rPr>
        <w:t>Odpowiedź</w:t>
      </w:r>
      <w:r w:rsidR="009E3C4B">
        <w:rPr>
          <w:rFonts w:ascii="Tahoma" w:hAnsi="Tahoma" w:cs="Tahoma"/>
          <w:b/>
          <w:bCs/>
        </w:rPr>
        <w:t xml:space="preserve"> 8</w:t>
      </w:r>
      <w:r w:rsidRPr="002E5EE3">
        <w:rPr>
          <w:rFonts w:ascii="Tahoma" w:hAnsi="Tahoma" w:cs="Tahoma"/>
          <w:b/>
          <w:bCs/>
        </w:rPr>
        <w:t>:</w:t>
      </w:r>
      <w:r w:rsidRPr="002E5EE3">
        <w:rPr>
          <w:rFonts w:ascii="Tahoma" w:hAnsi="Tahoma" w:cs="Tahoma"/>
        </w:rPr>
        <w:t xml:space="preserve"> </w:t>
      </w:r>
      <w:r w:rsidR="009E3C4B">
        <w:rPr>
          <w:rFonts w:ascii="Tahoma" w:hAnsi="Tahoma" w:cs="Tahoma"/>
        </w:rPr>
        <w:br/>
      </w:r>
      <w:r w:rsidR="009E3C4B" w:rsidRPr="009E3C4B">
        <w:rPr>
          <w:rFonts w:ascii="Tahoma" w:hAnsi="Tahoma" w:cs="Tahoma"/>
        </w:rPr>
        <w:t>Należy uwzględnić w wycenie powi</w:t>
      </w:r>
      <w:r w:rsidR="00370C9C">
        <w:rPr>
          <w:rFonts w:ascii="Tahoma" w:hAnsi="Tahoma" w:cs="Tahoma"/>
        </w:rPr>
        <w:t>ą</w:t>
      </w:r>
      <w:r w:rsidR="009E3C4B" w:rsidRPr="009E3C4B">
        <w:rPr>
          <w:rFonts w:ascii="Tahoma" w:hAnsi="Tahoma" w:cs="Tahoma"/>
        </w:rPr>
        <w:t>zanie szafki PWP z TL oraz TL z TG.</w:t>
      </w:r>
    </w:p>
    <w:sectPr w:rsidR="002E5EE3" w:rsidRPr="009E3C4B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78"/>
    <w:rsid w:val="00064B22"/>
    <w:rsid w:val="001E4A72"/>
    <w:rsid w:val="002B753B"/>
    <w:rsid w:val="002E5EE3"/>
    <w:rsid w:val="002F6678"/>
    <w:rsid w:val="00370C9C"/>
    <w:rsid w:val="00455B07"/>
    <w:rsid w:val="0089020A"/>
    <w:rsid w:val="009E3C4B"/>
    <w:rsid w:val="00A12511"/>
    <w:rsid w:val="00AA77DF"/>
    <w:rsid w:val="00D349B1"/>
    <w:rsid w:val="00E34B5E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A1B"/>
  <w15:chartTrackingRefBased/>
  <w15:docId w15:val="{526A565A-C779-4DD9-B152-BFF01C8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Aleksandra Spałek</cp:lastModifiedBy>
  <cp:revision>5</cp:revision>
  <dcterms:created xsi:type="dcterms:W3CDTF">2021-04-22T06:19:00Z</dcterms:created>
  <dcterms:modified xsi:type="dcterms:W3CDTF">2021-04-22T08:23:00Z</dcterms:modified>
</cp:coreProperties>
</file>