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EB82" w14:textId="0FCB1B29" w:rsidR="00EE7CB6" w:rsidRPr="006A4453" w:rsidRDefault="00EE18EF" w:rsidP="006A4453">
      <w:pPr>
        <w:pStyle w:val="Tytu"/>
        <w:spacing w:line="480" w:lineRule="auto"/>
        <w:ind w:left="426" w:right="374"/>
        <w:jc w:val="left"/>
        <w:rPr>
          <w:rFonts w:ascii="Arial" w:hAnsi="Arial" w:cs="Arial"/>
          <w:sz w:val="20"/>
          <w:szCs w:val="20"/>
        </w:rPr>
      </w:pPr>
      <w:r w:rsidRPr="00EE18EF">
        <w:rPr>
          <w:rFonts w:ascii="Arial" w:hAnsi="Arial" w:cs="Arial"/>
          <w:color w:val="388600"/>
          <w:sz w:val="20"/>
          <w:szCs w:val="20"/>
        </w:rPr>
        <w:t>Zmodyfikowany</w:t>
      </w:r>
      <w:r>
        <w:rPr>
          <w:rFonts w:ascii="Arial" w:hAnsi="Arial" w:cs="Arial"/>
          <w:sz w:val="20"/>
          <w:szCs w:val="20"/>
        </w:rPr>
        <w:t xml:space="preserve"> </w:t>
      </w:r>
      <w:r w:rsidR="00EE7CB6" w:rsidRPr="006A4453">
        <w:rPr>
          <w:rFonts w:ascii="Arial" w:hAnsi="Arial" w:cs="Arial"/>
          <w:sz w:val="20"/>
          <w:szCs w:val="20"/>
        </w:rPr>
        <w:t>Załącznik nr 1a do SWZ - Szczegółowy opis przedmiotu zamówienia</w:t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EE7CB6" w:rsidRPr="006A4453">
        <w:rPr>
          <w:rFonts w:ascii="Arial" w:hAnsi="Arial" w:cs="Arial"/>
          <w:sz w:val="20"/>
          <w:szCs w:val="20"/>
        </w:rPr>
        <w:tab/>
      </w:r>
      <w:r w:rsidR="006A4453" w:rsidRPr="006A4453">
        <w:rPr>
          <w:rFonts w:ascii="Arial" w:hAnsi="Arial" w:cs="Arial"/>
          <w:sz w:val="20"/>
          <w:szCs w:val="20"/>
        </w:rPr>
        <w:t xml:space="preserve">       </w:t>
      </w:r>
      <w:r w:rsidR="00EE7CB6" w:rsidRPr="006A4453">
        <w:rPr>
          <w:rFonts w:ascii="Arial" w:hAnsi="Arial" w:cs="Arial"/>
          <w:sz w:val="20"/>
          <w:szCs w:val="20"/>
        </w:rPr>
        <w:t>15/ZP/2024</w:t>
      </w:r>
    </w:p>
    <w:p w14:paraId="507186F2" w14:textId="0D71F70F" w:rsidR="001D7C50" w:rsidRPr="0085087F" w:rsidRDefault="001D7C50" w:rsidP="0085087F">
      <w:pPr>
        <w:pStyle w:val="Tytu"/>
        <w:spacing w:before="240" w:line="480" w:lineRule="auto"/>
        <w:rPr>
          <w:rFonts w:ascii="Arial" w:hAnsi="Arial" w:cs="Arial"/>
          <w:sz w:val="20"/>
          <w:szCs w:val="20"/>
          <w:highlight w:val="yellow"/>
        </w:rPr>
      </w:pPr>
      <w:r w:rsidRPr="006A4453">
        <w:rPr>
          <w:rFonts w:ascii="Arial" w:hAnsi="Arial" w:cs="Arial"/>
          <w:sz w:val="20"/>
          <w:szCs w:val="20"/>
        </w:rPr>
        <w:t>PARAMET</w:t>
      </w:r>
      <w:r w:rsidR="0085087F">
        <w:rPr>
          <w:rFonts w:ascii="Arial" w:hAnsi="Arial" w:cs="Arial"/>
          <w:sz w:val="20"/>
          <w:szCs w:val="20"/>
        </w:rPr>
        <w:t>RY</w:t>
      </w:r>
      <w:r w:rsidRPr="006A4453">
        <w:rPr>
          <w:rFonts w:ascii="Arial" w:hAnsi="Arial" w:cs="Arial"/>
          <w:sz w:val="20"/>
          <w:szCs w:val="20"/>
        </w:rPr>
        <w:t xml:space="preserve"> TECHNICZNO – </w:t>
      </w:r>
      <w:r w:rsidR="0085087F">
        <w:rPr>
          <w:rFonts w:ascii="Arial" w:hAnsi="Arial" w:cs="Arial"/>
          <w:sz w:val="20"/>
          <w:szCs w:val="20"/>
        </w:rPr>
        <w:t>FUNKCJONALNE</w:t>
      </w:r>
    </w:p>
    <w:p w14:paraId="2E52D38C" w14:textId="5FA5CEFA" w:rsidR="001D7C50" w:rsidRPr="006A4453" w:rsidRDefault="002955EE" w:rsidP="002955EE">
      <w:pPr>
        <w:pStyle w:val="Tytu"/>
        <w:spacing w:line="480" w:lineRule="auto"/>
        <w:ind w:firstLine="59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A4453">
        <w:rPr>
          <w:rFonts w:ascii="Arial" w:hAnsi="Arial" w:cs="Arial"/>
          <w:b w:val="0"/>
          <w:bCs w:val="0"/>
          <w:sz w:val="20"/>
          <w:szCs w:val="20"/>
        </w:rPr>
        <w:t xml:space="preserve">Przedmiot  zamówienia: </w:t>
      </w:r>
      <w:r w:rsidR="006A4453" w:rsidRPr="006A4453">
        <w:rPr>
          <w:rFonts w:ascii="Arial" w:hAnsi="Arial" w:cs="Arial"/>
          <w:b w:val="0"/>
          <w:bCs w:val="0"/>
          <w:sz w:val="20"/>
          <w:szCs w:val="20"/>
        </w:rPr>
        <w:t>Dostawa tomografu komputerowego z dodatkowym wyposażeniem i akcesoriami wraz z adaptacją pomieszczeń</w:t>
      </w:r>
    </w:p>
    <w:p w14:paraId="3A8A6F56" w14:textId="1021DB9A" w:rsidR="001D7C50" w:rsidRPr="006A4453" w:rsidRDefault="001D7C50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color w:val="000000"/>
          <w:spacing w:val="-3"/>
          <w:sz w:val="22"/>
        </w:rPr>
      </w:pPr>
      <w:r w:rsidRPr="006A4453">
        <w:rPr>
          <w:rFonts w:ascii="Arial Narrow" w:hAnsi="Arial Narrow" w:cs="Arial Narrow"/>
          <w:color w:val="000000"/>
          <w:spacing w:val="-3"/>
          <w:sz w:val="22"/>
        </w:rPr>
        <w:t xml:space="preserve">Pełna nazwa urządzenia, </w:t>
      </w:r>
      <w:r w:rsidR="002955EE" w:rsidRPr="006A4453">
        <w:rPr>
          <w:rFonts w:ascii="Arial Narrow" w:hAnsi="Arial Narrow" w:cs="Arial Narrow"/>
          <w:color w:val="000000"/>
          <w:spacing w:val="-3"/>
          <w:sz w:val="22"/>
        </w:rPr>
        <w:t>Model/Typ</w:t>
      </w:r>
      <w:r w:rsidRPr="006A4453">
        <w:rPr>
          <w:rFonts w:ascii="Arial Narrow" w:hAnsi="Arial Narrow" w:cs="Arial Narrow"/>
          <w:color w:val="000000"/>
          <w:spacing w:val="-3"/>
          <w:sz w:val="22"/>
        </w:rPr>
        <w:t>: ………………………………………………………………………………..…………………………………………</w:t>
      </w:r>
      <w:r w:rsidR="00EE7CB6" w:rsidRPr="006A4453">
        <w:rPr>
          <w:rFonts w:ascii="Arial Narrow" w:hAnsi="Arial Narrow" w:cs="Arial Narrow"/>
          <w:color w:val="000000"/>
          <w:spacing w:val="-3"/>
          <w:sz w:val="22"/>
        </w:rPr>
        <w:t>……………………………………………</w:t>
      </w:r>
      <w:r w:rsidR="006A4453">
        <w:rPr>
          <w:rFonts w:ascii="Arial Narrow" w:hAnsi="Arial Narrow" w:cs="Arial Narrow"/>
          <w:color w:val="000000"/>
          <w:spacing w:val="-3"/>
          <w:sz w:val="22"/>
        </w:rPr>
        <w:t>..</w:t>
      </w:r>
      <w:r w:rsidR="00EE7CB6" w:rsidRPr="006A4453">
        <w:rPr>
          <w:rFonts w:ascii="Arial Narrow" w:hAnsi="Arial Narrow" w:cs="Arial Narrow"/>
          <w:color w:val="000000"/>
          <w:spacing w:val="-3"/>
          <w:sz w:val="22"/>
        </w:rPr>
        <w:t>.</w:t>
      </w:r>
    </w:p>
    <w:p w14:paraId="6BDE0909" w14:textId="3B859E97" w:rsidR="001D7C50" w:rsidRPr="006A4453" w:rsidRDefault="001D7C50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color w:val="000000"/>
          <w:spacing w:val="-3"/>
          <w:sz w:val="22"/>
        </w:rPr>
      </w:pPr>
      <w:r w:rsidRPr="006A4453">
        <w:rPr>
          <w:rFonts w:ascii="Arial Narrow" w:hAnsi="Arial Narrow" w:cs="Arial Narrow"/>
          <w:color w:val="000000"/>
          <w:spacing w:val="-3"/>
          <w:sz w:val="22"/>
        </w:rPr>
        <w:t>Producent: ……………………………………………………….…………………………………………………………………………………………………</w:t>
      </w:r>
      <w:r w:rsidR="00EE7CB6" w:rsidRPr="006A4453">
        <w:rPr>
          <w:rFonts w:ascii="Arial Narrow" w:hAnsi="Arial Narrow" w:cs="Arial Narrow"/>
          <w:color w:val="000000"/>
          <w:spacing w:val="-3"/>
          <w:sz w:val="22"/>
        </w:rPr>
        <w:t>…………………………………………</w:t>
      </w:r>
      <w:r w:rsidR="006A4453">
        <w:rPr>
          <w:rFonts w:ascii="Arial Narrow" w:hAnsi="Arial Narrow" w:cs="Arial Narrow"/>
          <w:color w:val="000000"/>
          <w:spacing w:val="-3"/>
          <w:sz w:val="22"/>
        </w:rPr>
        <w:t>.</w:t>
      </w:r>
      <w:r w:rsidR="00EE7CB6" w:rsidRPr="006A4453">
        <w:rPr>
          <w:rFonts w:ascii="Arial Narrow" w:hAnsi="Arial Narrow" w:cs="Arial Narrow"/>
          <w:color w:val="000000"/>
          <w:spacing w:val="-3"/>
          <w:sz w:val="22"/>
        </w:rPr>
        <w:t>….</w:t>
      </w:r>
    </w:p>
    <w:p w14:paraId="03077D3A" w14:textId="48D2615D" w:rsidR="00EE7CB6" w:rsidRPr="006A4453" w:rsidRDefault="00EE7CB6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sz w:val="22"/>
        </w:rPr>
      </w:pPr>
      <w:r w:rsidRPr="006A4453">
        <w:rPr>
          <w:rFonts w:ascii="Arial Narrow" w:hAnsi="Arial Narrow" w:cs="Arial Narrow"/>
          <w:sz w:val="22"/>
        </w:rPr>
        <w:t>Kraj pochodzenia: …………………………………………………………………………………………………………………………………………………………………………………………</w:t>
      </w:r>
      <w:r w:rsidR="006A4453">
        <w:rPr>
          <w:rFonts w:ascii="Arial Narrow" w:hAnsi="Arial Narrow" w:cs="Arial Narrow"/>
          <w:sz w:val="22"/>
        </w:rPr>
        <w:t>…</w:t>
      </w:r>
      <w:r w:rsidRPr="006A4453">
        <w:rPr>
          <w:rFonts w:ascii="Arial Narrow" w:hAnsi="Arial Narrow" w:cs="Arial Narrow"/>
          <w:sz w:val="22"/>
        </w:rPr>
        <w:t>.</w:t>
      </w:r>
    </w:p>
    <w:p w14:paraId="00C117D2" w14:textId="0874C71E" w:rsidR="002955EE" w:rsidRPr="006A4453" w:rsidRDefault="002955EE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sz w:val="22"/>
        </w:rPr>
      </w:pPr>
      <w:r w:rsidRPr="006A4453">
        <w:rPr>
          <w:rFonts w:ascii="Arial Narrow" w:hAnsi="Arial Narrow" w:cs="Arial Narrow"/>
          <w:sz w:val="22"/>
        </w:rPr>
        <w:t>Rok produkcji: 2024 rok</w:t>
      </w:r>
    </w:p>
    <w:p w14:paraId="18DE1B06" w14:textId="28812239" w:rsidR="00EE7CB6" w:rsidRPr="00EE7CB6" w:rsidRDefault="00EE7CB6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sz w:val="22"/>
        </w:rPr>
      </w:pPr>
      <w:r w:rsidRPr="00EE7CB6">
        <w:rPr>
          <w:rFonts w:ascii="Arial Narrow" w:hAnsi="Arial Narrow" w:cs="Arial Narrow"/>
          <w:sz w:val="22"/>
        </w:rPr>
        <w:t>Nazwa zakładu serwisowego: ………………………………………………………………………………..…………………………………………………………………………………………</w:t>
      </w:r>
      <w:r>
        <w:rPr>
          <w:rFonts w:ascii="Arial Narrow" w:hAnsi="Arial Narrow" w:cs="Arial Narrow"/>
          <w:sz w:val="22"/>
        </w:rPr>
        <w:t>…..</w:t>
      </w:r>
    </w:p>
    <w:p w14:paraId="1BBF8668" w14:textId="7EC74E15" w:rsidR="00EE7CB6" w:rsidRPr="00EE7CB6" w:rsidRDefault="00EE7CB6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sz w:val="22"/>
        </w:rPr>
      </w:pPr>
      <w:r w:rsidRPr="00EE7CB6">
        <w:rPr>
          <w:rFonts w:ascii="Arial Narrow" w:hAnsi="Arial Narrow" w:cs="Arial Narrow"/>
          <w:sz w:val="22"/>
        </w:rPr>
        <w:t>Adres zakładu serwisowego: ……………………………………………………….……………………………………………………………………………………………………………………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22"/>
        </w:rPr>
        <w:t>….</w:t>
      </w:r>
    </w:p>
    <w:p w14:paraId="5B5935E0" w14:textId="6AD20A76" w:rsidR="00EE7CB6" w:rsidRPr="00EE7CB6" w:rsidRDefault="00EE7CB6" w:rsidP="006A4453">
      <w:pPr>
        <w:shd w:val="clear" w:color="auto" w:fill="FFFFFF"/>
        <w:spacing w:line="360" w:lineRule="auto"/>
        <w:ind w:left="595"/>
        <w:rPr>
          <w:rFonts w:ascii="Arial Narrow" w:hAnsi="Arial Narrow" w:cs="Arial Narrow"/>
          <w:sz w:val="22"/>
        </w:rPr>
      </w:pPr>
      <w:r w:rsidRPr="00EE7CB6">
        <w:rPr>
          <w:rFonts w:ascii="Arial Narrow" w:hAnsi="Arial Narrow" w:cs="Arial Narrow"/>
          <w:sz w:val="22"/>
        </w:rPr>
        <w:t>Nr tel. oraz adres e-mail zakładu serwisowego: 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22"/>
        </w:rPr>
        <w:t>….</w:t>
      </w:r>
    </w:p>
    <w:p w14:paraId="63DECCA3" w14:textId="77777777" w:rsidR="001D7C50" w:rsidRPr="006A4453" w:rsidRDefault="001D7C50" w:rsidP="006A4453">
      <w:pPr>
        <w:rPr>
          <w:rFonts w:ascii="Arial Narrow" w:hAnsi="Arial Narrow" w:cs="Arial Narrow"/>
          <w:sz w:val="22"/>
        </w:rPr>
      </w:pPr>
    </w:p>
    <w:tbl>
      <w:tblPr>
        <w:tblpPr w:leftFromText="141" w:rightFromText="141" w:vertAnchor="text" w:tblpX="557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5930"/>
        <w:gridCol w:w="2160"/>
        <w:gridCol w:w="2977"/>
        <w:gridCol w:w="2698"/>
      </w:tblGrid>
      <w:tr w:rsidR="001D7C50" w:rsidRPr="002D2A79" w14:paraId="7CAB699C" w14:textId="77777777" w:rsidTr="006A4453">
        <w:trPr>
          <w:trHeight w:val="71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5D80F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28CE29" w14:textId="77777777" w:rsidR="001D7C50" w:rsidRPr="002D2A79" w:rsidRDefault="001D7C50" w:rsidP="00EE7CB6">
            <w:pPr>
              <w:pStyle w:val="Nagwek1"/>
              <w:spacing w:line="276" w:lineRule="auto"/>
              <w:rPr>
                <w:rFonts w:ascii="Arial" w:hAnsi="Arial" w:cs="Arial"/>
                <w:sz w:val="20"/>
              </w:rPr>
            </w:pPr>
            <w:r w:rsidRPr="002D2A79">
              <w:rPr>
                <w:rFonts w:ascii="Arial" w:hAnsi="Arial" w:cs="Arial"/>
                <w:sz w:val="20"/>
              </w:rPr>
              <w:t>Opis parametru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79B350" w14:textId="6E52324A" w:rsidR="001D7C50" w:rsidRPr="002D2A79" w:rsidRDefault="00F77301" w:rsidP="00EE7CB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Wymagana wartość parametru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0FBA7" w14:textId="755EC0D2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="002955EE"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/parametr</w:t>
            </w: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oferowan</w:t>
            </w:r>
            <w:r w:rsidR="002955EE"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E540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  <w:p w14:paraId="55C188D6" w14:textId="77777777" w:rsidR="001D7C50" w:rsidRPr="002D2A79" w:rsidRDefault="001D7C50" w:rsidP="00EE7CB6">
            <w:pPr>
              <w:spacing w:line="276" w:lineRule="auto"/>
              <w:ind w:left="3350" w:right="-25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C50" w:rsidRPr="002D2A79" w14:paraId="5B69FD1D" w14:textId="77777777" w:rsidTr="006A4453">
        <w:trPr>
          <w:trHeight w:val="2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FF752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3EB0E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14CC21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E7FBC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1F5C" w14:textId="77777777" w:rsidR="001D7C50" w:rsidRPr="002D2A79" w:rsidRDefault="001D7C50" w:rsidP="00EE7CB6">
            <w:pPr>
              <w:snapToGrid w:val="0"/>
              <w:spacing w:line="276" w:lineRule="auto"/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</w:tr>
      <w:tr w:rsidR="001D7C50" w:rsidRPr="002D2A79" w14:paraId="47DAF722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0C202292" w14:textId="77777777" w:rsidR="001D7C50" w:rsidRPr="002D2A79" w:rsidRDefault="001D7C50" w:rsidP="00EE7CB6">
            <w:pPr>
              <w:snapToGrid w:val="0"/>
              <w:spacing w:line="276" w:lineRule="auto"/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I. WYMAGANIA OGÓLNE</w:t>
            </w:r>
          </w:p>
        </w:tc>
      </w:tr>
      <w:tr w:rsidR="001D7C50" w:rsidRPr="002D2A79" w14:paraId="652C4ECA" w14:textId="77777777" w:rsidTr="006A4453">
        <w:trPr>
          <w:trHeight w:val="72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47A0C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EED7F0" w14:textId="5B65567C" w:rsidR="001D7C50" w:rsidRPr="002D2A79" w:rsidRDefault="001D7C50" w:rsidP="008508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 xml:space="preserve">Tomograf </w:t>
            </w:r>
            <w:r w:rsidR="00EE7CB6">
              <w:t xml:space="preserve"> </w:t>
            </w:r>
            <w:r w:rsidR="00EE7CB6" w:rsidRPr="00EE7CB6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komputerowy </w:t>
            </w: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nowy wyprodukowany w 2024 roku, nieużywany, nie rekondycjonowany, w najnowszej wersji sprzętowej i oprogramowania na dzień składania oferty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F0B80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C8E3F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A35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B710A87" w14:textId="77777777" w:rsidTr="006A4453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D77897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3A378F" w14:textId="7A1C8860" w:rsidR="001D7C50" w:rsidRPr="002D2A79" w:rsidRDefault="0085087F" w:rsidP="0085087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 xml:space="preserve">Tomograf komputerowy całego ciała, umożliwiający uzyskanie min. 64 warstw badanego obszaru w czasie jednego pełnego obrotu układu lampa-detektor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7248C9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75F06B6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Podać ilość </w:t>
            </w:r>
          </w:p>
          <w:p w14:paraId="539136B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warstw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ED69C5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6922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C11D5C7" w14:textId="77777777" w:rsidTr="006A4453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ADBA5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D207D2" w14:textId="681FAC59" w:rsidR="001D7C50" w:rsidRPr="002D2A79" w:rsidRDefault="0085087F" w:rsidP="00EE7CB6">
            <w:pPr>
              <w:snapToGrid w:val="0"/>
              <w:spacing w:line="276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D7C50" w:rsidRPr="002D2A79">
              <w:rPr>
                <w:rFonts w:ascii="Arial" w:hAnsi="Arial" w:cs="Arial"/>
                <w:color w:val="000000"/>
                <w:sz w:val="20"/>
                <w:szCs w:val="20"/>
              </w:rPr>
              <w:t>Detektor min. 32 rzędowy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83054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E6EC76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Podać ilość </w:t>
            </w:r>
          </w:p>
          <w:p w14:paraId="5AE51E0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rzędów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BEABD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5BA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A017416" w14:textId="77777777" w:rsidTr="006A4453">
        <w:trPr>
          <w:trHeight w:val="1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43062A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04F0C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Tomograf umożliwiający:</w:t>
            </w:r>
          </w:p>
          <w:p w14:paraId="0CF57EBE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 badania klatki piersiowej, kręgosłupa, jamy brzusznej i miednicy wraz z wielofazowymi badaniami narządów tych obszarów anatomicznych,</w:t>
            </w:r>
          </w:p>
          <w:p w14:paraId="410BEA68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-badania naczyń domózgowych, wewnątrzczaszkowych, dużych naczyń oraz naczyń obwodowych,</w:t>
            </w:r>
          </w:p>
          <w:p w14:paraId="012C7825" w14:textId="20D847CE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</w:t>
            </w:r>
            <w:r w:rsidR="008508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2A79">
              <w:rPr>
                <w:rFonts w:ascii="Arial" w:hAnsi="Arial" w:cs="Arial"/>
                <w:sz w:val="20"/>
                <w:szCs w:val="20"/>
              </w:rPr>
              <w:t>akwizycję submilimetrową niewielkich struktur anatomicznych</w:t>
            </w:r>
          </w:p>
          <w:p w14:paraId="2209C72F" w14:textId="28FC5552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lastRenderedPageBreak/>
              <w:t>- badania wielonarządowe w zakresie min. 15</w:t>
            </w:r>
            <w:r w:rsidR="00EF4F1F">
              <w:rPr>
                <w:rFonts w:ascii="Arial" w:hAnsi="Arial" w:cs="Arial"/>
                <w:sz w:val="20"/>
                <w:szCs w:val="20"/>
              </w:rPr>
              <w:t>0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2B223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lastRenderedPageBreak/>
              <w:t xml:space="preserve">TAK/podać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CBF8D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677DF" w14:textId="5DD71F4A" w:rsidR="00EE7CB6" w:rsidRPr="00EE7CB6" w:rsidRDefault="001D7C50" w:rsidP="0085087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5C4B6F" w14:paraId="44AD2E44" w14:textId="77777777" w:rsidTr="006A4453">
        <w:trPr>
          <w:trHeight w:val="69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CF542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CF034" w14:textId="77777777" w:rsidR="001D7C50" w:rsidRPr="002D2A79" w:rsidRDefault="001D7C50" w:rsidP="00EE7C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Certyfikaty i świadectwa dla tomografu komputerowego:</w:t>
            </w:r>
          </w:p>
          <w:p w14:paraId="26F7DB07" w14:textId="77777777" w:rsidR="001D7C50" w:rsidRPr="002D2A79" w:rsidRDefault="001D7C50" w:rsidP="00EE7C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 deklaracja zgodności dla oferowanego typu tomografu,</w:t>
            </w:r>
          </w:p>
          <w:p w14:paraId="0D9A50BF" w14:textId="77777777" w:rsidR="001D7C50" w:rsidRPr="002D2A79" w:rsidRDefault="001D7C50" w:rsidP="00EE7CB6">
            <w:pPr>
              <w:pStyle w:val="AbsatzTableFormat"/>
              <w:snapToGrid w:val="0"/>
              <w:spacing w:line="276" w:lineRule="auto"/>
              <w:rPr>
                <w:rFonts w:ascii="Arial" w:eastAsia="Times New Roman" w:hAnsi="Arial" w:cs="Arial"/>
                <w:szCs w:val="20"/>
              </w:rPr>
            </w:pPr>
            <w:r w:rsidRPr="002D2A79">
              <w:rPr>
                <w:rFonts w:ascii="Arial" w:hAnsi="Arial" w:cs="Arial"/>
                <w:szCs w:val="20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18618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61CC4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6E35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88F1349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42D4CB7B" w14:textId="77777777" w:rsidR="001D7C50" w:rsidRPr="002D2A79" w:rsidRDefault="001D7C50" w:rsidP="00EE7CB6">
            <w:pPr>
              <w:snapToGrid w:val="0"/>
              <w:spacing w:line="276" w:lineRule="auto"/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II. GANTRY i STÓŁ</w:t>
            </w:r>
          </w:p>
        </w:tc>
      </w:tr>
      <w:tr w:rsidR="001D7C50" w:rsidRPr="002D2A79" w14:paraId="3770079A" w14:textId="77777777" w:rsidTr="006A4453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E3BD0D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D853FE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Średnica otworu gantry  [cm]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1B20E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≥</w:t>
            </w:r>
            <w:r w:rsidRPr="002D2A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ADC11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6C65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C9AB1C7" w14:textId="77777777" w:rsidTr="006A4453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E07F87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893D0D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Głębokość gantry [cm]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F801D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6BD1C7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0E8AB" w14:textId="46146DA0" w:rsidR="001D7C50" w:rsidRPr="002D2A79" w:rsidRDefault="005C4B6F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B200830" w14:textId="77777777" w:rsidTr="006A4453">
        <w:trPr>
          <w:trHeight w:val="3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A2E7F8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AA1CA5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Pochylanie </w:t>
            </w:r>
            <w:r w:rsidRPr="002D2A79">
              <w:rPr>
                <w:rFonts w:ascii="Arial" w:hAnsi="Arial" w:cs="Arial"/>
                <w:bCs/>
                <w:sz w:val="20"/>
                <w:szCs w:val="20"/>
              </w:rPr>
              <w:t xml:space="preserve">fizyczne </w:t>
            </w: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2A79">
              <w:rPr>
                <w:rFonts w:ascii="Arial" w:hAnsi="Arial" w:cs="Arial"/>
                <w:sz w:val="20"/>
                <w:szCs w:val="20"/>
              </w:rPr>
              <w:t>gantry w zakresie min. ±25 st.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989AE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C3CAB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23D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B55CA3E" w14:textId="77777777" w:rsidTr="006A4453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6D070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D7189A" w14:textId="0CAD3EFA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Maksymalne obciążenie stołu min. 2</w:t>
            </w:r>
            <w:r w:rsidR="008B7782">
              <w:rPr>
                <w:rFonts w:ascii="Arial" w:hAnsi="Arial" w:cs="Arial"/>
                <w:sz w:val="20"/>
                <w:szCs w:val="20"/>
              </w:rPr>
              <w:t>20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D7A376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A6C5B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B4A1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7944E16" w14:textId="77777777" w:rsidTr="006A4453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3C725B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FBF1FC" w14:textId="2F8E3758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Kamera zintegrowana z gantry do obserwacji zachowań pacjenta, z funkcją zbliżenia widoku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7F4417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63DD47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CC1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769EDD1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0A686D5D" w14:textId="77777777" w:rsidTr="006A4453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848BB8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F0D0A2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Moduł synchronizacji akwizycji z zapisem EKG na gantry lub na statywie zewnętrznym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80B8EF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4379BF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74D3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E1D07B1" w14:textId="77777777" w:rsidTr="006A4453">
        <w:trPr>
          <w:trHeight w:val="5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3850CA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804495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rozpoczęcia skanowania bezpośrednio z panelu dotykowego lub tabletu montowanego na gantry tomografu, za pomocą jednego kliknięcia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D3AA86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41987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108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D0B26AD" w14:textId="77777777" w:rsidTr="006A4453">
        <w:trPr>
          <w:trHeight w:val="3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BD018B" w14:textId="77777777" w:rsidR="001D7C50" w:rsidRPr="002D2A79" w:rsidRDefault="001D7C50" w:rsidP="00EE7CB6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10F3A" w14:textId="77777777" w:rsidR="001D7C50" w:rsidRPr="002D2A79" w:rsidRDefault="001D7C50" w:rsidP="00EE7CB6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E22D30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Wyposażenie stołu w:</w:t>
            </w:r>
          </w:p>
          <w:p w14:paraId="48EC73DD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 materac,</w:t>
            </w:r>
          </w:p>
          <w:p w14:paraId="3225AE91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 podpórkę pod głowę pozbawioną elementów metalowych,</w:t>
            </w:r>
          </w:p>
          <w:p w14:paraId="6AA6BCE0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- pasy lub listwy unieruchamiające </w:t>
            </w:r>
          </w:p>
          <w:p w14:paraId="19A8D32A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 podpórka pod głowę i ręce, kolana i nogi</w:t>
            </w:r>
          </w:p>
          <w:p w14:paraId="7CB9BA69" w14:textId="0642A5BA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- uc</w:t>
            </w:r>
            <w:r w:rsidR="0085087F">
              <w:rPr>
                <w:rFonts w:ascii="Arial" w:hAnsi="Arial" w:cs="Arial"/>
                <w:sz w:val="20"/>
                <w:szCs w:val="20"/>
              </w:rPr>
              <w:t>h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wyt lub inne </w:t>
            </w:r>
            <w:r w:rsidR="0085087F" w:rsidRPr="002D2A79">
              <w:rPr>
                <w:rFonts w:ascii="Arial" w:hAnsi="Arial" w:cs="Arial"/>
                <w:sz w:val="20"/>
                <w:szCs w:val="20"/>
              </w:rPr>
              <w:t>rozwiązanie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na rolkę papierową o szer. min. 55 cm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314B45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21A376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900D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E36212D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0FD7A087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III. GENERATOR I LAMPA RTG</w:t>
            </w:r>
          </w:p>
        </w:tc>
      </w:tr>
      <w:tr w:rsidR="001D7C50" w:rsidRPr="002D2A79" w14:paraId="54999B2B" w14:textId="77777777" w:rsidTr="006A4453">
        <w:trPr>
          <w:trHeight w:val="59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A395C9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62313" w14:textId="1EAE3D32" w:rsidR="001D7C50" w:rsidRPr="002D2A79" w:rsidRDefault="001D7C50" w:rsidP="00EE7CB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Rzeczywista moc generatora przy skanie jednoenergetycznym  ≥</w:t>
            </w:r>
            <w:r w:rsidR="00F77301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 </w:t>
            </w: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7</w:t>
            </w:r>
            <w:r w:rsidR="00EF5873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2</w:t>
            </w: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kW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6C6EB0" w14:textId="5E676546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DF2729" w14:textId="77777777" w:rsidR="001D7C50" w:rsidRPr="002D2A79" w:rsidRDefault="001D7C50" w:rsidP="00EE7CB6">
            <w:pPr>
              <w:snapToGrid w:val="0"/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B866" w14:textId="77777777" w:rsidR="00403E03" w:rsidRPr="00403E03" w:rsidRDefault="00403E03" w:rsidP="00403E03">
            <w:pPr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</w:pPr>
            <w:r w:rsidRPr="00403E03"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  <w:t>&gt; 72 kW – 1 pkt</w:t>
            </w:r>
          </w:p>
          <w:p w14:paraId="092E69B3" w14:textId="72059B79" w:rsidR="001D7C50" w:rsidRPr="002D2A79" w:rsidRDefault="00EE18EF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8EF">
              <w:rPr>
                <w:rFonts w:ascii="Arial" w:hAnsi="Arial" w:cs="Arial"/>
                <w:color w:val="388600"/>
                <w:sz w:val="20"/>
                <w:szCs w:val="20"/>
              </w:rPr>
              <w:t>= 72 kW – 0 pkt</w:t>
            </w:r>
          </w:p>
        </w:tc>
      </w:tr>
      <w:tr w:rsidR="001D7C50" w:rsidRPr="002D2A79" w14:paraId="349ECCC1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E2A1BB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345FF" w14:textId="77777777" w:rsidR="001D7C50" w:rsidRPr="002D2A79" w:rsidRDefault="001D7C50" w:rsidP="00EE7CB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Minimalne napięcie anody, możliwe do zastosowania w protokołach badań ≤ 80 kV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8110EB" w14:textId="2FEAFE68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2D393" w14:textId="77777777" w:rsidR="001D7C50" w:rsidRPr="002D2A79" w:rsidRDefault="001D7C50" w:rsidP="00EE7CB6">
            <w:pPr>
              <w:snapToGrid w:val="0"/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837DE" w14:textId="77777777" w:rsidR="00403E03" w:rsidRPr="00403E03" w:rsidRDefault="00403E03" w:rsidP="00403E03">
            <w:pPr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</w:pPr>
            <w:r w:rsidRPr="00403E03"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  <w:t>&lt; 80 kV – 1 pkt</w:t>
            </w:r>
          </w:p>
          <w:p w14:paraId="6086F62B" w14:textId="5FA66D48" w:rsidR="001D7C50" w:rsidRPr="002D2A79" w:rsidRDefault="00EE18EF" w:rsidP="004C216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8EF">
              <w:rPr>
                <w:rFonts w:ascii="Arial" w:hAnsi="Arial" w:cs="Arial"/>
                <w:color w:val="388600"/>
                <w:sz w:val="20"/>
                <w:szCs w:val="20"/>
              </w:rPr>
              <w:t>=</w:t>
            </w:r>
            <w:r w:rsidR="004C216D" w:rsidRPr="00EE18EF">
              <w:rPr>
                <w:rFonts w:ascii="Arial" w:hAnsi="Arial" w:cs="Arial"/>
                <w:color w:val="388600"/>
                <w:sz w:val="20"/>
                <w:szCs w:val="20"/>
              </w:rPr>
              <w:t xml:space="preserve"> 80 kV – 0 pkt</w:t>
            </w:r>
          </w:p>
        </w:tc>
      </w:tr>
      <w:tr w:rsidR="001D7C50" w:rsidRPr="002D2A79" w14:paraId="5C16A4DE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21C8A0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A8B06" w14:textId="77777777" w:rsidR="001D7C50" w:rsidRPr="002D2A79" w:rsidRDefault="001D7C50" w:rsidP="00EE7CB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Maksymalne napięcie anody, możliwe do zastosowania w protokołach badań ≥ 140 kV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44A69" w14:textId="10A19A62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B760D5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9A636" w14:textId="77777777" w:rsidR="00403E03" w:rsidRPr="00403E03" w:rsidRDefault="00403E03" w:rsidP="00403E03">
            <w:pPr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</w:pPr>
            <w:r w:rsidRPr="00403E03"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  <w:t>&gt;140 kV – 1 pkt</w:t>
            </w:r>
          </w:p>
          <w:p w14:paraId="3E7CFD85" w14:textId="447E0200" w:rsidR="001D7C50" w:rsidRPr="002D2A79" w:rsidRDefault="00EE18EF" w:rsidP="004C216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8EF">
              <w:rPr>
                <w:rFonts w:ascii="Arial" w:hAnsi="Arial" w:cs="Arial"/>
                <w:color w:val="388600"/>
                <w:sz w:val="20"/>
                <w:szCs w:val="20"/>
              </w:rPr>
              <w:t>=</w:t>
            </w:r>
            <w:r w:rsidR="004C216D" w:rsidRPr="00EE18EF">
              <w:rPr>
                <w:rFonts w:ascii="Arial" w:hAnsi="Arial" w:cs="Arial"/>
                <w:color w:val="388600"/>
                <w:sz w:val="20"/>
                <w:szCs w:val="20"/>
              </w:rPr>
              <w:t>140 kV – 0 pkt</w:t>
            </w:r>
          </w:p>
        </w:tc>
      </w:tr>
      <w:tr w:rsidR="001D7C50" w:rsidRPr="002D2A79" w14:paraId="550E1DAB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BFB269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C5736" w14:textId="77777777" w:rsidR="001D7C50" w:rsidRPr="002D2A79" w:rsidRDefault="001D7C50" w:rsidP="00EE7CB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Liczba nastaw napięcia anody, możliwa do zastosowania w protokołach badań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A9034" w14:textId="3A367DAC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1AEFB6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AE445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&gt; 7 – 1 pkt</w:t>
            </w:r>
          </w:p>
          <w:p w14:paraId="2DC40C06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&lt; 7 – 0 pkt</w:t>
            </w:r>
          </w:p>
        </w:tc>
      </w:tr>
      <w:tr w:rsidR="001D7C50" w:rsidRPr="002D2A79" w14:paraId="7196E11F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94FAA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605766" w14:textId="46B33E15" w:rsidR="001D7C50" w:rsidRPr="002D2A79" w:rsidRDefault="001D7C50" w:rsidP="00EE7CB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Prąd lampy przy skanie jednoenergetycznym ≥ </w:t>
            </w:r>
            <w:r w:rsidR="00EF5873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550</w:t>
            </w: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059429" w14:textId="730E63F5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1B3E6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31C6" w14:textId="77777777" w:rsidR="00403E03" w:rsidRPr="00403E03" w:rsidRDefault="00403E03" w:rsidP="00403E03">
            <w:pPr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</w:pPr>
            <w:r w:rsidRPr="00403E03">
              <w:rPr>
                <w:rFonts w:ascii="Calibri" w:eastAsia="Calibri" w:hAnsi="Calibri" w:cs="Calibri"/>
                <w:color w:val="FF0000"/>
                <w:kern w:val="2"/>
                <w:sz w:val="21"/>
                <w:szCs w:val="21"/>
                <w:lang w:eastAsia="en-US"/>
              </w:rPr>
              <w:t>&gt; 550 mA – 1 pkt</w:t>
            </w:r>
          </w:p>
          <w:p w14:paraId="0F595823" w14:textId="249F8375" w:rsidR="001D7C50" w:rsidRPr="002D2A79" w:rsidRDefault="00EE18EF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8EF">
              <w:rPr>
                <w:rFonts w:ascii="Arial" w:hAnsi="Arial" w:cs="Arial"/>
                <w:color w:val="388600"/>
                <w:sz w:val="20"/>
                <w:szCs w:val="20"/>
              </w:rPr>
              <w:t>=</w:t>
            </w:r>
            <w:r w:rsidR="001D7C50" w:rsidRPr="00EE18EF">
              <w:rPr>
                <w:rFonts w:ascii="Arial" w:hAnsi="Arial" w:cs="Arial"/>
                <w:color w:val="388600"/>
                <w:sz w:val="20"/>
                <w:szCs w:val="20"/>
              </w:rPr>
              <w:t xml:space="preserve"> </w:t>
            </w:r>
            <w:r w:rsidR="00EF5873" w:rsidRPr="00EE18EF">
              <w:rPr>
                <w:rFonts w:ascii="Arial" w:hAnsi="Arial" w:cs="Arial"/>
                <w:color w:val="388600"/>
                <w:sz w:val="20"/>
                <w:szCs w:val="20"/>
              </w:rPr>
              <w:t>550</w:t>
            </w:r>
            <w:r w:rsidR="001D7C50" w:rsidRPr="00EE18EF">
              <w:rPr>
                <w:rFonts w:ascii="Arial" w:hAnsi="Arial" w:cs="Arial"/>
                <w:color w:val="388600"/>
                <w:sz w:val="20"/>
                <w:szCs w:val="20"/>
              </w:rPr>
              <w:t xml:space="preserve"> mA – 0 pkt</w:t>
            </w:r>
          </w:p>
        </w:tc>
      </w:tr>
      <w:tr w:rsidR="001D7C50" w:rsidRPr="002D2A79" w14:paraId="2CA95F3C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47669F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8C9D7" w14:textId="77777777" w:rsidR="001D7C50" w:rsidRPr="002D2A79" w:rsidRDefault="001D7C50" w:rsidP="00EE7CB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Niskodawkowe protokoły umożliwiające wykonywanie badań przy niskich nastawach napięcia 70 kV i jednocześnie wysokich prądach ≥ 800 mA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A3FC0B" w14:textId="1A3619A4" w:rsidR="001D7C50" w:rsidRPr="002D2A79" w:rsidRDefault="0085087F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092204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D322" w14:textId="2FFE2F89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 xml:space="preserve">  1 pkt</w:t>
            </w:r>
          </w:p>
          <w:p w14:paraId="6332BDD4" w14:textId="37CC0155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85087F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 xml:space="preserve"> 0 pkt</w:t>
            </w:r>
          </w:p>
        </w:tc>
      </w:tr>
      <w:tr w:rsidR="001D7C50" w:rsidRPr="002D2A79" w14:paraId="701A7D06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B745E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0B4B6" w14:textId="77777777" w:rsidR="001D7C50" w:rsidRPr="002D2A79" w:rsidRDefault="001D7C50" w:rsidP="00EE7CB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Rzeczywista pojemność cieplna anody lampy ≥ 7 MHU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217A36" w14:textId="1C184BF0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5A707D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4374" w14:textId="77777777" w:rsidR="001D7C50" w:rsidRPr="002D2A79" w:rsidRDefault="001D7C50" w:rsidP="00EE7CB6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DB57379" w14:textId="77777777" w:rsidTr="006A4453">
        <w:trPr>
          <w:trHeight w:val="4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3B3EC0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E3110F" w14:textId="020061CE" w:rsidR="001D7C50" w:rsidRPr="002D2A79" w:rsidRDefault="001D7C50" w:rsidP="00EE7CB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Szybkość chłodzenia lampy min. 1,</w:t>
            </w:r>
            <w:r w:rsidR="00EF5873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5</w:t>
            </w:r>
            <w:r w:rsidRPr="002D2A7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MHU/min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1246F6" w14:textId="751CD061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</w:t>
            </w:r>
            <w:r w:rsidR="0085087F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>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393565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2A2FF" w14:textId="77777777" w:rsidR="00403E03" w:rsidRDefault="00403E03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3E03">
              <w:rPr>
                <w:rFonts w:ascii="Arial" w:hAnsi="Arial" w:cs="Arial"/>
                <w:color w:val="FF0000"/>
                <w:sz w:val="20"/>
                <w:szCs w:val="20"/>
              </w:rPr>
              <w:t>&gt; 1,5  MHU/min – 1 pkt</w:t>
            </w:r>
          </w:p>
          <w:p w14:paraId="3E221CBE" w14:textId="02432582" w:rsidR="001D7C50" w:rsidRPr="002D2A79" w:rsidRDefault="00EE18EF" w:rsidP="00EE7CB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18EF">
              <w:rPr>
                <w:rFonts w:ascii="Arial" w:hAnsi="Arial" w:cs="Arial"/>
                <w:color w:val="388600"/>
                <w:sz w:val="20"/>
                <w:szCs w:val="20"/>
              </w:rPr>
              <w:t>=</w:t>
            </w:r>
            <w:r w:rsidR="001D7C50" w:rsidRPr="00EE18EF">
              <w:rPr>
                <w:rFonts w:ascii="Arial" w:hAnsi="Arial" w:cs="Arial"/>
                <w:color w:val="388600"/>
                <w:sz w:val="20"/>
                <w:szCs w:val="20"/>
              </w:rPr>
              <w:t xml:space="preserve"> 1,</w:t>
            </w:r>
            <w:r w:rsidR="00EF5873" w:rsidRPr="00EE18EF">
              <w:rPr>
                <w:rFonts w:ascii="Arial" w:hAnsi="Arial" w:cs="Arial"/>
                <w:color w:val="388600"/>
                <w:sz w:val="20"/>
                <w:szCs w:val="20"/>
              </w:rPr>
              <w:t>5</w:t>
            </w:r>
            <w:r w:rsidR="001D7C50" w:rsidRPr="00EE18EF">
              <w:rPr>
                <w:rFonts w:ascii="Arial" w:hAnsi="Arial" w:cs="Arial"/>
                <w:color w:val="388600"/>
                <w:sz w:val="20"/>
                <w:szCs w:val="20"/>
              </w:rPr>
              <w:t xml:space="preserve">  MHU/min – 0 pkt</w:t>
            </w:r>
          </w:p>
        </w:tc>
      </w:tr>
      <w:tr w:rsidR="001D7C50" w:rsidRPr="002D2A79" w14:paraId="1D6B348E" w14:textId="77777777" w:rsidTr="006A4453">
        <w:trPr>
          <w:trHeight w:val="51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1BC99D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127203" w14:textId="73E4EB44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Liczba ognisk lampy</w:t>
            </w:r>
            <w:r w:rsidR="0085087F">
              <w:rPr>
                <w:rFonts w:ascii="Arial" w:hAnsi="Arial" w:cs="Arial"/>
                <w:sz w:val="20"/>
                <w:szCs w:val="20"/>
              </w:rPr>
              <w:t xml:space="preserve"> rtg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ACBF2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2ECBE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63B8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87E7B21" w14:textId="77777777" w:rsidTr="006A4453">
        <w:trPr>
          <w:trHeight w:val="51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CBF398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4CD70D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Dodatkowy filtr dedykowany do eliminacji promieniowania o niższych od wykorzystywanych energiach do ograniczenia dawki promieniowania i optymalnej jakości obrazów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E2D67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4AEE7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B5DDD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203CD32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04BF1FE1" w14:textId="77777777" w:rsidTr="006A4453">
        <w:trPr>
          <w:trHeight w:val="51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467EA7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758218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Powierzchnia małego ogniska lampy rtg [mm²]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733C15" w14:textId="5DEA2A23" w:rsidR="001D7C50" w:rsidRPr="002D2A79" w:rsidRDefault="004A424E" w:rsidP="004A4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p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>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D4C99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8ED3" w14:textId="445C5022" w:rsidR="001D7C50" w:rsidRPr="002D2A79" w:rsidRDefault="004A424E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0EC394B" w14:textId="77777777" w:rsidTr="006A4453">
        <w:trPr>
          <w:trHeight w:val="35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6AB8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5ECA4F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Odległość ognisko lampy rtg – detektor mniejsza od 100 cm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840CFE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F35360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26152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97B1FB0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215EB60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IV. SYSTEM SKANOWANIA</w:t>
            </w:r>
          </w:p>
        </w:tc>
      </w:tr>
      <w:tr w:rsidR="001D7C50" w:rsidRPr="002D2A79" w14:paraId="288CA859" w14:textId="77777777" w:rsidTr="006A4453">
        <w:trPr>
          <w:trHeight w:val="4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7B6C4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F64C6C" w14:textId="77777777" w:rsidR="001D7C50" w:rsidRPr="002D2A79" w:rsidRDefault="001D7C50" w:rsidP="00EE7CB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DE702E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Najkrótszy czas pełnego </w:t>
            </w: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obrotu (360º ) układu lampa rtg – detektor [s]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8236E2" w14:textId="18C8908D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≤ 0,3</w:t>
            </w:r>
            <w:r w:rsidR="004A424E">
              <w:rPr>
                <w:rFonts w:ascii="Arial" w:hAnsi="Arial" w:cs="Arial"/>
                <w:sz w:val="20"/>
                <w:szCs w:val="20"/>
              </w:rPr>
              <w:t>5 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80347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0B4F" w14:textId="2E6F3572" w:rsidR="001D7C50" w:rsidRPr="002D2A79" w:rsidRDefault="004A424E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24E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31D1DD6" w14:textId="77777777" w:rsidTr="006A4453">
        <w:trPr>
          <w:trHeight w:val="4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231F39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718CB8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Grubość najcieńszej dostępnej warstwy rekonstruowanej z akwizycji wielowarstowej z maksymalną ilością warstw [mm]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3065D4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≤ 0,7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BF60EF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6B8D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0CAD65C" w14:textId="77777777" w:rsidTr="006A4453">
        <w:trPr>
          <w:trHeight w:val="4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0E9AF2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5B07AA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Maksymalna długość topogramu [cm]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41BEC0" w14:textId="0AE79D13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1</w:t>
            </w:r>
            <w:r w:rsidR="004A42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3FBC37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7C8D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sv-SE"/>
              </w:rPr>
              <w:t>Bez oceny</w:t>
            </w:r>
          </w:p>
        </w:tc>
      </w:tr>
      <w:tr w:rsidR="001D7C50" w:rsidRPr="002D2A79" w14:paraId="5E03D469" w14:textId="77777777" w:rsidTr="006A4453">
        <w:trPr>
          <w:trHeight w:val="52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8E568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9B0B82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Maksymalny zakres badania przy ciągłym skanie spiralnym/helikalnym, bez przerwy na chłodzenie lampy [cm]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53B1D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160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89ACEA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5DA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A6AC192" w14:textId="77777777" w:rsidTr="006A4453">
        <w:trPr>
          <w:trHeight w:val="52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F8A1C6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631CC6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Maksymalny czas skanu spiralnego/heliakalnego, bez przerwy na chłodzenie lampy [s]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53845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100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09B29C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5E7C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F77D183" w14:textId="77777777" w:rsidTr="006A4453">
        <w:trPr>
          <w:trHeight w:val="4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90E1E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7D314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Maksymalny zakres zmian wartość współczynnika pitch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A996E1" w14:textId="6676A2EB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>in. od 0,6 do 1,5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0E362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0CFFC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3C37E20" w14:textId="77777777" w:rsidTr="006A4453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AD55B2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BD75F6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Maksymalne, rekonstruowane pole obrazowania FOV [cm]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63589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50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49E32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6020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0D751DA" w14:textId="77777777" w:rsidTr="006A4453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CA449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B5A906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rekonstrukcji pola obrazowania wielkości średnicy gantry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221B20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7938F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B563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768F41A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1E073A1A" w14:textId="77777777" w:rsidTr="006A4453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C0778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673008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wykonywania skanu aksjalnego z gentry pochylanym w zakresie min. ±25 st.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AA678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5301A7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72C8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B14FBA7" w14:textId="77777777" w:rsidTr="006A4453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4CA9F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209317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wykonywania skanu spiralnego z gentry pochylanym w zakresie min. ±25 st.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B79B97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D8DF9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DDA6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D8F374A" w14:textId="77777777" w:rsidTr="006A4453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07010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FF8DC" w14:textId="77777777" w:rsidR="001D7C50" w:rsidRPr="002D2A79" w:rsidRDefault="001D7C50" w:rsidP="00EE7CB6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Akwizycja dwu energetyczna umożliwiająca uzyskanie dwóch zestawów danych badanej objętości dla minimum dwóch różnych energii promieniowania - różnych kV dla każdej z energii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BADF0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0BA20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2E7B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D17B5D5" w14:textId="77777777" w:rsidTr="006A4453">
        <w:trPr>
          <w:trHeight w:val="31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48B80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C8831D" w14:textId="0F58C172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Matryca rekonstrukcyjna min. 512</w:t>
            </w:r>
            <w:r w:rsidR="00696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2A79">
              <w:rPr>
                <w:rFonts w:ascii="Arial" w:hAnsi="Arial" w:cs="Arial"/>
                <w:sz w:val="20"/>
                <w:szCs w:val="20"/>
              </w:rPr>
              <w:t>x</w:t>
            </w:r>
            <w:r w:rsidR="00696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2A79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5ACD92" w14:textId="710EB38A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TAK/ </w:t>
            </w:r>
            <w:r w:rsidR="0085087F">
              <w:rPr>
                <w:rFonts w:ascii="Arial" w:hAnsi="Arial" w:cs="Arial"/>
                <w:sz w:val="20"/>
                <w:szCs w:val="20"/>
              </w:rPr>
              <w:t>p</w:t>
            </w:r>
            <w:r w:rsidRPr="002D2A79">
              <w:rPr>
                <w:rFonts w:ascii="Arial" w:hAnsi="Arial" w:cs="Arial"/>
                <w:sz w:val="20"/>
                <w:szCs w:val="20"/>
              </w:rPr>
              <w:t>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8D324E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FB320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638632C" w14:textId="77777777" w:rsidTr="006A4453">
        <w:trPr>
          <w:trHeight w:val="31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A772B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E985A5" w14:textId="20E4BD6D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Matryca prezentacyjna</w:t>
            </w:r>
            <w:r w:rsidR="00696A26">
              <w:t xml:space="preserve"> </w:t>
            </w:r>
            <w:r w:rsidR="00696A26">
              <w:rPr>
                <w:rFonts w:ascii="Arial" w:hAnsi="Arial" w:cs="Arial"/>
                <w:sz w:val="20"/>
                <w:szCs w:val="20"/>
              </w:rPr>
              <w:t>m</w:t>
            </w:r>
            <w:r w:rsidR="00696A26" w:rsidRPr="00696A26">
              <w:rPr>
                <w:rFonts w:ascii="Arial" w:hAnsi="Arial" w:cs="Arial"/>
                <w:sz w:val="20"/>
                <w:szCs w:val="20"/>
              </w:rPr>
              <w:t>in. 1024 x 1024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B8BB45" w14:textId="3764E797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F525FA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EAE7B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52C4B08" w14:textId="77777777" w:rsidTr="006A4453">
        <w:trPr>
          <w:trHeight w:val="4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417B8F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2DD7FF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Rozdzielczość wysokokontrastowa w płaszczyźnie x,y, mierzona w polu akwizycyjnym FOV=50 cm w punkcie 50% charakterystyki MTF [pl/cm]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C40A35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11,7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C8726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1A35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ACF3C13" w14:textId="77777777" w:rsidTr="006A4453">
        <w:trPr>
          <w:trHeight w:val="34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473B56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BC2C61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Rozdzielczość niskokontrastowa wizualna, przy różnicy gęstości 3 HU, określona dla najkrótszego skanu pełnego zmierzona na fantomie CATHPAN o średnicy 20 cm, dla napięcia ≥ 110 kV, dla warstwy 10 mm [mm]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FF72C9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≤ 5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E351EC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C0D3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  <w:p w14:paraId="79541C51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50" w:rsidRPr="002D2A79" w14:paraId="10A6DCE0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06710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EB991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Szybkość rekonstrukcji obrazów w czasie rzeczywistym z wykorzystaniem algorytmu iteracyjnego w rozdzielczości 512 x 512 pikseli [obrazów/s]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E1A0C1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≥ 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E0E4F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D34FE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23637FC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7446BA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CA471B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Niskodawkowy, iteracyjny algorytm rekonstrukcji bazujący na modelu z wielokrotnym przetwarzaniem tych samych danych surowych (RAW) oraz redukujący szum w obszarze obrazu, umożliwiający redukcję dawki o co najmniej 60% w relacji do standardowej metody rekonstrukcji wstecznej FBP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16A24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5BBACE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A623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BF28A9C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0EA93F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FA28B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8B5B01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2F0B27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D68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F3F0B3F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BC3CAA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70363A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 xml:space="preserve">Rozwiązanie do redukcji promieniowania jonizującego, dedykowane do zwiekszenia ochrony w trakcie badania szczególnie wrażliwych narządów np. oczu, tarczycy, piersi, itp.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DD1B45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C1BD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568B8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6E547EC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9F56C4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D05FBD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Dedykowany iteracyjny algorytm do redukcji artefaktów pochodzących od elementów metalowych w badanej anatomii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F5BAE4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0F7F8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B7C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A69284A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6504F64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V. KONSOLA OPERATORSKA</w:t>
            </w:r>
          </w:p>
        </w:tc>
      </w:tr>
      <w:tr w:rsidR="001D7C50" w:rsidRPr="002D2A79" w14:paraId="6D99F913" w14:textId="77777777" w:rsidTr="006A4453">
        <w:trPr>
          <w:trHeight w:val="42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3B4338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8EBF38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Stanowisko operatorskie – dwumonitorowa konsola akwizycyjna.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4A9532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4A6E70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9F45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0C8FBEE" w14:textId="77777777" w:rsidTr="006A4453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F53408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D9E090" w14:textId="59F8B69C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Przekątna kolorowego monitora z aktywną matrycą ciekłokrystaliczną typu Flat ["]</w:t>
            </w:r>
            <w:r w:rsidR="00696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26" w:rsidRPr="002D2A79">
              <w:rPr>
                <w:rFonts w:ascii="Arial" w:hAnsi="Arial" w:cs="Arial"/>
                <w:sz w:val="20"/>
                <w:szCs w:val="20"/>
              </w:rPr>
              <w:t>≥ 24 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88BCFF" w14:textId="7F712748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C73D74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D7B8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A4916CC" w14:textId="77777777" w:rsidTr="006A4453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5A609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6F9989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uruchomienia, w specyficznych przypadkach, badania z dowolnego miejsca spoza gantry tomografu i konsoli operatora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61F6C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445016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12D2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1EED8D0E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4EA2ADC2" w14:textId="77777777" w:rsidTr="006A4453">
        <w:trPr>
          <w:trHeight w:val="5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C593E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85DC9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wykorzystania np. tabletu do akwizycji badań, jako drugiego monitora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32E60D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B053A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A3E2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2049E9F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08329154" w14:textId="77777777" w:rsidTr="006A4453">
        <w:trPr>
          <w:trHeight w:val="59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F0C850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4180ED" w14:textId="5843EB4E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Pojemność dysku twardego dla obrazów bez kompresji (512x512), wyrażona liczbą obrazów</w:t>
            </w:r>
            <w:r w:rsidR="00696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26" w:rsidRPr="00696A26">
              <w:rPr>
                <w:rFonts w:ascii="Arial" w:hAnsi="Arial" w:cs="Arial"/>
                <w:sz w:val="20"/>
                <w:szCs w:val="20"/>
              </w:rPr>
              <w:t>≥ 450 000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FBD218" w14:textId="237589D8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B7E64A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A396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F9CBFE8" w14:textId="77777777" w:rsidTr="006A4453">
        <w:trPr>
          <w:trHeight w:val="4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FE033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CDCADE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EC6C7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0A8F9D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44735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91CA776" w14:textId="77777777" w:rsidTr="006A4453">
        <w:trPr>
          <w:trHeight w:val="8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7AE04D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FBCC95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Interfejs sieciowy zgodnie z DICOM 3.0 z następującymi klasami serwisowymi:                                                                 </w:t>
            </w:r>
          </w:p>
          <w:p w14:paraId="3DE4251B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en-US"/>
              </w:rPr>
              <w:t xml:space="preserve">- Send/Receive                                                                             </w:t>
            </w:r>
          </w:p>
          <w:p w14:paraId="74704064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en-US"/>
              </w:rPr>
              <w:t xml:space="preserve">- Basic Print                                                                                  </w:t>
            </w:r>
          </w:p>
          <w:p w14:paraId="11633664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en-US"/>
              </w:rPr>
              <w:t xml:space="preserve">- Query/ Retrieve </w:t>
            </w:r>
          </w:p>
          <w:p w14:paraId="262A49C2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- Storage Commitment  </w:t>
            </w:r>
          </w:p>
          <w:p w14:paraId="3F5C707E" w14:textId="77777777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- Worklist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546385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87AC5AD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E47F3" w14:textId="77777777" w:rsidR="001D7C50" w:rsidRPr="002D2A79" w:rsidRDefault="001D7C50" w:rsidP="00EE7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1B27C5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7905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2E853AA" w14:textId="77777777" w:rsidTr="006A4453">
        <w:trPr>
          <w:trHeight w:val="62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5109E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58096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Identyczny wygląd interfejsu konsoli operatorskiej oraz stacji lekarskich, oprogramowanie od jednego producenta.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52F7FF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0D51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AC870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DF65C2C" w14:textId="77777777" w:rsidTr="006A4453">
        <w:trPr>
          <w:trHeight w:val="54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E9EF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43288" w14:textId="77777777" w:rsidR="001D7C50" w:rsidRPr="002D2A79" w:rsidRDefault="001D7C50" w:rsidP="00EE7CB6">
            <w:pPr>
              <w:pStyle w:val="xdefault"/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Sprzężenie tomografu komputerowego ze strzykawką automatyczną kablem komunikacyjnym lub bezprzewodowo umożliwiającym wymianę danych pomiędzy urządzeniami – sprzężenie min. klasy IV wg standardu CIA 425,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9360F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FC1AEE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FA9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  <w:p w14:paraId="05169247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C50" w:rsidRPr="002D2A79" w14:paraId="4E8CDDAF" w14:textId="77777777" w:rsidTr="006A4453">
        <w:trPr>
          <w:trHeight w:val="6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3AEE87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DDBC7D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UPS z podtrzymaniem napięcia dla konsoli operatorskiej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94BC3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0625CF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5223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B2F7DD0" w14:textId="77777777" w:rsidTr="006A4453">
        <w:trPr>
          <w:trHeight w:val="6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215BAB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66179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wyświetlania informacji o pacjencie na wyświetlaczu zintegrowanym z gantry tomografu lub na urządzeniu przenośnym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963B31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69B7A5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FDB3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556D7E2" w14:textId="77777777" w:rsidTr="006A4453">
        <w:trPr>
          <w:trHeight w:val="6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FA80D6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D575B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Możliwość wyboru pacjenta z listy roboczej na wyświetlaczu zintegrowanym z gantry tomografu  lub na urządzeniu przenośnym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CE7B7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D2576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3527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16E227D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2FA4D438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VI. OPROGRAMOWANIE KONSOLI OPERATORSKIEJ</w:t>
            </w:r>
          </w:p>
        </w:tc>
      </w:tr>
      <w:tr w:rsidR="001D7C50" w:rsidRPr="002D2A79" w14:paraId="760161C9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2DED7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B3F06" w14:textId="77777777" w:rsidR="001D7C50" w:rsidRPr="002D2A79" w:rsidRDefault="001D7C50" w:rsidP="00EE7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DB8C0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MIP (Maximum Intensity Projection)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9562F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033117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F2D80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9BBBAAC" w14:textId="77777777" w:rsidTr="006A4453">
        <w:trPr>
          <w:trHeight w:val="57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11578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56B086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VRT (Volume Rendering Techique)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BEFB85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C3D3F1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687FD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72D0FC0" w14:textId="77777777" w:rsidTr="006A4453">
        <w:trPr>
          <w:trHeight w:val="4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F5101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76C6ED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Rekonstrukcje MPR (również skośne i krzywoliniowe z danych zbieranych przy dowolnym kącie gantry)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BA4F0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75E28E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151D5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92578DD" w14:textId="77777777" w:rsidTr="006A4453">
        <w:trPr>
          <w:trHeight w:val="3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C21B8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A60D24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Prezentacje cine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52D97E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6EB88D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AC3C6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D04FE96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9AB2E4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CDB15E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Pomiary geometryczne (długości / kątów / powierzchni / objętości)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A2323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C2D43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3843E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7D56F38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A7A5F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960CA9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Pomiary analityczne (pomiar poziomu gęstości, profile gęstości, analiza skanu dynamicznego).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0577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D8EA5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2FD1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F1BBCB4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1892D6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C5C6E8" w14:textId="77777777" w:rsidR="001D7C50" w:rsidRPr="002D2A79" w:rsidRDefault="001D7C50" w:rsidP="00EE7CB6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Obliczanie całkowitej dawki ekspozycyjnej (DLP lub CTDIvol), jaką uzyskał pacjent w trakcie badania i jej prezentacja na ekranie konsoli operatorskiej.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C575F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0C4F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15D78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F103265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2325D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6EE0B9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B00794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1F819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9356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11BFBCD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6A129A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58637A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ED2EBE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6E65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EB39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33F3AE5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97B972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B21950" w14:textId="77777777" w:rsidR="001D7C50" w:rsidRPr="002D2A79" w:rsidRDefault="001D7C50" w:rsidP="00EE7CB6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81F62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CD9CE0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7FB4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F3A919D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C318D7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9CCC0B" w14:textId="1DEC035C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Kompletny zestaw protokołów do badania wszystkich obszarów anatomicznych, z możliwością ich projektowania i zapamiętywania</w:t>
            </w:r>
            <w:r w:rsidR="00790EA0">
              <w:rPr>
                <w:rFonts w:ascii="Arial" w:hAnsi="Arial" w:cs="Arial"/>
                <w:sz w:val="20"/>
                <w:szCs w:val="20"/>
              </w:rPr>
              <w:t xml:space="preserve"> (z uwzględnieniem protokołów pediatrycznych)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4CADF7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BAD33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4DF63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9F359F0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F0F3C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5C90E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Oprogramowanie usuwające obraz struktury kostnej i stołu z pozostawieniem struktury naczyniowej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BEDFC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9C7A6A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0FE2A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0505435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CE2D5F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AF5F8A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Automatyczne, bez udziału operatora, ustawianie zakresu badania, dla danego pacjenta, na podstawie znaczników anatomicznych topogramu i wybranego protokołu badania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F11CA8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E525AE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7D73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751C209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BB4E46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B67ECF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Automatyczne, bez udziału operatora, prezentacja linii centralnej i oznaczenie głównych naczyń badanej anatomii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2BD1EC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2114FD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F07F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261F6CB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8DA04B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B52F6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Automatyczny, na bieżąco dobór napięcia anodowego w protokołach badań w zależności od rodzaju badania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BA688D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9EA7A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A8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6D9AD58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45CDD9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6BA4D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Automatyczny dobór współczynnika pitch w celu osiągnięcia wybranego przez użytkownika pokrycia i czasu skanowania, utrzymując wybraną grubość warstwy oraz jakość obrazu.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55E5D9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5FB9C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7028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62966E6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DBE5CF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BEBB3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Modulowanie promieniowania RTG sygnałem EKG przy obrazowaniu tętnic wieńcowych w czasie skanu spiralnego (pełna dawka w wyznaczonych fazach pracy serca, obniżona w pozostałych)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5E0006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33E9C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B6974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677BCF7" w14:textId="77777777" w:rsidTr="006A4453">
        <w:trPr>
          <w:trHeight w:val="46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5D64A4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AAE50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Oprogramowanie do automatycznego wyszukiwania optymalnej fazy rekonstrukcji serca przed wykonaniem właściwych rekonstrukcji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2DF885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A3EEC4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B6F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CE78828" w14:textId="77777777" w:rsidTr="006A4453">
        <w:trPr>
          <w:trHeight w:val="46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98F3E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D27450" w14:textId="024991F4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Oprogramowanie do oceny zwapnień w ścianach naczyń wieńcowych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C4D0C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8ACA46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A0B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9242240" w14:textId="77777777" w:rsidTr="006A4453">
        <w:trPr>
          <w:trHeight w:val="46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5F48EA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7CFF84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6341E0" w14:textId="32FCECAB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TAK/NIE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E2D676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A4D87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218CFF20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30535912" w14:textId="77777777" w:rsidTr="006A4453">
        <w:trPr>
          <w:trHeight w:val="611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42D0D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VII. KONSOLA LEKARSKA</w:t>
            </w:r>
          </w:p>
        </w:tc>
      </w:tr>
      <w:tr w:rsidR="001D7C50" w:rsidRPr="002D2A79" w14:paraId="76AA565A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CD684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E4AAA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Stacja lekarska wyposażona w:</w:t>
            </w:r>
          </w:p>
          <w:p w14:paraId="255324E4" w14:textId="0E5EE503" w:rsidR="001D7C50" w:rsidRPr="002D2A79" w:rsidRDefault="0085087F" w:rsidP="0085087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587B63">
              <w:rPr>
                <w:rFonts w:ascii="Arial" w:hAnsi="Arial" w:cs="Arial"/>
                <w:sz w:val="20"/>
                <w:szCs w:val="20"/>
              </w:rPr>
              <w:t xml:space="preserve">in. 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>1 kolorowy monitor diagnostyczny, o min. przekątnej 29” i rozdzielczości nie mniejszej niż 1920 x 1200 pikseli</w:t>
            </w:r>
          </w:p>
          <w:p w14:paraId="01BAFD19" w14:textId="11AA4AF3" w:rsidR="001D7C50" w:rsidRPr="002D2A79" w:rsidRDefault="0085087F" w:rsidP="0085087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>pamięć RAM: min. 16 GB</w:t>
            </w:r>
          </w:p>
          <w:p w14:paraId="7D8C5962" w14:textId="1491162F" w:rsidR="001D7C50" w:rsidRPr="002D2A79" w:rsidRDefault="0085087F" w:rsidP="0085087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>pojemność dysku: min. 256 GB</w:t>
            </w:r>
          </w:p>
          <w:p w14:paraId="0C4DF261" w14:textId="0DB2B300" w:rsidR="001D7C50" w:rsidRPr="002D2A79" w:rsidRDefault="0085087F" w:rsidP="0085087F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 xml:space="preserve">UPS konsoli lekarskiej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581B54" w14:textId="134256FA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  <w:r w:rsidR="0085087F">
              <w:rPr>
                <w:rFonts w:ascii="Arial" w:hAnsi="Arial" w:cs="Arial"/>
                <w:sz w:val="20"/>
                <w:szCs w:val="20"/>
              </w:rPr>
              <w:t>/ p</w:t>
            </w:r>
            <w:r w:rsidRPr="002D2A79">
              <w:rPr>
                <w:rFonts w:ascii="Arial" w:hAnsi="Arial" w:cs="Arial"/>
                <w:sz w:val="20"/>
                <w:szCs w:val="20"/>
              </w:rPr>
              <w:t>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D1FCF" w14:textId="77777777" w:rsidR="001D7C50" w:rsidRPr="002D2A79" w:rsidRDefault="001D7C50" w:rsidP="00EE7CB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2E2D" w14:textId="77777777" w:rsidR="001D7C50" w:rsidRPr="002D2A79" w:rsidRDefault="001D7C50" w:rsidP="00EE7CB6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7C932511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BFAB02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1076B7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Interfejs sieciowy zgodny z DICOM 3.0 zgodny z następującymi klasami serwisowymi:</w:t>
            </w:r>
          </w:p>
          <w:p w14:paraId="4DA74896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en-US"/>
              </w:rPr>
              <w:t>- Send / Receive</w:t>
            </w:r>
          </w:p>
          <w:p w14:paraId="259870F2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en-US"/>
              </w:rPr>
              <w:t>- Basic Print</w:t>
            </w:r>
          </w:p>
          <w:p w14:paraId="6431AE35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en-US"/>
              </w:rPr>
              <w:t>- Query / Retrieve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F50D3B" w14:textId="77777777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097271" w14:textId="77777777" w:rsidR="001D7C50" w:rsidRPr="002D2A79" w:rsidRDefault="001D7C50" w:rsidP="00EE7CB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2301" w14:textId="77777777" w:rsidR="001D7C50" w:rsidRPr="002D2A79" w:rsidRDefault="001D7C50" w:rsidP="00EE7CB6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  <w:p w14:paraId="40E3C1EB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C50" w:rsidRPr="002D2A79" w14:paraId="493D3C9C" w14:textId="77777777" w:rsidTr="006A4453">
        <w:trPr>
          <w:trHeight w:val="611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01EF1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sz w:val="20"/>
                <w:szCs w:val="20"/>
              </w:rPr>
              <w:t>VIII. OPROGRAMOWANIE DOSTĘPNE Z KONSOLI LEKARSKIEJ</w:t>
            </w:r>
          </w:p>
        </w:tc>
      </w:tr>
      <w:tr w:rsidR="001D7C50" w:rsidRPr="002D2A79" w14:paraId="7418E10C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4B19EB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2E1FC4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Pomiary geometryczne (długości, kątów, powierzchni)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858269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E8D8AD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3937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BF9BCF0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E831D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78F62F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Rekonstrukcje MIP (Maximum Intensity Projection), VRT (Volume Rendering Technique), Predefiniowana paleta ustawień dla rekonstrukcji VRT uwzględniająca typy badań, obszary anatomiczne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892C4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74C3BD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5ED9E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9EE3F2C" w14:textId="77777777" w:rsidTr="006A4453">
        <w:trPr>
          <w:trHeight w:val="2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D20474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191A2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Reformatowanie wielopłaszczyznowe (MPR), rekonstrukcje wzdłuż dowolnej prostej (równoległe lub promieniste) lub krzywej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3CD63B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F3823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7E163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F2BEA4C" w14:textId="77777777" w:rsidTr="006A4453">
        <w:trPr>
          <w:trHeight w:val="54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FA5B4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8C2934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158024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E1AD2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CCDB2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87E19C7" w14:textId="77777777" w:rsidTr="006A4453">
        <w:trPr>
          <w:trHeight w:val="25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84E2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6A572D" w14:textId="417BDB04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Pomiar kąta pomiędzy różnymi warstwami w technologii zgodnie z nomenklaturą Producenta.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9F379C" w14:textId="2C102B2C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TAK/NIE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5397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0D6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05DE3403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425E3D05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AFBF97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55EBB4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 usuwanie struktur kostnych z pozostawieniem wyłącznie zakontrastowanego drzewa naczyniowego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404F27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29612F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235FE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549B8CF" w14:textId="77777777" w:rsidTr="006A4453">
        <w:trPr>
          <w:trHeight w:val="4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57CA7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FE6B41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 usuwania obrazu stołu z obrazów CT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656F6A" w14:textId="77777777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6FDDF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3503B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6029E0A" w14:textId="77777777" w:rsidTr="006A4453">
        <w:trPr>
          <w:trHeight w:val="39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439AB8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33D30" w14:textId="417F08A8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Oprogramowanie zawierające zaawansowane funkcje do oceny w 3D, takie jak: wyświetlanie obrazu po zaznaczeniu określonego punktu w 3D (zgodnie z nazewnictwem producenta), wyznaczanie objętości z użyciem interaktywnej segmentacji zgodnie z nomenklaturą </w:t>
            </w:r>
            <w:r w:rsidR="00790EA0">
              <w:rPr>
                <w:rFonts w:ascii="Arial" w:hAnsi="Arial" w:cs="Arial"/>
                <w:sz w:val="20"/>
                <w:szCs w:val="20"/>
              </w:rPr>
              <w:t>Producenta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4F9F4B0E" w14:textId="5478F9CD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Wizualizacja w kolorze wyodrębnionych obszarów (zgodnie z nomenklaturą Producenta).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F323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06A241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B6086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DD30932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75C9AA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6450A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Oprogramowanie do wirtualnej endoskopii umożliwiające wizualizację dróg oddechowych, jelit oraz struktur wypełnionych płynem.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537903" w14:textId="77777777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561C9D" w14:textId="77777777" w:rsidR="001D7C50" w:rsidRPr="002D2A79" w:rsidRDefault="001D7C50" w:rsidP="00EE7CB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4998A" w14:textId="77777777" w:rsidR="001D7C50" w:rsidRPr="002D2A79" w:rsidRDefault="001D7C50" w:rsidP="00EE7CB6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C3E5411" w14:textId="77777777" w:rsidTr="006A4453">
        <w:trPr>
          <w:trHeight w:val="61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14704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23EE3E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Oprogramowanie umożliwiające ocenę obrazów pochodzących z akwizycji dwuenergetycznej z możliwością oceny obrazów o wysokiej, niskiej energii oraz obrazów mieszanych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779F02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1BEB70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40E1D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33B31B8" w14:textId="77777777" w:rsidTr="006A4453">
        <w:trPr>
          <w:trHeight w:val="3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2BC860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B2C732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Oprogramowanie umożliwiające swobodny obrót rozwiniętego naczynia wokół osi centralnej oraz pomiar światła naczynia w wybranych punktach.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90851C" w14:textId="77777777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4F42A4" w14:textId="77777777" w:rsidR="001D7C50" w:rsidRPr="002D2A79" w:rsidRDefault="001D7C50" w:rsidP="00EE7CB6">
            <w:p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3B48" w14:textId="77777777" w:rsidR="001D7C50" w:rsidRPr="002D2A79" w:rsidRDefault="001D7C50" w:rsidP="00EE7CB6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1629D520" w14:textId="77777777" w:rsidTr="006A4453">
        <w:trPr>
          <w:trHeight w:val="3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EF1D5C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463121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 numerowanie kręgów kręgosłupa w badaniach odcinkowych jak i całego kręgosłupa z obrazów CT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D7AF9A" w14:textId="77777777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78A760" w14:textId="77777777" w:rsidR="001D7C50" w:rsidRPr="002D2A79" w:rsidRDefault="001D7C50" w:rsidP="00EE7CB6">
            <w:p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9CE3C" w14:textId="77777777" w:rsidR="001D7C50" w:rsidRPr="002D2A79" w:rsidRDefault="001D7C50" w:rsidP="00EE7CB6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BC11BCE" w14:textId="77777777" w:rsidTr="006A4453">
        <w:trPr>
          <w:trHeight w:val="6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E21381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133300" w14:textId="77777777" w:rsidR="001D7C50" w:rsidRPr="002D2A79" w:rsidRDefault="001D7C50" w:rsidP="00EE7CB6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Automatyczne numerowanie żeber w badaniach CT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9859A6" w14:textId="035502AA" w:rsidR="001D7C50" w:rsidRPr="002D2A79" w:rsidRDefault="001D7C50" w:rsidP="00EE7CB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TAK/NIE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B3F632" w14:textId="77777777" w:rsidR="001D7C50" w:rsidRPr="002D2A79" w:rsidRDefault="001D7C50" w:rsidP="00EE7CB6">
            <w:p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89B2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TAK 1 pkt</w:t>
            </w:r>
          </w:p>
          <w:p w14:paraId="73660455" w14:textId="77777777" w:rsidR="001D7C50" w:rsidRPr="002D2A79" w:rsidRDefault="001D7C50" w:rsidP="00EE7CB6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FF0000"/>
                <w:sz w:val="20"/>
                <w:szCs w:val="20"/>
              </w:rPr>
              <w:t>NIE 0 pkt</w:t>
            </w:r>
          </w:p>
        </w:tc>
      </w:tr>
      <w:tr w:rsidR="001D7C50" w:rsidRPr="002D2A79" w14:paraId="0350FE4A" w14:textId="77777777" w:rsidTr="006A4453">
        <w:trPr>
          <w:cantSplit/>
          <w:trHeight w:val="371"/>
        </w:trPr>
        <w:tc>
          <w:tcPr>
            <w:tcW w:w="1446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2A54691B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IX. POZOSTAŁE WYMAGANIA</w:t>
            </w:r>
          </w:p>
        </w:tc>
      </w:tr>
      <w:tr w:rsidR="001D7C50" w:rsidRPr="002D2A79" w14:paraId="61CA3740" w14:textId="77777777" w:rsidTr="006A4453">
        <w:trPr>
          <w:cantSplit/>
          <w:trHeight w:val="264"/>
        </w:trPr>
        <w:tc>
          <w:tcPr>
            <w:tcW w:w="14464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55380950" w14:textId="77777777" w:rsidR="001D7C50" w:rsidRPr="002D2A79" w:rsidRDefault="001D7C50" w:rsidP="00EE7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50" w:rsidRPr="002D2A79" w14:paraId="5176A675" w14:textId="77777777" w:rsidTr="006A4453">
        <w:trPr>
          <w:trHeight w:val="2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B68664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E72A2" w14:textId="0E8C3645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color w:val="000000"/>
                <w:sz w:val="20"/>
                <w:szCs w:val="20"/>
              </w:rPr>
              <w:t>Dostawa, instalacja oraz uruchomienie aparatu na koszt Wykonawcy w miejscu wskazanym przez Zamawiającego. Wykonawca przekaże urządzenie do eksploatacji ze wszystkimi niezbędnymi dokumentami (paszport techniczny etc.)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90958E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C64738" w14:textId="77777777" w:rsidR="001D7C50" w:rsidRPr="002D2A79" w:rsidRDefault="001D7C50" w:rsidP="00EE7CB6">
            <w:pPr>
              <w:snapToGrid w:val="0"/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18F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870016C" w14:textId="77777777" w:rsidTr="006A4453">
        <w:trPr>
          <w:trHeight w:val="2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BF9A53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040F0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Zestaw fantomów serwisowych do kalibracji i testów podstawowych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18086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077A16" w14:textId="77777777" w:rsidR="001D7C50" w:rsidRPr="002D2A79" w:rsidRDefault="001D7C50" w:rsidP="00EE7CB6">
            <w:pPr>
              <w:snapToGrid w:val="0"/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84F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0B6A6A41" w14:textId="77777777" w:rsidTr="006A4453">
        <w:trPr>
          <w:trHeight w:val="47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3470D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F9AE1D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Instrukcja obsługi aparatu TK w formie elektronicznej i papierowej oraz instrukcje obsługi urządzeń wyposażenia- w języku polskim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997A0E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9EC5E1A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Dostarczyć wraz z dostawą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E2DE65" w14:textId="77777777" w:rsidR="001D7C50" w:rsidRPr="002D2A79" w:rsidRDefault="001D7C50" w:rsidP="00EE7CB6">
            <w:pPr>
              <w:snapToGrid w:val="0"/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7F18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7C495B5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F12595" w14:textId="77777777" w:rsidR="001D7C50" w:rsidRPr="002D2A79" w:rsidRDefault="001D7C50" w:rsidP="00EE7CB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BA436" w14:textId="2941A79A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87B63">
              <w:rPr>
                <w:rFonts w:ascii="Arial" w:hAnsi="Arial" w:cs="Arial"/>
                <w:sz w:val="20"/>
                <w:szCs w:val="20"/>
              </w:rPr>
              <w:t xml:space="preserve">Automatyczny wstrzykiwacz kontrastu </w:t>
            </w:r>
            <w:r w:rsidR="00790EA0">
              <w:t xml:space="preserve"> </w:t>
            </w:r>
            <w:r w:rsidR="00790EA0" w:rsidRPr="00790EA0">
              <w:rPr>
                <w:rFonts w:ascii="Arial" w:hAnsi="Arial" w:cs="Arial"/>
                <w:sz w:val="20"/>
                <w:szCs w:val="20"/>
              </w:rPr>
              <w:t xml:space="preserve">i roztworu NaCl </w:t>
            </w:r>
            <w:r w:rsidRPr="00587B6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90EA0">
              <w:rPr>
                <w:rFonts w:ascii="Arial" w:hAnsi="Arial" w:cs="Arial"/>
                <w:sz w:val="20"/>
                <w:szCs w:val="20"/>
              </w:rPr>
              <w:t>t</w:t>
            </w:r>
            <w:r w:rsidRPr="00587B63">
              <w:rPr>
                <w:rFonts w:ascii="Arial" w:hAnsi="Arial" w:cs="Arial"/>
                <w:sz w:val="20"/>
                <w:szCs w:val="20"/>
              </w:rPr>
              <w:t xml:space="preserve">omografii </w:t>
            </w:r>
            <w:r w:rsidR="00790EA0">
              <w:rPr>
                <w:rFonts w:ascii="Arial" w:hAnsi="Arial" w:cs="Arial"/>
                <w:sz w:val="20"/>
                <w:szCs w:val="20"/>
              </w:rPr>
              <w:t>k</w:t>
            </w:r>
            <w:r w:rsidRPr="00587B63">
              <w:rPr>
                <w:rFonts w:ascii="Arial" w:hAnsi="Arial" w:cs="Arial"/>
                <w:sz w:val="20"/>
                <w:szCs w:val="20"/>
              </w:rPr>
              <w:t xml:space="preserve">omputerowej,  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min. 3 kanałowy. Możliwość wyświetlania wykresu obrazującego natężenie przepływu i przebiegu ciśnienia podczas iniekcji. Możliwość zapamiętania </w:t>
            </w:r>
            <w:r w:rsidRPr="002D2A79">
              <w:rPr>
                <w:rFonts w:ascii="Arial" w:hAnsi="Arial" w:cs="Arial"/>
                <w:sz w:val="20"/>
                <w:szCs w:val="20"/>
              </w:rPr>
              <w:lastRenderedPageBreak/>
              <w:t>min. 50 profili iniekcji, Natężenie przepływu min.: 0,1 ml/s – 10 ml/s, stopniowane co 0,1 ml/s. Możliwość stosowania wielogodzinnych zestawów zużywalnych dla wielu pacjentów ze sterylnością pracy 12 lub 24 h oraz materiałów jednorazowego użytku</w:t>
            </w:r>
            <w:r w:rsidR="00790EA0">
              <w:rPr>
                <w:rFonts w:ascii="Arial" w:hAnsi="Arial" w:cs="Arial"/>
                <w:sz w:val="20"/>
                <w:szCs w:val="20"/>
              </w:rPr>
              <w:t>.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Kolorowy, dotykowy zdalny ekran sterujący LCD.  Możliwość programowania parametrów iniekcyjnych. Możliwość wyświetlania wykresu obrazującego natężenie przepływu i przebiegu ciśnienia podczas iniekcji. Wbudowane w urządzenie ogrzewacze kontrastu.</w:t>
            </w:r>
            <w:r w:rsidR="00790EA0">
              <w:t xml:space="preserve"> </w:t>
            </w:r>
            <w:r w:rsidR="00790EA0" w:rsidRPr="00790EA0">
              <w:rPr>
                <w:rFonts w:ascii="Arial" w:hAnsi="Arial" w:cs="Arial"/>
                <w:sz w:val="20"/>
                <w:szCs w:val="20"/>
              </w:rPr>
              <w:t>Sprzężenie wstrzykiwacza z oferowanym tomografem min. w klasie IV wg CiA 425</w:t>
            </w:r>
            <w:r w:rsidR="00642322">
              <w:rPr>
                <w:rFonts w:ascii="Arial" w:hAnsi="Arial" w:cs="Arial"/>
                <w:sz w:val="20"/>
                <w:szCs w:val="20"/>
              </w:rPr>
              <w:t>, rok produkcji 2024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798B8" w14:textId="2855F204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88274E">
              <w:rPr>
                <w:rFonts w:ascii="Arial" w:hAnsi="Arial" w:cs="Arial"/>
                <w:sz w:val="20"/>
                <w:szCs w:val="20"/>
              </w:rPr>
              <w:t>AK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B4A69F1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podać nazwę producenta i typ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CF04A4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DA01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Bez oceny </w:t>
            </w:r>
          </w:p>
          <w:p w14:paraId="2945045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1D7C50" w:rsidRPr="002D2A79" w14:paraId="13A1F2BC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B0369E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5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C1A86" w14:textId="6EB6E440" w:rsidR="001D7C50" w:rsidRPr="002D2A79" w:rsidRDefault="00652FA7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52FA7">
              <w:rPr>
                <w:rFonts w:ascii="Arial" w:hAnsi="Arial" w:cs="Arial"/>
                <w:sz w:val="20"/>
                <w:szCs w:val="20"/>
              </w:rPr>
              <w:t>ełnej integracji dostarczonego TK z systemem informatycznym RIS/PACS posiadanym przez Zamawiającego  (integracji z istniejącym w Szpitalu systemem). Wszelkie koszty integracji oraz zakup licencji ponosi Wykonawca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025954" w14:textId="7D224762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29AC68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D0C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6F1BFCC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E9DADB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5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B7668" w14:textId="5A48AE4E" w:rsidR="001D7C50" w:rsidRPr="003125D5" w:rsidRDefault="001D7C50" w:rsidP="003125D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D2A79">
              <w:rPr>
                <w:rFonts w:ascii="Arial" w:hAnsi="Arial" w:cs="Arial"/>
                <w:sz w:val="20"/>
                <w:szCs w:val="20"/>
                <w:lang w:val="pl-PL"/>
              </w:rPr>
              <w:t xml:space="preserve">Wykonanie testów </w:t>
            </w:r>
            <w:r w:rsidR="003125D5">
              <w:rPr>
                <w:rFonts w:ascii="Arial" w:hAnsi="Arial" w:cs="Arial"/>
                <w:sz w:val="20"/>
                <w:szCs w:val="20"/>
                <w:lang w:val="pl-PL"/>
              </w:rPr>
              <w:t>akceptacyjnych/</w:t>
            </w:r>
            <w:r w:rsidRPr="002D2A79">
              <w:rPr>
                <w:rFonts w:ascii="Arial" w:hAnsi="Arial" w:cs="Arial"/>
                <w:sz w:val="20"/>
                <w:szCs w:val="20"/>
                <w:lang w:val="pl-PL"/>
              </w:rPr>
              <w:t>odbiorczych</w:t>
            </w:r>
            <w:r w:rsidR="003125D5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2D2A79">
              <w:rPr>
                <w:rFonts w:ascii="Arial" w:hAnsi="Arial" w:cs="Arial"/>
                <w:sz w:val="20"/>
                <w:szCs w:val="20"/>
                <w:lang w:val="pl-PL"/>
              </w:rPr>
              <w:t>specjalistycznych</w:t>
            </w:r>
            <w:r w:rsidR="003125D5">
              <w:rPr>
                <w:rFonts w:ascii="Arial" w:hAnsi="Arial" w:cs="Arial"/>
                <w:sz w:val="20"/>
                <w:szCs w:val="20"/>
                <w:lang w:val="pl-PL"/>
              </w:rPr>
              <w:t>, bezpieczeństwa i jakości obrazowania</w:t>
            </w:r>
            <w:r w:rsidRPr="002D2A79">
              <w:rPr>
                <w:rFonts w:ascii="Arial" w:hAnsi="Arial" w:cs="Arial"/>
                <w:sz w:val="20"/>
                <w:szCs w:val="20"/>
                <w:lang w:val="pl-PL"/>
              </w:rPr>
              <w:t xml:space="preserve"> (w tym testów monitorów) po instalacji urządzenia dla oferowanego zestawu rentgenowskiego zgodnie z aktualnie obowiązującym Rozporządzeniem Ministra Zdrowia (oddzielne protokoły dla testów odbiorczych i specjalistycznych)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8A4AB2" w14:textId="3FD0A269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60837B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BFFB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1557CC5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7D71E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5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463DB" w14:textId="795F5B90" w:rsidR="001D7C50" w:rsidRPr="002D2A79" w:rsidRDefault="001D7C50" w:rsidP="00EE7CB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</w:pPr>
            <w:bookmarkStart w:id="0" w:name="_Hlk171340500"/>
            <w:r w:rsidRPr="002D2A79">
              <w:rPr>
                <w:rFonts w:ascii="Arial" w:hAnsi="Arial" w:cs="Arial"/>
                <w:sz w:val="20"/>
                <w:szCs w:val="20"/>
                <w:lang w:val="pl-PL"/>
              </w:rPr>
              <w:t>Wykonanie projektu oraz obliczeń osłon stałych dla dostarczanego aparatu</w:t>
            </w:r>
            <w:bookmarkEnd w:id="0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D786C0" w14:textId="305BA7E8" w:rsidR="001D7C50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59447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BB4E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B577C7" w:rsidRPr="002D2A79" w14:paraId="5FE44498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506E1D" w14:textId="77777777" w:rsidR="00B577C7" w:rsidRPr="002D2A79" w:rsidRDefault="00B577C7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CFAD2" w14:textId="7416B95F" w:rsidR="00B577C7" w:rsidRPr="002D2A79" w:rsidRDefault="00B577C7" w:rsidP="00EE7CB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577C7">
              <w:rPr>
                <w:rFonts w:ascii="Arial" w:hAnsi="Arial" w:cs="Arial"/>
                <w:sz w:val="20"/>
                <w:szCs w:val="20"/>
                <w:lang w:val="pl-PL"/>
              </w:rPr>
              <w:t>Sprawdzenie poprawności pracy TK z agregatem prądotwórczym w szpitalu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F0B2D" w14:textId="441689D8" w:rsidR="00B577C7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6CA2BA" w14:textId="77777777" w:rsidR="00B577C7" w:rsidRPr="002D2A79" w:rsidRDefault="00B577C7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B8A44" w14:textId="79008361" w:rsidR="00B577C7" w:rsidRPr="002D2A79" w:rsidRDefault="00B577C7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B577C7" w:rsidRPr="002D2A79" w14:paraId="54741B48" w14:textId="77777777" w:rsidTr="006A4453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84367" w14:textId="77777777" w:rsidR="00B577C7" w:rsidRPr="002D2A79" w:rsidRDefault="00B577C7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E8E20" w14:textId="2DE36D8B" w:rsidR="00B577C7" w:rsidRPr="002D2A79" w:rsidRDefault="00B577C7" w:rsidP="00EE7CB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577C7">
              <w:rPr>
                <w:rFonts w:ascii="Arial" w:hAnsi="Arial" w:cs="Arial"/>
                <w:sz w:val="20"/>
                <w:szCs w:val="20"/>
                <w:lang w:val="pl-PL"/>
              </w:rPr>
              <w:t>UPS pozwalający w sytuacji zaniku prądu na bezpieczne wyłączenie tomografu i zapis wykonanych obrazów (brak utraty danych)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EF34F3" w14:textId="0161A93A" w:rsidR="00B577C7" w:rsidRPr="002D2A79" w:rsidRDefault="00696A26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CF0128" w14:textId="77777777" w:rsidR="00B577C7" w:rsidRPr="002D2A79" w:rsidRDefault="00B577C7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1BD2" w14:textId="7848690C" w:rsidR="00B577C7" w:rsidRPr="002D2A79" w:rsidRDefault="00B577C7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532DC4F5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27A07ED0" w14:textId="1AB3AB6A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X. SZKOLENIA</w:t>
            </w:r>
          </w:p>
        </w:tc>
      </w:tr>
      <w:tr w:rsidR="001D7C50" w:rsidRPr="002D2A79" w14:paraId="62106596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E9CB37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25B926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Szkolenia w miejscu instalacji dla lekarzy radiologów i techników:</w:t>
            </w:r>
          </w:p>
          <w:p w14:paraId="1B3CBB2D" w14:textId="416EDC19" w:rsidR="001D7C50" w:rsidRPr="002D2A79" w:rsidRDefault="001D7C50" w:rsidP="00EE7CB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I – e  szkolenie w nieprzekraczalnym terminie 5 dni od zakończenia instalacji,  w wymiarze min. 4 dni x 5 godzin</w:t>
            </w:r>
            <w:r w:rsidR="002D2A7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AD15DFA" w14:textId="77777777" w:rsidR="001D7C50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II - e szkolenie w terminie uzgodnionym z Zamawiającym, w wymiarze min. 2 dni x 5 godzin</w:t>
            </w:r>
            <w:r w:rsidR="00241A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E5750F" w14:textId="0D38CEFD" w:rsidR="00241AE5" w:rsidRPr="002D2A79" w:rsidRDefault="00241AE5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</w:t>
            </w:r>
            <w:r w:rsidRPr="00241AE5">
              <w:rPr>
                <w:rFonts w:ascii="Arial" w:hAnsi="Arial" w:cs="Arial"/>
                <w:sz w:val="20"/>
                <w:szCs w:val="20"/>
              </w:rPr>
              <w:t>zaawansowane z zainstalowanych aplikacji oraz wykonywania testów podstawowych kontroli jakości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C86D69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1A0805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8E78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775E76" w:rsidRPr="002D2A79" w14:paraId="43424FEA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93690" w14:textId="77777777" w:rsidR="00775E76" w:rsidRPr="002D2A79" w:rsidRDefault="00775E76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4EEBC8" w14:textId="064D5443" w:rsidR="00775E76" w:rsidRPr="002D2A79" w:rsidRDefault="00652FA7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52FA7">
              <w:rPr>
                <w:rFonts w:ascii="Arial" w:hAnsi="Arial" w:cs="Arial"/>
                <w:sz w:val="20"/>
                <w:szCs w:val="20"/>
              </w:rPr>
              <w:t xml:space="preserve">zkolenia pracowników zaplecza technicznego i informatycznego Zamawiającego w zakresie niezbędnym do pełnienia nadzoru nad współpracą sieci informatycznej i instalacji zasilających TK </w:t>
            </w:r>
            <w:r w:rsidRPr="00652FA7">
              <w:rPr>
                <w:rFonts w:ascii="Arial" w:hAnsi="Arial" w:cs="Arial"/>
                <w:sz w:val="20"/>
                <w:szCs w:val="20"/>
              </w:rPr>
              <w:lastRenderedPageBreak/>
              <w:t>oraz w zakresie procesów komunikacyjnych między stacjami lekarskimi/opisowymi a systemem RIS/PASC posiadanym przez Zamawiającego – min. 1 dzień x 3 godzin.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B83DB6" w14:textId="7C9384DF" w:rsidR="00775E76" w:rsidRPr="002D2A79" w:rsidRDefault="00652FA7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2431E1" w14:textId="77777777" w:rsidR="00775E76" w:rsidRPr="002D2A79" w:rsidRDefault="00775E76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A5882" w14:textId="140C07DE" w:rsidR="00775E76" w:rsidRPr="002D2A79" w:rsidRDefault="00652FA7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D66968E" w14:textId="77777777" w:rsidTr="006A4453">
        <w:trPr>
          <w:trHeight w:val="454"/>
        </w:trPr>
        <w:tc>
          <w:tcPr>
            <w:tcW w:w="1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center"/>
          </w:tcPr>
          <w:p w14:paraId="2A161D16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XI. GWARANCJA I SERWIS POGWARANCYJNY</w:t>
            </w:r>
          </w:p>
        </w:tc>
      </w:tr>
      <w:tr w:rsidR="001D7C50" w:rsidRPr="002D2A79" w14:paraId="5C9C99E2" w14:textId="77777777" w:rsidTr="006A4453">
        <w:trPr>
          <w:trHeight w:val="38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AA9CF4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540E89" w14:textId="1C60E649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Pełna </w:t>
            </w:r>
            <w:r w:rsidRPr="002D2A79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na oferowany tomograf komputerowy </w:t>
            </w:r>
            <w:r w:rsidR="00652FA7">
              <w:t xml:space="preserve"> </w:t>
            </w:r>
            <w:r w:rsidR="00652FA7" w:rsidRPr="00652FA7">
              <w:rPr>
                <w:rFonts w:ascii="Arial" w:hAnsi="Arial" w:cs="Arial"/>
                <w:sz w:val="20"/>
                <w:szCs w:val="20"/>
              </w:rPr>
              <w:t xml:space="preserve">wraz z dodatkowym  wyposażeniem i akcesoriami 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bez żadnych wyłączeń, w tym elementów kluczowych: lampa RTG, strzykawka, generator, </w:t>
            </w:r>
            <w:r w:rsidRPr="00652FA7">
              <w:rPr>
                <w:rFonts w:ascii="Arial" w:hAnsi="Arial" w:cs="Arial"/>
                <w:sz w:val="20"/>
                <w:szCs w:val="20"/>
              </w:rPr>
              <w:t>detektor oraz limitów skanów</w:t>
            </w:r>
            <w:r w:rsidR="00652F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52FA7" w:rsidRPr="00652FA7">
              <w:rPr>
                <w:rFonts w:ascii="Arial" w:hAnsi="Arial" w:cs="Arial"/>
                <w:sz w:val="20"/>
                <w:szCs w:val="20"/>
              </w:rPr>
              <w:t>Minimalny okres gwarancji jakości nie może być krótszy niż 24 miesiące i nie może być dłuższy niż 60 miesięcy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E8C10" w14:textId="04323D74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  <w:r w:rsidR="0088274E">
              <w:rPr>
                <w:rFonts w:ascii="Arial" w:hAnsi="Arial" w:cs="Arial"/>
                <w:sz w:val="20"/>
                <w:szCs w:val="20"/>
              </w:rPr>
              <w:t>/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podać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102A0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B2CD" w14:textId="55614CCC" w:rsidR="00652FA7" w:rsidRPr="0088274E" w:rsidRDefault="00652FA7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ED0000"/>
                <w:sz w:val="20"/>
                <w:szCs w:val="20"/>
                <w:lang w:eastAsia="en-US"/>
              </w:rPr>
            </w:pPr>
            <w:r w:rsidRPr="0088274E">
              <w:rPr>
                <w:rFonts w:ascii="Arial" w:hAnsi="Arial" w:cs="Arial"/>
                <w:color w:val="ED0000"/>
                <w:sz w:val="20"/>
                <w:szCs w:val="20"/>
                <w:lang w:eastAsia="en-US"/>
              </w:rPr>
              <w:t>Podlega ocenie</w:t>
            </w:r>
          </w:p>
          <w:p w14:paraId="4AF964CB" w14:textId="77FB4816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C50" w:rsidRPr="002D2A79" w14:paraId="4A0D9BC6" w14:textId="77777777" w:rsidTr="006A4453">
        <w:trPr>
          <w:trHeight w:val="38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C860A5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308935" w14:textId="2462F139" w:rsidR="001D7C50" w:rsidRPr="002D2A79" w:rsidRDefault="001D7C50" w:rsidP="00EE7CB6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71428503"/>
            <w:r w:rsidRPr="002D2A79">
              <w:rPr>
                <w:rFonts w:ascii="Arial" w:eastAsia="Calibri" w:hAnsi="Arial" w:cs="Arial"/>
                <w:sz w:val="20"/>
                <w:szCs w:val="20"/>
              </w:rPr>
              <w:t>Gwarancja pełna wraz z bezpłatnymi przeglądami i niezbędnymi czynnościami konserwacyjnymi, bezpłatnymi naprawami</w:t>
            </w:r>
            <w:r w:rsidR="00073A93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D2A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12AB6">
              <w:t xml:space="preserve"> </w:t>
            </w:r>
            <w:r w:rsidR="00C12AB6" w:rsidRPr="00C12AB6">
              <w:rPr>
                <w:rFonts w:ascii="Arial" w:eastAsia="Calibri" w:hAnsi="Arial" w:cs="Arial"/>
                <w:sz w:val="20"/>
                <w:szCs w:val="20"/>
              </w:rPr>
              <w:t xml:space="preserve">wymianami części zamiennych, zużywalnych </w:t>
            </w:r>
            <w:r w:rsidRPr="002D2A79">
              <w:rPr>
                <w:rFonts w:ascii="Arial" w:eastAsia="Calibri" w:hAnsi="Arial" w:cs="Arial"/>
                <w:sz w:val="20"/>
                <w:szCs w:val="20"/>
              </w:rPr>
              <w:t>oraz przewidywanymi prawem testami w okresie gwarancji wykonywanymi przez autoryzowany serwis (</w:t>
            </w:r>
            <w:r w:rsidR="00C12AB6" w:rsidRPr="00C12AB6">
              <w:rPr>
                <w:rFonts w:ascii="Arial" w:eastAsia="Calibri" w:hAnsi="Arial" w:cs="Arial"/>
                <w:sz w:val="20"/>
                <w:szCs w:val="20"/>
              </w:rPr>
              <w:t>zgodnie z wytycznymi producenta Sprzętu w tym zakresie, jednak nie rzadziej niż raz na 12 miesięcy</w:t>
            </w:r>
            <w:r w:rsidRPr="002D2A79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290CAC6B" w14:textId="67DB3698" w:rsidR="001D7C50" w:rsidRPr="002D2A79" w:rsidRDefault="00C12AB6" w:rsidP="00EE7CB6">
            <w:pPr>
              <w:pStyle w:val="TableParagraph"/>
              <w:spacing w:line="276" w:lineRule="auto"/>
              <w:rPr>
                <w:rFonts w:eastAsia="Calibri"/>
                <w:sz w:val="20"/>
                <w:szCs w:val="20"/>
              </w:rPr>
            </w:pPr>
            <w:bookmarkStart w:id="2" w:name="_Hlk111808648"/>
            <w:r w:rsidRPr="00C12AB6">
              <w:rPr>
                <w:rFonts w:eastAsia="Calibri"/>
                <w:sz w:val="20"/>
                <w:szCs w:val="20"/>
              </w:rPr>
              <w:t>Ostatni przegląd techniczny należy wykonać w ostatnim miesiącu przed końcem gwarancji bez dodatkowego wezwania ze strony Zamawiającego</w:t>
            </w:r>
            <w:bookmarkEnd w:id="1"/>
            <w:r w:rsidR="001D7C50" w:rsidRPr="002D2A79">
              <w:rPr>
                <w:rFonts w:eastAsia="Calibri"/>
                <w:sz w:val="20"/>
                <w:szCs w:val="20"/>
              </w:rPr>
              <w:t>.</w:t>
            </w:r>
            <w:bookmarkEnd w:id="2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3F4981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F3C264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538B7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37A29901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1DC5DD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C54FA" w14:textId="77777777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Autoryzowany serwis gwarancyjny i wykonywanie serwisu urządzenia na terenie Polski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4BC4F" w14:textId="166C2EE2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  <w:r w:rsidR="0088274E">
              <w:rPr>
                <w:rFonts w:ascii="Arial" w:hAnsi="Arial" w:cs="Arial"/>
                <w:sz w:val="20"/>
                <w:szCs w:val="20"/>
              </w:rPr>
              <w:t>/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08F319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2DC1A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22533CE4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D480BE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C00DE" w14:textId="484CB7B6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Potwierdzeniem wykonania każdej czynności serwisowej będzie: wpis do paszportu wyrobu medycznego, karta pracy serwisu podpisana przez upoważnionego przedstawiciela Zamawiającego</w:t>
            </w:r>
            <w:r w:rsidR="00C12AB6">
              <w:rPr>
                <w:rFonts w:ascii="Arial" w:hAnsi="Arial" w:cs="Arial"/>
                <w:sz w:val="20"/>
                <w:szCs w:val="20"/>
              </w:rPr>
              <w:t>, raport serwisowy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oraz wystawiony przez Wykonawcę dokument dopuszczający wyrób medyczny do eksploatacji przez Zamawiającego (certyfikat, świadectwo sprawności aparatu bądź inny dokument, wynikający z przedmiotowych przepisów prawa powszechnie obowiązującego).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9A2A9F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621E22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AC84F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EF4F1F" w:rsidRPr="002D2A79" w14:paraId="4607C805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A667E3" w14:textId="77777777" w:rsidR="00EF4F1F" w:rsidRPr="002D2A79" w:rsidRDefault="00EF4F1F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EC17DB" w14:textId="04239331" w:rsidR="00EF4F1F" w:rsidRPr="002D2A79" w:rsidRDefault="00EF4F1F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F4F1F">
              <w:rPr>
                <w:rFonts w:ascii="Arial" w:hAnsi="Arial" w:cs="Arial"/>
                <w:sz w:val="20"/>
                <w:szCs w:val="20"/>
              </w:rPr>
              <w:t>ykonania testów jakości obrazowania i przekazania ich Zamawiającemu po każdej naprawie elementu przedmiotu umowy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5BDC5E" w14:textId="018C4446" w:rsidR="00EF4F1F" w:rsidRPr="002D2A79" w:rsidRDefault="00EF4F1F" w:rsidP="00EE7CB6">
            <w:pPr>
              <w:snapToGrid w:val="0"/>
              <w:ind w:left="211" w:right="2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21BCC8" w14:textId="77777777" w:rsidR="00EF4F1F" w:rsidRPr="002D2A79" w:rsidRDefault="00EF4F1F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41072" w14:textId="7EC32E21" w:rsidR="00EF4F1F" w:rsidRPr="002D2A79" w:rsidRDefault="00EF4F1F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CAFD4BA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53C786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1A5193" w14:textId="1D5A35EC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Min</w:t>
            </w:r>
            <w:r w:rsidR="00C12AB6">
              <w:rPr>
                <w:rFonts w:ascii="Arial" w:hAnsi="Arial" w:cs="Arial"/>
                <w:sz w:val="20"/>
                <w:szCs w:val="20"/>
              </w:rPr>
              <w:t>imum</w:t>
            </w:r>
            <w:r w:rsidRPr="002D2A79">
              <w:rPr>
                <w:rFonts w:ascii="Arial" w:hAnsi="Arial" w:cs="Arial"/>
                <w:sz w:val="20"/>
                <w:szCs w:val="20"/>
              </w:rPr>
              <w:t xml:space="preserve"> 10 - letni okres gwarantowania dostępności części zamiennych dla TK oraz min. 5 – letni dla pozostałych urządzeń i stanowisk pracy zaoferowanych w zestawie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B82B79" w14:textId="77777777" w:rsidR="001D7C50" w:rsidRPr="002D2A79" w:rsidRDefault="001D7C50" w:rsidP="00EE7CB6">
            <w:pPr>
              <w:snapToGrid w:val="0"/>
              <w:ind w:left="211" w:right="2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68AE33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D449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458BC5B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80C61B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3CA7D1" w14:textId="4C1D3153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4F1F">
              <w:rPr>
                <w:rFonts w:ascii="Arial" w:hAnsi="Arial" w:cs="Arial"/>
                <w:sz w:val="20"/>
                <w:szCs w:val="20"/>
              </w:rPr>
              <w:t xml:space="preserve">Wszystkie wymagane przez producenta oferowanego aparatu przeglądy w okresie gwarancji (podać ile) – </w:t>
            </w:r>
            <w:r w:rsidRPr="00EF4F1F">
              <w:rPr>
                <w:rFonts w:ascii="Arial" w:hAnsi="Arial" w:cs="Arial"/>
                <w:bCs/>
                <w:sz w:val="20"/>
                <w:szCs w:val="20"/>
              </w:rPr>
              <w:t>zawarte w cenie oferty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FEC4A2" w14:textId="281E0590" w:rsidR="001D7C50" w:rsidRPr="002D2A79" w:rsidRDefault="0056598A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p</w:t>
            </w:r>
            <w:r w:rsidR="001D7C50" w:rsidRPr="002D2A79">
              <w:rPr>
                <w:rFonts w:ascii="Arial" w:hAnsi="Arial" w:cs="Arial"/>
                <w:sz w:val="20"/>
                <w:szCs w:val="20"/>
              </w:rPr>
              <w:t>odać</w:t>
            </w:r>
            <w:r>
              <w:rPr>
                <w:rFonts w:ascii="Arial" w:hAnsi="Arial" w:cs="Arial"/>
                <w:sz w:val="20"/>
                <w:szCs w:val="20"/>
              </w:rPr>
              <w:t xml:space="preserve"> ile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CA4E2C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5C73A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FFCB138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EE96B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569B58" w14:textId="1463F7D3" w:rsidR="00EF4F1F" w:rsidRPr="00EF4F1F" w:rsidRDefault="00EF4F1F" w:rsidP="00EF4F1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F4F1F">
              <w:rPr>
                <w:rFonts w:ascii="Arial" w:hAnsi="Arial" w:cs="Arial"/>
                <w:sz w:val="20"/>
                <w:szCs w:val="20"/>
              </w:rPr>
              <w:t>aksymalny czas wykonania naprawy gwarancyjnej:</w:t>
            </w:r>
          </w:p>
          <w:p w14:paraId="55924327" w14:textId="2A1ADB09" w:rsidR="00EF4F1F" w:rsidRPr="00EF4F1F" w:rsidRDefault="00EF4F1F" w:rsidP="00EF4F1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F1F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F1F">
              <w:rPr>
                <w:rFonts w:ascii="Arial" w:hAnsi="Arial" w:cs="Arial"/>
                <w:sz w:val="20"/>
                <w:szCs w:val="20"/>
              </w:rPr>
              <w:t xml:space="preserve">nie wymagającej wymiany części w terminie nie dłuższym niż </w:t>
            </w:r>
            <w:r w:rsidRPr="00EF4F1F">
              <w:rPr>
                <w:rFonts w:ascii="Arial" w:hAnsi="Arial" w:cs="Arial"/>
                <w:b/>
                <w:bCs/>
                <w:sz w:val="20"/>
                <w:szCs w:val="20"/>
              </w:rPr>
              <w:t>3 dni robocze</w:t>
            </w:r>
            <w:r w:rsidRPr="00EF4F1F">
              <w:rPr>
                <w:rFonts w:ascii="Arial" w:hAnsi="Arial" w:cs="Arial"/>
                <w:sz w:val="20"/>
                <w:szCs w:val="20"/>
              </w:rPr>
              <w:t xml:space="preserve"> licząc od daty zgłoszenia awarii,</w:t>
            </w:r>
          </w:p>
          <w:p w14:paraId="778D7919" w14:textId="52E6B9F7" w:rsidR="001D7C50" w:rsidRPr="002D2A79" w:rsidRDefault="00EF4F1F" w:rsidP="00EF4F1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F1F"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F1F">
              <w:rPr>
                <w:rFonts w:ascii="Arial" w:hAnsi="Arial" w:cs="Arial"/>
                <w:sz w:val="20"/>
                <w:szCs w:val="20"/>
              </w:rPr>
              <w:t xml:space="preserve">wymagającej wymiany części, w terminie nie dłuższym niż </w:t>
            </w:r>
            <w:r w:rsidRPr="00EF4F1F">
              <w:rPr>
                <w:rFonts w:ascii="Arial" w:hAnsi="Arial" w:cs="Arial"/>
                <w:b/>
                <w:bCs/>
                <w:sz w:val="20"/>
                <w:szCs w:val="20"/>
              </w:rPr>
              <w:t>7 dni roboczych</w:t>
            </w:r>
            <w:r w:rsidRPr="00EF4F1F">
              <w:rPr>
                <w:rFonts w:ascii="Arial" w:hAnsi="Arial" w:cs="Arial"/>
                <w:sz w:val="20"/>
                <w:szCs w:val="20"/>
              </w:rPr>
              <w:t xml:space="preserve"> licząc od daty zgłoszenia awarii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6B9C03" w14:textId="61A2CFDC" w:rsidR="001D7C50" w:rsidRPr="00EF4F1F" w:rsidRDefault="00EF4F1F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F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CD02C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ADA7D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EF4F1F" w:rsidRPr="002D2A79" w14:paraId="7483FE1E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27A854" w14:textId="77777777" w:rsidR="00EF4F1F" w:rsidRPr="002D2A79" w:rsidRDefault="00EF4F1F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3A6AD1" w14:textId="566A250F" w:rsidR="00EF4F1F" w:rsidRDefault="00EF4F1F" w:rsidP="00EF4F1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Czas reakcji serwis</w:t>
            </w:r>
            <w:r>
              <w:rPr>
                <w:rFonts w:ascii="Arial" w:hAnsi="Arial" w:cs="Arial"/>
                <w:sz w:val="20"/>
                <w:szCs w:val="20"/>
              </w:rPr>
              <w:t>u:</w:t>
            </w:r>
          </w:p>
          <w:p w14:paraId="28718971" w14:textId="38695A8E" w:rsidR="00EF4F1F" w:rsidRPr="002D2A79" w:rsidRDefault="00EF4F1F" w:rsidP="00EF4F1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zobowiązany jest do </w:t>
            </w:r>
            <w:r w:rsidRPr="00EF4F1F">
              <w:rPr>
                <w:rFonts w:ascii="Arial" w:hAnsi="Arial" w:cs="Arial"/>
                <w:sz w:val="20"/>
                <w:szCs w:val="20"/>
              </w:rPr>
              <w:t xml:space="preserve">niezwłocznego przystąpienia do diagnozowania wad/awarii, nie później niż w terminie do </w:t>
            </w:r>
            <w:r w:rsidRPr="00EF4F1F">
              <w:rPr>
                <w:rFonts w:ascii="Arial" w:hAnsi="Arial" w:cs="Arial"/>
                <w:b/>
                <w:bCs/>
                <w:sz w:val="20"/>
                <w:szCs w:val="20"/>
              </w:rPr>
              <w:t>24 godzin</w:t>
            </w:r>
            <w:r w:rsidRPr="00EF4F1F">
              <w:rPr>
                <w:rFonts w:ascii="Arial" w:hAnsi="Arial" w:cs="Arial"/>
                <w:sz w:val="20"/>
                <w:szCs w:val="20"/>
              </w:rPr>
              <w:t xml:space="preserve"> licząc od momentu zgłoszenia przez Zamawiającego (nie wliczając godzin zawartych w dniach ustawowo wolnych od pracy). Za przystąpienie do usunięcia awarii Zamawiający uzna działanie Wykonawcy, które ma doprowadzić do usunięcia awarii lub rozpoczęcia diagnozy uszkodzenia w drodze telefonicznego wywiadu technicznego, serwisu zdalnego lub wizyty osobistej pracownika działu serwisu Wykonawcy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B26F3F" w14:textId="2C1D901E" w:rsidR="00EF4F1F" w:rsidRPr="002D2A79" w:rsidRDefault="00EF4F1F" w:rsidP="00EF4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F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28A65" w14:textId="77777777" w:rsidR="00EF4F1F" w:rsidRPr="002D2A79" w:rsidRDefault="00EF4F1F" w:rsidP="00EF4F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1B9C" w14:textId="67B9271A" w:rsidR="00EF4F1F" w:rsidRPr="002D2A79" w:rsidRDefault="00EF4F1F" w:rsidP="00EF4F1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6A4ADC22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B8CBEC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73DC7F" w14:textId="7378458D" w:rsidR="001D7C50" w:rsidRPr="002D2A79" w:rsidRDefault="001D7C50" w:rsidP="00EE7CB6">
            <w:pPr>
              <w:snapToGrid w:val="0"/>
              <w:spacing w:line="276" w:lineRule="auto"/>
              <w:rPr>
                <w:rFonts w:ascii="Arial" w:hAnsi="Arial" w:cs="Arial"/>
                <w:dstrike/>
                <w:sz w:val="20"/>
                <w:szCs w:val="20"/>
                <w:highlight w:val="red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Modernizacje oprogramowania w trakcie gwarancji (coroczne upgrady do najnowszej i aktualnej wersji oprogramowania)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DEE414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E0BB7F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D114" w14:textId="2AAA1DB2" w:rsidR="001D7C50" w:rsidRPr="0056598A" w:rsidRDefault="001D7C50" w:rsidP="005659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1D7C50" w:rsidRPr="002D2A79" w14:paraId="4E9EAB3D" w14:textId="77777777" w:rsidTr="006A4453">
        <w:trPr>
          <w:trHeight w:val="4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EBE588" w14:textId="77777777" w:rsidR="001D7C50" w:rsidRPr="002D2A79" w:rsidRDefault="001D7C50" w:rsidP="006A4453">
            <w:pPr>
              <w:numPr>
                <w:ilvl w:val="0"/>
                <w:numId w:val="1"/>
              </w:numPr>
              <w:snapToGrid w:val="0"/>
              <w:ind w:left="4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182CC" w14:textId="681114D3" w:rsidR="001D7C50" w:rsidRPr="002D2A79" w:rsidRDefault="001D7C50" w:rsidP="00EE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 xml:space="preserve">Zdalna diagnostyka oraz zdalne naprawy (bez użycia części zamiennych) </w:t>
            </w:r>
            <w:bookmarkStart w:id="3" w:name="_Hlk172110597"/>
            <w:r w:rsidRPr="002D2A79">
              <w:rPr>
                <w:rFonts w:ascii="Arial" w:hAnsi="Arial" w:cs="Arial"/>
                <w:sz w:val="20"/>
                <w:szCs w:val="20"/>
              </w:rPr>
              <w:t>poprzez bezpieczne, szyfrowane łącze VPN</w:t>
            </w:r>
            <w:bookmarkEnd w:id="3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3B7A2" w14:textId="77777777" w:rsidR="001D7C50" w:rsidRPr="002D2A79" w:rsidRDefault="001D7C50" w:rsidP="00EE7C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F88E80" w14:textId="77777777" w:rsidR="001D7C50" w:rsidRPr="002D2A79" w:rsidRDefault="001D7C50" w:rsidP="00EE7CB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BDBC" w14:textId="77777777" w:rsidR="001D7C50" w:rsidRPr="002D2A79" w:rsidRDefault="001D7C50" w:rsidP="00EE7CB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79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</w:tbl>
    <w:p w14:paraId="511409AC" w14:textId="77777777" w:rsidR="001D7C50" w:rsidRDefault="001D7C50" w:rsidP="001D7C50">
      <w:pPr>
        <w:rPr>
          <w:rFonts w:ascii="Arial Narrow" w:hAnsi="Arial Narrow"/>
          <w:b/>
          <w:bCs/>
          <w:color w:val="000000"/>
          <w:szCs w:val="28"/>
          <w:lang w:eastAsia="ar-SA"/>
        </w:rPr>
      </w:pPr>
    </w:p>
    <w:p w14:paraId="08C3EEB1" w14:textId="77777777" w:rsidR="001D7C50" w:rsidRPr="008D02AF" w:rsidRDefault="001D7C50" w:rsidP="001D7C50">
      <w:pPr>
        <w:rPr>
          <w:rFonts w:ascii="Arial Narrow" w:hAnsi="Arial Narrow"/>
          <w:szCs w:val="28"/>
          <w:lang w:eastAsia="ar-SA"/>
        </w:rPr>
      </w:pPr>
    </w:p>
    <w:p w14:paraId="5FA8C2A8" w14:textId="77777777" w:rsidR="001D7C50" w:rsidRPr="007D09DE" w:rsidRDefault="001D7C50" w:rsidP="001D7C50">
      <w:pPr>
        <w:rPr>
          <w:rFonts w:ascii="Arial Narrow" w:hAnsi="Arial Narrow"/>
          <w:sz w:val="20"/>
          <w:szCs w:val="20"/>
          <w:lang w:eastAsia="ar-SA"/>
        </w:rPr>
      </w:pPr>
    </w:p>
    <w:p w14:paraId="6840965F" w14:textId="53D53140" w:rsidR="001D7C50" w:rsidRPr="007D09DE" w:rsidRDefault="00F478AF" w:rsidP="006A4453">
      <w:pPr>
        <w:spacing w:before="120"/>
        <w:ind w:left="567" w:right="374"/>
        <w:rPr>
          <w:rFonts w:ascii="Arial Narrow" w:hAnsi="Arial Narrow"/>
          <w:sz w:val="20"/>
          <w:szCs w:val="20"/>
          <w:lang w:eastAsia="ar-SA"/>
        </w:rPr>
      </w:pPr>
      <w:r w:rsidRPr="006A4453">
        <w:rPr>
          <w:rFonts w:ascii="Arial" w:hAnsi="Arial" w:cs="Arial"/>
          <w:sz w:val="21"/>
          <w:szCs w:val="21"/>
          <w:lang w:eastAsia="ar-SA"/>
        </w:rPr>
        <w:t>Parametry określone jako „TAK” są parametrami granicznymi. Udzielenie odpowiedzi „</w:t>
      </w:r>
      <w:r w:rsidR="0059592C">
        <w:rPr>
          <w:rFonts w:ascii="Arial" w:hAnsi="Arial" w:cs="Arial"/>
          <w:sz w:val="21"/>
          <w:szCs w:val="21"/>
          <w:lang w:eastAsia="ar-SA"/>
        </w:rPr>
        <w:t>NIE</w:t>
      </w:r>
      <w:r w:rsidRPr="006A4453">
        <w:rPr>
          <w:rFonts w:ascii="Arial" w:hAnsi="Arial" w:cs="Arial"/>
          <w:sz w:val="21"/>
          <w:szCs w:val="21"/>
          <w:lang w:eastAsia="ar-SA"/>
        </w:rPr>
        <w:t>”  lub innej nie stanowiącej jednoznacznego potwierdzenia spełniania warunku będzie skutkowało odrzuceniem oferty</w:t>
      </w:r>
      <w:r w:rsidRPr="007D09DE">
        <w:rPr>
          <w:rFonts w:ascii="Arial Narrow" w:hAnsi="Arial Narrow"/>
          <w:sz w:val="20"/>
          <w:szCs w:val="20"/>
          <w:lang w:eastAsia="ar-SA"/>
        </w:rPr>
        <w:t>.</w:t>
      </w:r>
    </w:p>
    <w:p w14:paraId="10D5B792" w14:textId="77777777" w:rsidR="001D7C50" w:rsidRPr="0088274E" w:rsidRDefault="001D7C50" w:rsidP="001D7C50">
      <w:pPr>
        <w:rPr>
          <w:rFonts w:ascii="Arial" w:hAnsi="Arial" w:cs="Arial"/>
          <w:sz w:val="20"/>
          <w:szCs w:val="20"/>
          <w:lang w:eastAsia="ar-SA"/>
        </w:rPr>
      </w:pPr>
    </w:p>
    <w:p w14:paraId="71F01595" w14:textId="124FB71D" w:rsidR="001D7C50" w:rsidRPr="0088274E" w:rsidRDefault="0088274E" w:rsidP="0088274E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88274E">
        <w:rPr>
          <w:rFonts w:ascii="Arial" w:hAnsi="Arial" w:cs="Arial"/>
          <w:b/>
          <w:bCs/>
          <w:sz w:val="20"/>
          <w:szCs w:val="20"/>
          <w:lang w:eastAsia="ar-SA"/>
        </w:rPr>
        <w:t>ADAPTACJA POMIESZCZEŃ</w:t>
      </w:r>
    </w:p>
    <w:p w14:paraId="2278E227" w14:textId="77777777" w:rsidR="001D7C50" w:rsidRPr="0088274E" w:rsidRDefault="001D7C50" w:rsidP="001D7C50">
      <w:pPr>
        <w:rPr>
          <w:rFonts w:ascii="Arial" w:hAnsi="Arial" w:cs="Arial"/>
          <w:sz w:val="20"/>
          <w:szCs w:val="20"/>
          <w:lang w:eastAsia="ar-SA"/>
        </w:rPr>
      </w:pPr>
    </w:p>
    <w:p w14:paraId="1288B0BC" w14:textId="77777777" w:rsidR="001D7C50" w:rsidRPr="0088274E" w:rsidRDefault="001D7C50" w:rsidP="001D7C50">
      <w:pPr>
        <w:rPr>
          <w:rFonts w:ascii="Arial" w:hAnsi="Arial" w:cs="Arial"/>
          <w:sz w:val="20"/>
          <w:szCs w:val="20"/>
          <w:lang w:eastAsia="ar-SA"/>
        </w:rPr>
      </w:pPr>
    </w:p>
    <w:p w14:paraId="40D338E9" w14:textId="71007E52" w:rsidR="0088274E" w:rsidRPr="0088274E" w:rsidRDefault="00510DA0" w:rsidP="0088274E">
      <w:pPr>
        <w:spacing w:line="360" w:lineRule="auto"/>
        <w:ind w:left="567" w:right="37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</w:t>
      </w:r>
      <w:r w:rsidRPr="00510DA0">
        <w:rPr>
          <w:rFonts w:ascii="Arial" w:hAnsi="Arial" w:cs="Arial"/>
          <w:sz w:val="20"/>
          <w:szCs w:val="20"/>
          <w:lang w:eastAsia="ar-SA"/>
        </w:rPr>
        <w:t>ykonani</w:t>
      </w:r>
      <w:r>
        <w:rPr>
          <w:rFonts w:ascii="Arial" w:hAnsi="Arial" w:cs="Arial"/>
          <w:sz w:val="20"/>
          <w:szCs w:val="20"/>
          <w:lang w:eastAsia="ar-SA"/>
        </w:rPr>
        <w:t>e</w:t>
      </w:r>
      <w:r w:rsidRPr="00510DA0">
        <w:rPr>
          <w:rFonts w:ascii="Arial" w:hAnsi="Arial" w:cs="Arial"/>
          <w:sz w:val="20"/>
          <w:szCs w:val="20"/>
          <w:lang w:eastAsia="ar-SA"/>
        </w:rPr>
        <w:t xml:space="preserve"> robót budowlanych w zakresie dostosowania infrastruktury i adaptacji pomieszczeń przeznaczonych do instalacji tomografu komputerowego zgodnie z</w:t>
      </w:r>
      <w:r w:rsidR="004C216D">
        <w:rPr>
          <w:rFonts w:ascii="Arial" w:hAnsi="Arial" w:cs="Arial"/>
          <w:sz w:val="20"/>
          <w:szCs w:val="20"/>
          <w:lang w:eastAsia="ar-SA"/>
        </w:rPr>
        <w:t> </w:t>
      </w:r>
      <w:r w:rsidRPr="00510DA0">
        <w:rPr>
          <w:rFonts w:ascii="Arial" w:hAnsi="Arial" w:cs="Arial"/>
          <w:sz w:val="20"/>
          <w:szCs w:val="20"/>
          <w:lang w:eastAsia="ar-SA"/>
        </w:rPr>
        <w:t>zaleceniami producenta Sprzętu oraz obowiązującymi przepisami prawa atomowego w szczególności poprzez dosłonięcie radiologiczne ścian - stosownie do parametrów dostarczonego urządzenia i wykonanego projektu osłon stałych</w:t>
      </w:r>
      <w:r w:rsidR="0088274E" w:rsidRPr="0088274E">
        <w:rPr>
          <w:rFonts w:ascii="Arial" w:hAnsi="Arial" w:cs="Arial"/>
          <w:sz w:val="20"/>
          <w:szCs w:val="20"/>
          <w:lang w:eastAsia="ar-SA"/>
        </w:rPr>
        <w:t>.</w:t>
      </w:r>
    </w:p>
    <w:p w14:paraId="023B1AEA" w14:textId="77777777" w:rsidR="0088274E" w:rsidRPr="0088274E" w:rsidRDefault="0088274E" w:rsidP="0088274E">
      <w:pPr>
        <w:spacing w:line="360" w:lineRule="auto"/>
        <w:ind w:left="567"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b/>
          <w:bCs/>
          <w:sz w:val="20"/>
          <w:szCs w:val="20"/>
          <w:lang w:eastAsia="ar-SA"/>
        </w:rPr>
        <w:t>Wykonawca jest zobowiązany do przygotowania i zabezpieczenia drogi transportowej oraz pomieszczeń aparatu i sterowni w zakresie niezbędnym do uruchomienia systemu oraz z minimum uwzględnieniem poniższych wymagań</w:t>
      </w:r>
      <w:r w:rsidRPr="0088274E">
        <w:rPr>
          <w:rFonts w:ascii="Arial" w:hAnsi="Arial" w:cs="Arial"/>
          <w:sz w:val="20"/>
          <w:szCs w:val="20"/>
          <w:lang w:eastAsia="ar-SA"/>
        </w:rPr>
        <w:t>:</w:t>
      </w:r>
    </w:p>
    <w:p w14:paraId="30843570" w14:textId="4D9CC1F2" w:rsidR="0088274E" w:rsidRP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wykonanie robót budowlano-instalacyjnych/ modernizacyjnych potrzebnych do uruchomienia systemu (miedzy innymi: zasilanie energią elektryczną, kanały kablowe, instalacje,  tablica zasilająca dla potrzeb aparatu, dostosowanie całej instalacji elektrycznej na potrzeby nowego aparatu wraz z wymianą osprzętu elektrycznego, wykonanie instalacji okablowania sieciowego w zakresie pomieszczeń),</w:t>
      </w:r>
    </w:p>
    <w:p w14:paraId="5B02C688" w14:textId="6E8EE2DF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lastRenderedPageBreak/>
        <w:t>weryfikacja wytrzymałości stropu oraz ścian (o ile okaże się to konieczne - wykonanie wzmocnienia stropów oraz ścian) – opracowanie, wykonane przez osobę uprawnioną,</w:t>
      </w:r>
    </w:p>
    <w:p w14:paraId="14872CC5" w14:textId="06CFCEC9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demontaż glazury ze ścian w pracowni TK w celu zmiany wykończenia ścian,</w:t>
      </w:r>
    </w:p>
    <w:p w14:paraId="20CD417C" w14:textId="0B91F156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 xml:space="preserve">demontaż i zabezpieczenie istniejącego wyposażenia oraz osprzętu instalacyjnego, </w:t>
      </w:r>
    </w:p>
    <w:p w14:paraId="34737FF2" w14:textId="4DEB69A1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 xml:space="preserve">wykonanie okładzin ścian w technologii lekkiej  do wysokości </w:t>
      </w:r>
      <w:r w:rsidR="004C216D" w:rsidRPr="004C216D">
        <w:rPr>
          <w:rFonts w:ascii="Arial" w:hAnsi="Arial" w:cs="Arial"/>
          <w:sz w:val="20"/>
          <w:szCs w:val="20"/>
          <w:lang w:eastAsia="ar-SA"/>
        </w:rPr>
        <w:t>1,2</w:t>
      </w:r>
      <w:r w:rsidRPr="004C216D">
        <w:rPr>
          <w:rFonts w:ascii="Arial" w:hAnsi="Arial" w:cs="Arial"/>
          <w:sz w:val="20"/>
          <w:szCs w:val="20"/>
          <w:lang w:eastAsia="ar-SA"/>
        </w:rPr>
        <w:t xml:space="preserve"> m (wykładzina </w:t>
      </w:r>
      <w:r w:rsidRPr="0088274E">
        <w:rPr>
          <w:rFonts w:ascii="Arial" w:hAnsi="Arial" w:cs="Arial"/>
          <w:sz w:val="20"/>
          <w:szCs w:val="20"/>
          <w:lang w:eastAsia="ar-SA"/>
        </w:rPr>
        <w:t>przemysłowa obiektowa ścienna)</w:t>
      </w:r>
      <w:r>
        <w:rPr>
          <w:rFonts w:ascii="Arial" w:hAnsi="Arial" w:cs="Arial"/>
          <w:sz w:val="20"/>
          <w:szCs w:val="20"/>
          <w:lang w:eastAsia="ar-SA"/>
        </w:rPr>
        <w:t>,</w:t>
      </w:r>
    </w:p>
    <w:p w14:paraId="62F9FB5C" w14:textId="259DD015" w:rsidR="0088274E" w:rsidRPr="004C216D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 xml:space="preserve"> demontaż oraz montaż wyposażenia pomieszczeń (między innymi: umywalka z szafką nierdzewną, podłączeniem do instalacji i odtworzeniem okładziny ściennej, demontaż grzejników C.O. </w:t>
      </w:r>
      <w:r w:rsidRPr="004C216D">
        <w:rPr>
          <w:rFonts w:ascii="Arial" w:hAnsi="Arial" w:cs="Arial"/>
          <w:sz w:val="20"/>
          <w:szCs w:val="20"/>
          <w:lang w:eastAsia="ar-SA"/>
        </w:rPr>
        <w:t xml:space="preserve">i montażu </w:t>
      </w:r>
      <w:r w:rsidR="004C216D" w:rsidRPr="004C216D">
        <w:rPr>
          <w:rFonts w:ascii="Arial" w:hAnsi="Arial" w:cs="Arial"/>
          <w:sz w:val="20"/>
          <w:szCs w:val="20"/>
          <w:lang w:eastAsia="ar-SA"/>
        </w:rPr>
        <w:t xml:space="preserve">jednego </w:t>
      </w:r>
      <w:r w:rsidRPr="004C216D">
        <w:rPr>
          <w:rFonts w:ascii="Arial" w:hAnsi="Arial" w:cs="Arial"/>
          <w:sz w:val="20"/>
          <w:szCs w:val="20"/>
          <w:lang w:eastAsia="ar-SA"/>
        </w:rPr>
        <w:t>grzejnik</w:t>
      </w:r>
      <w:r w:rsidR="004C216D" w:rsidRPr="004C216D">
        <w:rPr>
          <w:rFonts w:ascii="Arial" w:hAnsi="Arial" w:cs="Arial"/>
          <w:sz w:val="20"/>
          <w:szCs w:val="20"/>
          <w:lang w:eastAsia="ar-SA"/>
        </w:rPr>
        <w:t>a</w:t>
      </w:r>
      <w:r w:rsidRPr="004C216D">
        <w:rPr>
          <w:rFonts w:ascii="Arial" w:hAnsi="Arial" w:cs="Arial"/>
          <w:sz w:val="20"/>
          <w:szCs w:val="20"/>
          <w:lang w:eastAsia="ar-SA"/>
        </w:rPr>
        <w:t xml:space="preserve"> medyczn</w:t>
      </w:r>
      <w:r w:rsidR="004C216D" w:rsidRPr="004C216D">
        <w:rPr>
          <w:rFonts w:ascii="Arial" w:hAnsi="Arial" w:cs="Arial"/>
          <w:sz w:val="20"/>
          <w:szCs w:val="20"/>
          <w:lang w:eastAsia="ar-SA"/>
        </w:rPr>
        <w:t>ego</w:t>
      </w:r>
      <w:r w:rsidRPr="004C216D">
        <w:rPr>
          <w:rFonts w:ascii="Arial" w:hAnsi="Arial" w:cs="Arial"/>
          <w:sz w:val="20"/>
          <w:szCs w:val="20"/>
          <w:lang w:eastAsia="ar-SA"/>
        </w:rPr>
        <w:t>,</w:t>
      </w:r>
    </w:p>
    <w:p w14:paraId="2B2CDE8D" w14:textId="6E3A54F4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uzupełnienie ubytków tynków, wykonanie gładzi oraz malowanie ścian i sufitów w pomieszczeniach objętych modernizacją (kolorystyka ścian do ustalenia z użytkownikiem na etapie realizacji),</w:t>
      </w:r>
    </w:p>
    <w:p w14:paraId="736290CD" w14:textId="4813D04F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wykonanie nowego wykończenia posadzki w pomieszczeniach objętych modernizacją (wykładzina przemysłowa obiektowa PCV rodzaju homogenicznego, o parametrach min:  klasyfikacja przemysłowa: 43 Intensywne natężenie ruchu, oddziaływanie kółek krzeseł ISO 4918 brak uszkodzeń, odporność na bakterie  ISO 846 Part C nie sprzyja wzrostowi, antystatyczną,  atestowaną  przez  Państwowy Zakład Higieny dopuszczający do stosowania w obiektach szpitalnych o danej funkcji). W razie potrzeby uzupełnienia posadzki po zamknięciu kanałów kablowych. W razie potrzeby wykonanie wylewki betonowej na całości adaptacyjnych pomieszczeń. Kolorystyka/ wzory wykładzin do ustalenia z Zamawiającym na etapie realizacji</w:t>
      </w:r>
      <w:r>
        <w:rPr>
          <w:rFonts w:ascii="Arial" w:hAnsi="Arial" w:cs="Arial"/>
          <w:sz w:val="20"/>
          <w:szCs w:val="20"/>
          <w:lang w:eastAsia="ar-SA"/>
        </w:rPr>
        <w:t>,</w:t>
      </w:r>
    </w:p>
    <w:p w14:paraId="2759F08D" w14:textId="79DD25DA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wymiana oświetlenia w pracowni typu LED, żywotność min. 50 000 godzin,</w:t>
      </w:r>
    </w:p>
    <w:p w14:paraId="406E103D" w14:textId="64DF31D1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ewentualna wymiana szyby zgodnie z wykonanym projektem osłon stałych,</w:t>
      </w:r>
    </w:p>
    <w:p w14:paraId="5971C4C8" w14:textId="4E2E806D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wymiana drzwi na automatyczne drzwi przesuwne zgodne z wykonanym projektem osłon stałych,</w:t>
      </w:r>
    </w:p>
    <w:p w14:paraId="7C971793" w14:textId="24024765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 xml:space="preserve">wykonanie niezbędnego okablowania sieciowego, </w:t>
      </w:r>
    </w:p>
    <w:p w14:paraId="4B706A52" w14:textId="6570FB64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dostawa i montaż ścienny lampy bakteriobójczej przepływowej (LW- licznik cyfrowy, filtr przeciw-kurzowy – 5 szt., nie gorsza niż przepływowa lampa bakteriobójcza i wirusobójcza UV-C NBVE) zabezpieczająca pracownię tomografu zgodnie z wymaganiami sanitarnymi,</w:t>
      </w:r>
    </w:p>
    <w:p w14:paraId="32ABB8D0" w14:textId="373B4A10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przygotowanie dokumentacji powykonawczej (wersja papierowa i skan wersji papierowej) obrazującej między innymi szczegółowy przebieg tras instalacji, rodzaj zastosowanych materiałów, badania instalacji elektrycznej i pozostałe, karty katalogowe materiałów itp. (rysunki/ rzut pomieszczeń również w dwg)</w:t>
      </w:r>
      <w:r>
        <w:rPr>
          <w:rFonts w:ascii="Arial" w:hAnsi="Arial" w:cs="Arial"/>
          <w:sz w:val="20"/>
          <w:szCs w:val="20"/>
          <w:lang w:eastAsia="ar-SA"/>
        </w:rPr>
        <w:t>,</w:t>
      </w:r>
    </w:p>
    <w:p w14:paraId="00DDC20F" w14:textId="2931BADE" w:rsid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wykonanie badań dozymetrycznych,</w:t>
      </w:r>
    </w:p>
    <w:p w14:paraId="20F0E97A" w14:textId="4A50758E" w:rsidR="001D7C50" w:rsidRPr="0088274E" w:rsidRDefault="0088274E" w:rsidP="0088274E">
      <w:pPr>
        <w:pStyle w:val="Akapitzlist"/>
        <w:numPr>
          <w:ilvl w:val="0"/>
          <w:numId w:val="26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88274E">
        <w:rPr>
          <w:rFonts w:ascii="Arial" w:hAnsi="Arial" w:cs="Arial"/>
          <w:sz w:val="20"/>
          <w:szCs w:val="20"/>
          <w:lang w:eastAsia="ar-SA"/>
        </w:rPr>
        <w:t>należy zamontować niezbędne oznaczenia BHP i ppoż. pomieszczeń modernizowanych wraz z wyposażeniem (jeśli zajdzie taka potrzeba - w gaśnice itp.)</w:t>
      </w:r>
    </w:p>
    <w:p w14:paraId="5539A43E" w14:textId="77777777" w:rsidR="001D7C50" w:rsidRPr="0088274E" w:rsidRDefault="001D7C50" w:rsidP="0088274E">
      <w:pPr>
        <w:spacing w:line="360" w:lineRule="auto"/>
        <w:ind w:left="567" w:right="374"/>
        <w:rPr>
          <w:rFonts w:ascii="Arial" w:hAnsi="Arial" w:cs="Arial"/>
          <w:sz w:val="20"/>
          <w:szCs w:val="20"/>
          <w:lang w:eastAsia="ar-SA"/>
        </w:rPr>
      </w:pPr>
    </w:p>
    <w:p w14:paraId="35C728EA" w14:textId="77777777" w:rsidR="001D7C50" w:rsidRPr="0088274E" w:rsidRDefault="001D7C50" w:rsidP="00241AE5">
      <w:pPr>
        <w:spacing w:line="360" w:lineRule="auto"/>
        <w:ind w:right="374"/>
        <w:rPr>
          <w:rFonts w:ascii="Arial" w:hAnsi="Arial" w:cs="Arial"/>
          <w:sz w:val="20"/>
          <w:szCs w:val="20"/>
          <w:lang w:eastAsia="ar-SA"/>
        </w:rPr>
      </w:pPr>
    </w:p>
    <w:p w14:paraId="78493DB1" w14:textId="30A7F3FF" w:rsidR="00510DA0" w:rsidRPr="00BB7D9B" w:rsidRDefault="00510DA0" w:rsidP="004C216D">
      <w:pPr>
        <w:spacing w:line="360" w:lineRule="auto"/>
        <w:ind w:left="567" w:right="374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B7D9B">
        <w:rPr>
          <w:rFonts w:ascii="Arial" w:hAnsi="Arial" w:cs="Arial"/>
          <w:b/>
          <w:bCs/>
          <w:sz w:val="20"/>
          <w:szCs w:val="20"/>
          <w:lang w:eastAsia="ar-SA"/>
        </w:rPr>
        <w:t>Pozostałe obowiązki Wykonawcy w ramach wykonywanych robót budowlanych:</w:t>
      </w:r>
    </w:p>
    <w:p w14:paraId="2CD0A1F1" w14:textId="6B6C9198" w:rsidR="00510DA0" w:rsidRPr="00510DA0" w:rsidRDefault="00510DA0" w:rsidP="004C216D">
      <w:pPr>
        <w:pStyle w:val="Akapitzlist"/>
        <w:numPr>
          <w:ilvl w:val="0"/>
          <w:numId w:val="27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510DA0">
        <w:rPr>
          <w:rFonts w:ascii="Arial" w:hAnsi="Arial" w:cs="Arial"/>
          <w:sz w:val="20"/>
          <w:szCs w:val="20"/>
          <w:lang w:eastAsia="ar-SA"/>
        </w:rPr>
        <w:t>Wykonawca jest zobowiązany do wykonania robót budowlanych z materiałów własnych w pomieszczeniach zgodnie z obowiązującymi normami, sztuką budowlaną oraz opracowaną na własny koszt dokumentacją budowlano-wykonawczą,</w:t>
      </w:r>
    </w:p>
    <w:p w14:paraId="5AE17117" w14:textId="538DE498" w:rsidR="00510DA0" w:rsidRDefault="00510DA0" w:rsidP="004C216D">
      <w:pPr>
        <w:pStyle w:val="Akapitzlist"/>
        <w:numPr>
          <w:ilvl w:val="0"/>
          <w:numId w:val="27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510DA0">
        <w:rPr>
          <w:rFonts w:ascii="Arial" w:hAnsi="Arial" w:cs="Arial"/>
          <w:sz w:val="20"/>
          <w:szCs w:val="20"/>
          <w:lang w:eastAsia="ar-SA"/>
        </w:rPr>
        <w:lastRenderedPageBreak/>
        <w:t>w trakcie wykonywanych prac Wykonawca zobowiązany jest do zorganizowania, zagospodarowania oraz należytego zabezpieczenia placu budowy w sposób zapewniający bezpieczeństwo osób przebywających na terenie obiektu i w jego obrębie oraz zabezpieczenia przed dostępem osób trzecich oraz do uporządkowania terenu po wykonaniu robót,</w:t>
      </w:r>
    </w:p>
    <w:p w14:paraId="15BC77B1" w14:textId="454665F4" w:rsidR="00510DA0" w:rsidRDefault="00510DA0" w:rsidP="004C216D">
      <w:pPr>
        <w:pStyle w:val="Akapitzlist"/>
        <w:numPr>
          <w:ilvl w:val="0"/>
          <w:numId w:val="27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510DA0">
        <w:rPr>
          <w:rFonts w:ascii="Arial" w:hAnsi="Arial" w:cs="Arial"/>
          <w:sz w:val="20"/>
          <w:szCs w:val="20"/>
          <w:lang w:eastAsia="ar-SA"/>
        </w:rPr>
        <w:t>Wykonawca dostarczy Zamawiającemu dokumentację powykonawczą po zakończeniu wykonania robót oraz pomiarów instalacji (m.in. elektrycznej i</w:t>
      </w:r>
      <w:r w:rsidR="004C216D">
        <w:rPr>
          <w:rFonts w:ascii="Arial" w:hAnsi="Arial" w:cs="Arial"/>
          <w:sz w:val="20"/>
          <w:szCs w:val="20"/>
          <w:lang w:eastAsia="ar-SA"/>
        </w:rPr>
        <w:t> </w:t>
      </w:r>
      <w:r w:rsidRPr="00510DA0">
        <w:rPr>
          <w:rFonts w:ascii="Arial" w:hAnsi="Arial" w:cs="Arial"/>
          <w:sz w:val="20"/>
          <w:szCs w:val="20"/>
          <w:lang w:eastAsia="ar-SA"/>
        </w:rPr>
        <w:t>teleinformatycznej),</w:t>
      </w:r>
    </w:p>
    <w:p w14:paraId="34795C38" w14:textId="4F410CA3" w:rsidR="001D7C50" w:rsidRPr="00510DA0" w:rsidRDefault="00510DA0" w:rsidP="004C216D">
      <w:pPr>
        <w:pStyle w:val="Akapitzlist"/>
        <w:numPr>
          <w:ilvl w:val="0"/>
          <w:numId w:val="27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  <w:lang w:eastAsia="ar-SA"/>
        </w:rPr>
      </w:pPr>
      <w:r w:rsidRPr="00510DA0">
        <w:rPr>
          <w:rFonts w:ascii="Arial" w:hAnsi="Arial" w:cs="Arial"/>
          <w:sz w:val="20"/>
          <w:szCs w:val="20"/>
          <w:lang w:eastAsia="ar-SA"/>
        </w:rPr>
        <w:t>Wykonawca sporządzi harmonogram robót budowlanych z wyszczególnieniem terminów i zakresu robót w terminie 7 dni od zawarcia niniejszej umowy i przekaże go Zamawiającemu do akceptacji i zatwierdzenia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14:paraId="56C626DA" w14:textId="77777777" w:rsidR="00BB7D9B" w:rsidRDefault="00BB7D9B" w:rsidP="004C216D">
      <w:pPr>
        <w:spacing w:line="360" w:lineRule="auto"/>
        <w:ind w:left="567" w:right="374"/>
        <w:jc w:val="both"/>
        <w:rPr>
          <w:rFonts w:ascii="Arial" w:hAnsi="Arial" w:cs="Arial"/>
          <w:b/>
          <w:bCs/>
          <w:sz w:val="20"/>
          <w:szCs w:val="20"/>
        </w:rPr>
      </w:pPr>
      <w:r w:rsidRPr="00BB7D9B">
        <w:rPr>
          <w:rFonts w:ascii="Arial" w:hAnsi="Arial" w:cs="Arial"/>
          <w:b/>
          <w:bCs/>
          <w:sz w:val="20"/>
          <w:szCs w:val="20"/>
        </w:rPr>
        <w:t>Warunki gwarancji i rękojmi na roboty budowlane i instalacje</w:t>
      </w:r>
    </w:p>
    <w:p w14:paraId="0ACD67A5" w14:textId="529B7BE1" w:rsidR="00BB7D9B" w:rsidRP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 xml:space="preserve">Wykonawca udziela gwarancji na okres 36 miesięcy na roboty budowlane i instalacyjne wykonane w pomieszczeniach na pracownię tomografu komputerowego, liczonej od daty końcowego odbioru robót bez zastrzeżeń. </w:t>
      </w:r>
    </w:p>
    <w:p w14:paraId="050DCE61" w14:textId="1ECF6122" w:rsid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>Zamawiający może wykonywać uprawnienia z tytułu rękojmi niezależnie od uprawnień z tytułu gwarancji.</w:t>
      </w:r>
    </w:p>
    <w:p w14:paraId="7DB323DF" w14:textId="0BD7EB57" w:rsid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 xml:space="preserve">W przypadku wystąpienia wad Wykonawca zobowiązuje się przystąpić do ich usunięcia w terminie </w:t>
      </w:r>
      <w:r w:rsidRPr="00BB7D9B">
        <w:rPr>
          <w:rFonts w:ascii="Arial" w:hAnsi="Arial" w:cs="Arial"/>
          <w:b/>
          <w:bCs/>
          <w:sz w:val="20"/>
          <w:szCs w:val="20"/>
        </w:rPr>
        <w:t>5 dni roboczych</w:t>
      </w:r>
      <w:r w:rsidRPr="00BB7D9B">
        <w:rPr>
          <w:rFonts w:ascii="Arial" w:hAnsi="Arial" w:cs="Arial"/>
          <w:sz w:val="20"/>
          <w:szCs w:val="20"/>
        </w:rPr>
        <w:t xml:space="preserve"> od daty zgłoszenia ich przez Zamawiającego. Termin zakończenia usunięcia wad Strony ustalą protokolarnie.</w:t>
      </w:r>
    </w:p>
    <w:p w14:paraId="5C740A89" w14:textId="022F3880" w:rsid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>Wykonawca udzieli gwarancji na wymienione podczas naprawy przedmiotu umowy podzespoły zgodnie z gwarancją udzieloną przez producenta, z terminem nie krótszym niż 12 miesięcy  oraz z jednoczesnym zastrzeżeniem, iż termin ten nie może kończyć się wcześniej niż upływ terminu gwarancji określonej w ust. 1.</w:t>
      </w:r>
    </w:p>
    <w:p w14:paraId="6AC51298" w14:textId="7752BF24" w:rsid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>Pomimo wygaśnięcia gwarancji lub rękojmi Wykonawca zobowiązany jest usunąć wady, które zostały zgłoszone przez Zamawiającego w okresie trwania gwarancji.</w:t>
      </w:r>
    </w:p>
    <w:p w14:paraId="25672F7B" w14:textId="72960E4E" w:rsid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 xml:space="preserve">Zamawiający zastrzega sobie prawo obciążenia Wykonawcy wszystkimi kosztami usunięcia wad, jeżeli Wykonawca nie przystąpi do ich usunięcia w terminie określonym w </w:t>
      </w:r>
      <w:r>
        <w:rPr>
          <w:rFonts w:ascii="Arial" w:hAnsi="Arial" w:cs="Arial"/>
          <w:sz w:val="20"/>
          <w:szCs w:val="20"/>
        </w:rPr>
        <w:t>punkcie</w:t>
      </w:r>
      <w:r w:rsidRPr="00BB7D9B">
        <w:rPr>
          <w:rFonts w:ascii="Arial" w:hAnsi="Arial" w:cs="Arial"/>
          <w:sz w:val="20"/>
          <w:szCs w:val="20"/>
        </w:rPr>
        <w:t xml:space="preserve"> 3. </w:t>
      </w:r>
    </w:p>
    <w:p w14:paraId="6495662F" w14:textId="01AFC904" w:rsidR="00C131D4" w:rsidRPr="00BB7D9B" w:rsidRDefault="00BB7D9B" w:rsidP="004C216D">
      <w:pPr>
        <w:pStyle w:val="Akapitzlist"/>
        <w:numPr>
          <w:ilvl w:val="0"/>
          <w:numId w:val="28"/>
        </w:numPr>
        <w:spacing w:line="360" w:lineRule="auto"/>
        <w:ind w:right="374"/>
        <w:jc w:val="both"/>
        <w:rPr>
          <w:rFonts w:ascii="Arial" w:hAnsi="Arial" w:cs="Arial"/>
          <w:sz w:val="20"/>
          <w:szCs w:val="20"/>
        </w:rPr>
      </w:pPr>
      <w:r w:rsidRPr="00BB7D9B">
        <w:rPr>
          <w:rFonts w:ascii="Arial" w:hAnsi="Arial" w:cs="Arial"/>
          <w:sz w:val="20"/>
          <w:szCs w:val="20"/>
        </w:rPr>
        <w:t>Zamawiający zobowiązuje się do zgłaszania naprawy przedmiotu umowy telefonicznie i potwierdzenia zgłoszenia za pomocą środków komunikacji elektronicznej na adres e-mail Wykonawcy</w:t>
      </w:r>
      <w:r>
        <w:rPr>
          <w:rFonts w:ascii="Arial" w:hAnsi="Arial" w:cs="Arial"/>
          <w:sz w:val="20"/>
          <w:szCs w:val="20"/>
        </w:rPr>
        <w:t>.</w:t>
      </w:r>
    </w:p>
    <w:sectPr w:rsidR="00C131D4" w:rsidRPr="00BB7D9B" w:rsidSect="001D7C50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3DEA53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</w:abstractNum>
  <w:abstractNum w:abstractNumId="1" w15:restartNumberingAfterBreak="0">
    <w:nsid w:val="01DC0C42"/>
    <w:multiLevelType w:val="hybridMultilevel"/>
    <w:tmpl w:val="169A9618"/>
    <w:lvl w:ilvl="0" w:tplc="99BC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9262A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3" w15:restartNumberingAfterBreak="0">
    <w:nsid w:val="04F97F31"/>
    <w:multiLevelType w:val="hybridMultilevel"/>
    <w:tmpl w:val="8FDC68E2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E84277"/>
    <w:multiLevelType w:val="hybridMultilevel"/>
    <w:tmpl w:val="06367F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A6E6D"/>
    <w:multiLevelType w:val="hybridMultilevel"/>
    <w:tmpl w:val="17D0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029A"/>
    <w:multiLevelType w:val="hybridMultilevel"/>
    <w:tmpl w:val="19AC6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731E"/>
    <w:multiLevelType w:val="hybridMultilevel"/>
    <w:tmpl w:val="ECBC9216"/>
    <w:lvl w:ilvl="0" w:tplc="16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6A1415"/>
    <w:multiLevelType w:val="hybridMultilevel"/>
    <w:tmpl w:val="56B257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B33"/>
    <w:multiLevelType w:val="hybridMultilevel"/>
    <w:tmpl w:val="EB7E066A"/>
    <w:lvl w:ilvl="0" w:tplc="D29C61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F4F95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1" w15:restartNumberingAfterBreak="0">
    <w:nsid w:val="44616E86"/>
    <w:multiLevelType w:val="hybridMultilevel"/>
    <w:tmpl w:val="F2D0ABC2"/>
    <w:lvl w:ilvl="0" w:tplc="585AC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435360"/>
    <w:multiLevelType w:val="hybridMultilevel"/>
    <w:tmpl w:val="9C3889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0699D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4" w15:restartNumberingAfterBreak="0">
    <w:nsid w:val="4E3B6C24"/>
    <w:multiLevelType w:val="hybridMultilevel"/>
    <w:tmpl w:val="C66A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6A0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6" w15:restartNumberingAfterBreak="0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7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54238"/>
    <w:multiLevelType w:val="hybridMultilevel"/>
    <w:tmpl w:val="306AB664"/>
    <w:lvl w:ilvl="0" w:tplc="E9F286EC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53677"/>
    <w:multiLevelType w:val="hybridMultilevel"/>
    <w:tmpl w:val="5B5A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F7744"/>
    <w:multiLevelType w:val="hybridMultilevel"/>
    <w:tmpl w:val="47CA9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009A"/>
    <w:multiLevelType w:val="hybridMultilevel"/>
    <w:tmpl w:val="3E62C3B0"/>
    <w:lvl w:ilvl="0" w:tplc="CD62B7C8">
      <w:start w:val="1"/>
      <w:numFmt w:val="bullet"/>
      <w:lvlText w:val="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5FA627DF"/>
    <w:multiLevelType w:val="hybridMultilevel"/>
    <w:tmpl w:val="203AB728"/>
    <w:name w:val="WW8Num203"/>
    <w:lvl w:ilvl="0" w:tplc="102CD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6B45"/>
    <w:multiLevelType w:val="hybridMultilevel"/>
    <w:tmpl w:val="EA9E2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7063"/>
    <w:multiLevelType w:val="hybridMultilevel"/>
    <w:tmpl w:val="AE9AEA56"/>
    <w:name w:val="WW8Num202"/>
    <w:lvl w:ilvl="0" w:tplc="1A103D0A">
      <w:start w:val="11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E0DF2"/>
    <w:multiLevelType w:val="hybridMultilevel"/>
    <w:tmpl w:val="44EA2D8C"/>
    <w:lvl w:ilvl="0" w:tplc="7CF2E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7E61251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57703">
    <w:abstractNumId w:val="0"/>
  </w:num>
  <w:num w:numId="2" w16cid:durableId="303438011">
    <w:abstractNumId w:val="18"/>
  </w:num>
  <w:num w:numId="3" w16cid:durableId="1354646695">
    <w:abstractNumId w:val="21"/>
  </w:num>
  <w:num w:numId="4" w16cid:durableId="1107774138">
    <w:abstractNumId w:val="3"/>
  </w:num>
  <w:num w:numId="5" w16cid:durableId="1631747813">
    <w:abstractNumId w:val="6"/>
  </w:num>
  <w:num w:numId="6" w16cid:durableId="1653020968">
    <w:abstractNumId w:val="8"/>
  </w:num>
  <w:num w:numId="7" w16cid:durableId="295526367">
    <w:abstractNumId w:val="12"/>
  </w:num>
  <w:num w:numId="8" w16cid:durableId="575483051">
    <w:abstractNumId w:val="9"/>
  </w:num>
  <w:num w:numId="9" w16cid:durableId="442114640">
    <w:abstractNumId w:val="10"/>
  </w:num>
  <w:num w:numId="10" w16cid:durableId="238515664">
    <w:abstractNumId w:val="2"/>
  </w:num>
  <w:num w:numId="11" w16cid:durableId="873925201">
    <w:abstractNumId w:val="13"/>
  </w:num>
  <w:num w:numId="12" w16cid:durableId="1050569489">
    <w:abstractNumId w:val="15"/>
  </w:num>
  <w:num w:numId="13" w16cid:durableId="678846968">
    <w:abstractNumId w:val="26"/>
  </w:num>
  <w:num w:numId="14" w16cid:durableId="1787507656">
    <w:abstractNumId w:val="17"/>
  </w:num>
  <w:num w:numId="15" w16cid:durableId="120807199">
    <w:abstractNumId w:val="4"/>
  </w:num>
  <w:num w:numId="16" w16cid:durableId="393311915">
    <w:abstractNumId w:val="19"/>
  </w:num>
  <w:num w:numId="17" w16cid:durableId="1541669529">
    <w:abstractNumId w:val="14"/>
  </w:num>
  <w:num w:numId="18" w16cid:durableId="1936940528">
    <w:abstractNumId w:val="5"/>
  </w:num>
  <w:num w:numId="19" w16cid:durableId="1378354397">
    <w:abstractNumId w:val="27"/>
  </w:num>
  <w:num w:numId="20" w16cid:durableId="999234212">
    <w:abstractNumId w:val="16"/>
  </w:num>
  <w:num w:numId="21" w16cid:durableId="1814105805">
    <w:abstractNumId w:val="25"/>
  </w:num>
  <w:num w:numId="22" w16cid:durableId="1869179393">
    <w:abstractNumId w:val="20"/>
  </w:num>
  <w:num w:numId="23" w16cid:durableId="1317689279">
    <w:abstractNumId w:val="23"/>
  </w:num>
  <w:num w:numId="24" w16cid:durableId="741761366">
    <w:abstractNumId w:val="24"/>
  </w:num>
  <w:num w:numId="25" w16cid:durableId="1109666901">
    <w:abstractNumId w:val="22"/>
  </w:num>
  <w:num w:numId="26" w16cid:durableId="874729147">
    <w:abstractNumId w:val="11"/>
  </w:num>
  <w:num w:numId="27" w16cid:durableId="343940409">
    <w:abstractNumId w:val="1"/>
  </w:num>
  <w:num w:numId="28" w16cid:durableId="868104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50"/>
    <w:rsid w:val="00073A93"/>
    <w:rsid w:val="000C4DF1"/>
    <w:rsid w:val="000D4874"/>
    <w:rsid w:val="001D7C50"/>
    <w:rsid w:val="00241AE5"/>
    <w:rsid w:val="002955EE"/>
    <w:rsid w:val="002D2A79"/>
    <w:rsid w:val="003125D5"/>
    <w:rsid w:val="003E42BE"/>
    <w:rsid w:val="003F03AB"/>
    <w:rsid w:val="00403E03"/>
    <w:rsid w:val="00446BBC"/>
    <w:rsid w:val="00476938"/>
    <w:rsid w:val="004A424E"/>
    <w:rsid w:val="004C216D"/>
    <w:rsid w:val="00510DA0"/>
    <w:rsid w:val="0056598A"/>
    <w:rsid w:val="00587B63"/>
    <w:rsid w:val="0059592C"/>
    <w:rsid w:val="005A5A23"/>
    <w:rsid w:val="005C4B6F"/>
    <w:rsid w:val="00642322"/>
    <w:rsid w:val="00652FA7"/>
    <w:rsid w:val="00696A26"/>
    <w:rsid w:val="006A4453"/>
    <w:rsid w:val="006B3577"/>
    <w:rsid w:val="00775E76"/>
    <w:rsid w:val="00790EA0"/>
    <w:rsid w:val="007D09DE"/>
    <w:rsid w:val="00847F14"/>
    <w:rsid w:val="0085087F"/>
    <w:rsid w:val="00862266"/>
    <w:rsid w:val="0088274E"/>
    <w:rsid w:val="008B7782"/>
    <w:rsid w:val="0091146A"/>
    <w:rsid w:val="009E54BD"/>
    <w:rsid w:val="00AD2718"/>
    <w:rsid w:val="00AF703B"/>
    <w:rsid w:val="00B577C7"/>
    <w:rsid w:val="00B66E12"/>
    <w:rsid w:val="00B72B17"/>
    <w:rsid w:val="00BB7D9B"/>
    <w:rsid w:val="00C12AB6"/>
    <w:rsid w:val="00C131D4"/>
    <w:rsid w:val="00C273EB"/>
    <w:rsid w:val="00C8691A"/>
    <w:rsid w:val="00CE6B1B"/>
    <w:rsid w:val="00D6140B"/>
    <w:rsid w:val="00E2286D"/>
    <w:rsid w:val="00EE18EF"/>
    <w:rsid w:val="00EE7CB6"/>
    <w:rsid w:val="00EF4F1F"/>
    <w:rsid w:val="00EF5873"/>
    <w:rsid w:val="00F478AF"/>
    <w:rsid w:val="00F65451"/>
    <w:rsid w:val="00F77301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8AEA"/>
  <w15:chartTrackingRefBased/>
  <w15:docId w15:val="{A26EAB9A-11DE-4495-A3D7-A950583D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C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D7C50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D7C5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C50"/>
    <w:rPr>
      <w:rFonts w:ascii="Arial Narrow" w:eastAsia="Times New Roman" w:hAnsi="Arial Narrow" w:cs="Times New Roman"/>
      <w:b/>
      <w:bCs/>
      <w:kern w:val="0"/>
      <w:sz w:val="18"/>
      <w:szCs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1D7C5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1D7C50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1D7C50"/>
    <w:rPr>
      <w:rFonts w:ascii="Arial Narrow" w:eastAsia="Times New Roman" w:hAnsi="Arial Narrow" w:cs="Times New Roman"/>
      <w:b/>
      <w:bCs/>
      <w:color w:val="000000"/>
      <w:kern w:val="0"/>
      <w:sz w:val="26"/>
      <w:szCs w:val="28"/>
      <w:shd w:val="clear" w:color="auto" w:fill="FFFFFF"/>
      <w:lang w:eastAsia="ar-SA"/>
      <w14:ligatures w14:val="none"/>
    </w:rPr>
  </w:style>
  <w:style w:type="paragraph" w:styleId="Podtytu">
    <w:name w:val="Subtitle"/>
    <w:basedOn w:val="Normalny"/>
    <w:link w:val="PodtytuZnak"/>
    <w:qFormat/>
    <w:rsid w:val="001D7C50"/>
    <w:pPr>
      <w:shd w:val="clear" w:color="auto" w:fill="FFFFFF"/>
      <w:suppressAutoHyphens/>
      <w:spacing w:line="480" w:lineRule="auto"/>
      <w:ind w:right="883"/>
      <w:jc w:val="center"/>
    </w:pPr>
    <w:rPr>
      <w:rFonts w:ascii="Arial Narrow" w:hAnsi="Arial Narrow"/>
      <w:b/>
      <w:bCs/>
      <w:color w:val="000000"/>
      <w:spacing w:val="-3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D7C50"/>
    <w:rPr>
      <w:rFonts w:ascii="Arial Narrow" w:eastAsia="Times New Roman" w:hAnsi="Arial Narrow" w:cs="Times New Roman"/>
      <w:b/>
      <w:bCs/>
      <w:color w:val="000000"/>
      <w:spacing w:val="-3"/>
      <w:kern w:val="0"/>
      <w:sz w:val="24"/>
      <w:szCs w:val="28"/>
      <w:shd w:val="clear" w:color="auto" w:fill="FFFFFF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rsid w:val="001D7C50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7C5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ormal9pt">
    <w:name w:val="Normal 9 pt"/>
    <w:basedOn w:val="Normalny"/>
    <w:rsid w:val="001D7C50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1D7C50"/>
    <w:pPr>
      <w:widowControl w:val="0"/>
      <w:suppressLineNumbers/>
      <w:suppressAutoHyphens/>
    </w:pPr>
    <w:rPr>
      <w:lang w:eastAsia="ar-SA"/>
    </w:rPr>
  </w:style>
  <w:style w:type="paragraph" w:styleId="Nagwek">
    <w:name w:val="header"/>
    <w:basedOn w:val="Normalny"/>
    <w:link w:val="NagwekZnak"/>
    <w:semiHidden/>
    <w:rsid w:val="001D7C50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D7C5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1D7C50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1D7C5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bsatzTableFormat">
    <w:name w:val="AbsatzTableFormat"/>
    <w:basedOn w:val="Normalny"/>
    <w:qFormat/>
    <w:rsid w:val="001D7C50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styleId="Bezodstpw">
    <w:name w:val="No Spacing"/>
    <w:uiPriority w:val="1"/>
    <w:qFormat/>
    <w:rsid w:val="001D7C50"/>
    <w:pPr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styleId="Hipercze">
    <w:name w:val="Hyperlink"/>
    <w:uiPriority w:val="99"/>
    <w:rsid w:val="001D7C50"/>
    <w:rPr>
      <w:color w:val="0000FF"/>
      <w:u w:val="single"/>
    </w:rPr>
  </w:style>
  <w:style w:type="character" w:customStyle="1" w:styleId="item">
    <w:name w:val="item"/>
    <w:rsid w:val="001D7C50"/>
  </w:style>
  <w:style w:type="paragraph" w:customStyle="1" w:styleId="Tekstpodstawowy21">
    <w:name w:val="Tekst podstawowy 21"/>
    <w:basedOn w:val="Normalny"/>
    <w:rsid w:val="001D7C50"/>
    <w:pPr>
      <w:suppressAutoHyphens/>
      <w:jc w:val="both"/>
    </w:pPr>
    <w:rPr>
      <w:rFonts w:ascii="Century Gothic" w:hAnsi="Century Gothic"/>
      <w:bCs/>
      <w:sz w:val="20"/>
      <w:szCs w:val="20"/>
      <w:lang w:eastAsia="ar-SA"/>
    </w:rPr>
  </w:style>
  <w:style w:type="paragraph" w:customStyle="1" w:styleId="Body">
    <w:name w:val="Body"/>
    <w:rsid w:val="001D7C50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1D7C50"/>
    <w:rPr>
      <w:rFonts w:eastAsia="Calibr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7C50"/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ntStyle98">
    <w:name w:val="Font Style98"/>
    <w:uiPriority w:val="99"/>
    <w:rsid w:val="001D7C50"/>
    <w:rPr>
      <w:rFonts w:ascii="Arial Unicode MS" w:eastAsia="Arial Unicode MS" w:cs="Arial Unicode MS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5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1D7C5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50"/>
    <w:rPr>
      <w:rFonts w:eastAsia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50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pl-PL"/>
      <w14:ligatures w14:val="none"/>
    </w:rPr>
  </w:style>
  <w:style w:type="paragraph" w:styleId="Lista2">
    <w:name w:val="List 2"/>
    <w:basedOn w:val="Normalny"/>
    <w:rsid w:val="001D7C50"/>
    <w:pPr>
      <w:ind w:left="566" w:hanging="283"/>
    </w:pPr>
    <w:rPr>
      <w:sz w:val="20"/>
      <w:szCs w:val="20"/>
    </w:rPr>
  </w:style>
  <w:style w:type="paragraph" w:styleId="Akapitzlist">
    <w:name w:val="List Paragraph"/>
    <w:aliases w:val="sw tekst,L1,Numerowanie,Akapit z listą BS,ISCG Numerowanie,lp1,CW_Lista,Normal,Akapit z listą3,Akapit z listą31,Wypunktowanie,List Paragraph,Normal2,2 heading,A_wyliczenie,K-P_odwolanie,Akapit z listą5,maz_wyliczenie,opis dzialania,Preamb"/>
    <w:basedOn w:val="Normalny"/>
    <w:link w:val="AkapitzlistZnak"/>
    <w:qFormat/>
    <w:rsid w:val="001D7C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L1 Znak,Numerowanie Znak,Akapit z listą BS Znak,ISCG Numerowanie Znak,lp1 Znak,CW_Lista Znak,Normal Znak,Akapit z listą3 Znak,Akapit z listą31 Znak,Wypunktowanie Znak,List Paragraph Znak,Normal2 Znak,2 heading Znak"/>
    <w:basedOn w:val="Domylnaczcionkaakapitu"/>
    <w:link w:val="Akapitzlist"/>
    <w:qFormat/>
    <w:locked/>
    <w:rsid w:val="001D7C50"/>
    <w:rPr>
      <w:rFonts w:ascii="Calibri" w:eastAsia="Calibri" w:hAnsi="Calibri" w:cs="Times New Roman"/>
      <w:kern w:val="0"/>
      <w14:ligatures w14:val="none"/>
    </w:rPr>
  </w:style>
  <w:style w:type="paragraph" w:customStyle="1" w:styleId="xdefault">
    <w:name w:val="x_default"/>
    <w:basedOn w:val="Normalny"/>
    <w:rsid w:val="001D7C50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1D7C50"/>
    <w:pPr>
      <w:widowControl w:val="0"/>
      <w:suppressAutoHyphens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1D7C50"/>
  </w:style>
  <w:style w:type="character" w:customStyle="1" w:styleId="informationcharacteristicsspecificationlistitemlabel">
    <w:name w:val="information__characteristics__specification__list__item__label"/>
    <w:basedOn w:val="Domylnaczcionkaakapitu"/>
    <w:rsid w:val="001D7C50"/>
  </w:style>
  <w:style w:type="character" w:customStyle="1" w:styleId="informationcharacteristicsspecificationlistitemvalues">
    <w:name w:val="information__characteristics__specification__list__item__values"/>
    <w:basedOn w:val="Domylnaczcionkaakapitu"/>
    <w:rsid w:val="001D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13</Pages>
  <Words>3700</Words>
  <Characters>22206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Schmidt</dc:creator>
  <cp:keywords/>
  <dc:description/>
  <cp:lastModifiedBy>Bożena Schmidt</cp:lastModifiedBy>
  <cp:revision>17</cp:revision>
  <cp:lastPrinted>2024-07-09T10:36:00Z</cp:lastPrinted>
  <dcterms:created xsi:type="dcterms:W3CDTF">2024-05-10T09:03:00Z</dcterms:created>
  <dcterms:modified xsi:type="dcterms:W3CDTF">2024-07-30T12:30:00Z</dcterms:modified>
</cp:coreProperties>
</file>