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F67B1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487040">
        <w:rPr>
          <w:rFonts w:ascii="Arial" w:hAnsi="Arial" w:cs="Arial"/>
          <w:b/>
          <w:i/>
          <w:color w:val="000000"/>
          <w:sz w:val="18"/>
          <w:szCs w:val="18"/>
        </w:rPr>
        <w:t>akcesoriów i komponentów do foteli obrotowych</w:t>
      </w:r>
      <w:r w:rsidR="004F3054">
        <w:rPr>
          <w:rFonts w:ascii="Arial" w:hAnsi="Arial" w:cs="Arial"/>
          <w:b/>
          <w:i/>
          <w:color w:val="000000"/>
          <w:sz w:val="18"/>
          <w:szCs w:val="18"/>
        </w:rPr>
        <w:t xml:space="preserve"> typu Bravo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7047"/>
    <w:rsid w:val="004800B0"/>
    <w:rsid w:val="00487040"/>
    <w:rsid w:val="004F3054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EF6DC-B125-4FFB-86ED-959F4CBB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6</cp:revision>
  <cp:lastPrinted>2018-06-08T08:39:00Z</cp:lastPrinted>
  <dcterms:created xsi:type="dcterms:W3CDTF">2022-08-17T10:35:00Z</dcterms:created>
  <dcterms:modified xsi:type="dcterms:W3CDTF">2022-10-06T10:38:00Z</dcterms:modified>
</cp:coreProperties>
</file>