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8200BA">
        <w:rPr>
          <w:rFonts w:ascii="Calibri" w:eastAsia="Calibri" w:hAnsi="Calibri" w:cs="Mangal"/>
          <w:sz w:val="22"/>
          <w:szCs w:val="22"/>
        </w:rPr>
        <w:t>57</w:t>
      </w:r>
      <w:r w:rsidR="00453AED">
        <w:rPr>
          <w:rFonts w:ascii="Calibri" w:eastAsia="Calibri" w:hAnsi="Calibri" w:cs="Mangal"/>
          <w:sz w:val="22"/>
          <w:szCs w:val="22"/>
        </w:rPr>
        <w:t>.2023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453AED">
        <w:rPr>
          <w:rFonts w:ascii="Calibri" w:eastAsia="Calibri" w:hAnsi="Calibri" w:cs="Mangal"/>
          <w:sz w:val="22"/>
          <w:szCs w:val="22"/>
        </w:rPr>
        <w:t>WK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D51923" w:rsidRDefault="00D51923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453AED" w:rsidRDefault="007D548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645A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830B31" w:rsidRPr="009645A1" w:rsidRDefault="00830B31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645A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453AED" w:rsidRDefault="007D548C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9645A1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Adres: </w:t>
      </w:r>
      <w:r w:rsidR="00830B31" w:rsidRPr="009645A1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</w:t>
      </w:r>
    </w:p>
    <w:p w:rsidR="00453AED" w:rsidRPr="008813F1" w:rsidRDefault="006B7C3D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proofErr w:type="spellStart"/>
      <w:r w:rsidRPr="008813F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8813F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 58 6776351</w:t>
      </w:r>
      <w:r w:rsidR="007D548C" w:rsidRPr="008813F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, </w:t>
      </w:r>
    </w:p>
    <w:p w:rsidR="00453AED" w:rsidRPr="00453AED" w:rsidRDefault="00F216B7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453AED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fax: 58 6776352 </w:t>
      </w:r>
    </w:p>
    <w:p w:rsidR="00453AED" w:rsidRDefault="006B7C3D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D51923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e-mail: os_zwartowo</w:t>
      </w:r>
      <w:r w:rsidR="007D548C" w:rsidRPr="00D51923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@sw.gov.pl </w:t>
      </w:r>
    </w:p>
    <w:p w:rsidR="00453AED" w:rsidRDefault="00347CCF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hyperlink r:id="rId8" w:history="1">
        <w:r w:rsidR="007D548C" w:rsidRPr="00453AED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val="en-US" w:eastAsia="ar-SA" w:bidi="ar-SA"/>
          </w:rPr>
          <w:t>http://www.sw.gov.pl</w:t>
        </w:r>
      </w:hyperlink>
    </w:p>
    <w:p w:rsidR="007D548C" w:rsidRPr="00453AED" w:rsidRDefault="007D548C" w:rsidP="00453AED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453AE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  <w:t>NIP: 561-12-21-394</w:t>
      </w:r>
    </w:p>
    <w:p w:rsidR="00947882" w:rsidRPr="00453AED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9645A1"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C35818" w:rsidRPr="009645A1" w:rsidRDefault="00C35818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</w:p>
    <w:p w:rsidR="00AD2C2C" w:rsidRPr="009645A1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9645A1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9645A1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 w:rsidRPr="009645A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9645A1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45A1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9645A1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9645A1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1668AE" w:rsidRPr="009645A1">
        <w:rPr>
          <w:rFonts w:asciiTheme="minorHAnsi" w:hAnsiTheme="minorHAnsi" w:cstheme="minorHAnsi"/>
          <w:b/>
          <w:sz w:val="22"/>
          <w:szCs w:val="22"/>
          <w:u w:val="single"/>
        </w:rPr>
        <w:t>przypraw</w:t>
      </w:r>
      <w:r w:rsidR="001668AE" w:rsidRPr="009645A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9645A1">
        <w:rPr>
          <w:rFonts w:asciiTheme="minorHAnsi" w:hAnsiTheme="minorHAnsi" w:cstheme="minorHAnsi"/>
          <w:shd w:val="clear" w:color="auto" w:fill="FFFFFF"/>
        </w:rPr>
        <w:t>na potrzeby</w:t>
      </w:r>
      <w:r w:rsidR="00830B31" w:rsidRPr="009645A1">
        <w:rPr>
          <w:rFonts w:asciiTheme="minorHAnsi" w:hAnsiTheme="minorHAnsi" w:cstheme="minorHAnsi"/>
          <w:shd w:val="clear" w:color="auto" w:fill="FFFFFF"/>
        </w:rPr>
        <w:t xml:space="preserve"> </w:t>
      </w:r>
      <w:r w:rsidRPr="009645A1">
        <w:rPr>
          <w:rFonts w:asciiTheme="minorHAnsi" w:hAnsiTheme="minorHAnsi" w:cstheme="minorHAnsi"/>
          <w:sz w:val="22"/>
          <w:szCs w:val="22"/>
        </w:rPr>
        <w:t>Ośrodk</w:t>
      </w:r>
      <w:r w:rsidR="00112CA8" w:rsidRPr="009645A1">
        <w:rPr>
          <w:rFonts w:asciiTheme="minorHAnsi" w:hAnsiTheme="minorHAnsi" w:cstheme="minorHAnsi"/>
          <w:sz w:val="22"/>
          <w:szCs w:val="22"/>
        </w:rPr>
        <w:t>a</w:t>
      </w:r>
      <w:r w:rsidRPr="009645A1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 w:rsidRPr="009645A1">
        <w:rPr>
          <w:rFonts w:asciiTheme="minorHAnsi" w:hAnsiTheme="minorHAnsi" w:cstheme="minorHAnsi"/>
          <w:sz w:val="22"/>
          <w:szCs w:val="22"/>
        </w:rPr>
        <w:t xml:space="preserve"> </w:t>
      </w:r>
      <w:r w:rsidRPr="009645A1">
        <w:rPr>
          <w:rFonts w:asciiTheme="minorHAnsi" w:hAnsiTheme="minorHAnsi" w:cstheme="minorHAnsi"/>
          <w:sz w:val="22"/>
          <w:szCs w:val="22"/>
        </w:rPr>
        <w:t>w Suchej</w:t>
      </w:r>
      <w:r w:rsidR="00830B31" w:rsidRPr="009645A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9645A1">
        <w:rPr>
          <w:rFonts w:asciiTheme="minorHAnsi" w:hAnsiTheme="minorHAnsi" w:cstheme="minorHAnsi"/>
          <w:sz w:val="22"/>
          <w:szCs w:val="22"/>
        </w:rPr>
        <w:t>.</w:t>
      </w:r>
    </w:p>
    <w:p w:rsidR="00343CC7" w:rsidRPr="009645A1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45A1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453AED" w:rsidRDefault="0004519A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Cynamon</w:t>
      </w:r>
      <w:r w:rsidR="00E22968"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Pr="009645A1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70000 – 7 – w ilości 1 kg</w:t>
      </w:r>
      <w:r w:rsidR="00E22968" w:rsidRPr="009645A1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, </w:t>
      </w:r>
      <w:r w:rsidR="00715AA4" w:rsidRPr="009645A1">
        <w:rPr>
          <w:rFonts w:asciiTheme="minorHAnsi" w:hAnsiTheme="minorHAnsi" w:cs="Times New Roman"/>
          <w:sz w:val="22"/>
          <w:szCs w:val="22"/>
        </w:rPr>
        <w:t>Wyselekcjonowany cynamon mielony bez glutaminianu sodu (100%), gatunek I, opakowania do 0,5 kg; torebka polietylenowa zgrzewana chroniące przed światłem i wilgocią lub opakowanie z tworzywa sztucznego; PN-84/R-87010</w:t>
      </w:r>
    </w:p>
    <w:p w:rsidR="00453AED" w:rsidRPr="00771E5F" w:rsidRDefault="00453AED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453AED">
        <w:rPr>
          <w:rFonts w:asciiTheme="minorHAnsi" w:hAnsiTheme="minorHAnsi" w:cs="Times New Roman"/>
          <w:b/>
          <w:sz w:val="22"/>
          <w:szCs w:val="22"/>
        </w:rPr>
        <w:t>Czosnek granulowany</w:t>
      </w:r>
      <w:r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Pr="00453AE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70000 – 7 – w ilości 20 kg, </w:t>
      </w:r>
      <w:r w:rsidRPr="00771E5F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przyprawa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771E5F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o wyrazistym smaku otrzymywana z suszonych ząbków czosnku , stosowana do potraw mięsnych i rybnych, sosów oraz przekąskami,</w:t>
      </w:r>
      <w:r w:rsidRPr="00771E5F">
        <w:rPr>
          <w:rFonts w:asciiTheme="minorHAnsi" w:hAnsiTheme="minorHAnsi" w:cs="Times New Roman"/>
          <w:sz w:val="22"/>
          <w:szCs w:val="22"/>
        </w:rPr>
        <w:t xml:space="preserve"> opakowania jednostkowe od 0,01 kg do 1 kg; torba polietylenowa zgrzewana chroniące przed światłem i wilgocią lub opakowanie z tworzywa sztucznego;</w:t>
      </w:r>
    </w:p>
    <w:p w:rsidR="00453AED" w:rsidRPr="00134499" w:rsidRDefault="00453AED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proofErr w:type="spellStart"/>
      <w:r w:rsidRPr="00453AE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Fix</w:t>
      </w:r>
      <w:proofErr w:type="spellEnd"/>
      <w:r w:rsidRPr="00453AE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do potraw chińskich- 158 70000 – 7 – w ilości 13 kg,</w:t>
      </w:r>
      <w:r w:rsidRPr="00453AED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pakowany w pojemniki </w:t>
      </w:r>
      <w:r w:rsidRPr="00453AED">
        <w:rPr>
          <w:rFonts w:asciiTheme="minorHAnsi" w:hAnsiTheme="minorHAnsi"/>
          <w:color w:val="00000A"/>
          <w:sz w:val="22"/>
          <w:szCs w:val="22"/>
        </w:rPr>
        <w:t>przeznaczone do tego rodzaju żywności o wadze od 0,2 kg do 1,00 kg, z terminem przydatności do spożycia nie krótszym niż 6 miesięcy od daty zakupu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Gałka muszkatołowa - 158 70000 - 7 - w ilości 0,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s</w:t>
      </w:r>
      <w:r w:rsidRPr="00771E5F">
        <w:rPr>
          <w:rFonts w:asciiTheme="minorHAnsi" w:eastAsia="Times New Roman" w:hAnsiTheme="minorHAnsi" w:cs="Times New Roman"/>
          <w:sz w:val="22"/>
          <w:szCs w:val="22"/>
        </w:rPr>
        <w:t xml:space="preserve">proszkowana środkowa część pestki muszkatołowca korzennego, w pierwszym gatunku, w opakowaniach jednostkowych o wadze około 0,020 kg, </w:t>
      </w:r>
      <w:r w:rsidRPr="00771E5F">
        <w:rPr>
          <w:rFonts w:asciiTheme="minorHAnsi" w:eastAsia="Times New Roman" w:hAnsiTheme="minorHAnsi" w:cs="Times New Roman"/>
          <w:color w:val="000000"/>
          <w:sz w:val="22"/>
          <w:szCs w:val="22"/>
        </w:rPr>
        <w:t>z terminem przydatności do spożycia nie krótszym niż 3 miesiące od daty dostawy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Goździk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i - 158 70000 - 7 - w ilości 0,1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771E5F">
        <w:rPr>
          <w:rFonts w:asciiTheme="minorHAnsi" w:eastAsia="Times New Roman" w:hAnsiTheme="minorHAnsi" w:cs="Times New Roman"/>
          <w:sz w:val="22"/>
          <w:szCs w:val="22"/>
        </w:rPr>
        <w:t>suszone pąki kwiatowe goździkowca korzennego, w pierwszym gatunku, w opakowaniach jednostkowych o wadze około 0,020 kg, z terminem przydatności do spożycia nie krótszym niż 3 miesiące od daty dostawy</w:t>
      </w:r>
    </w:p>
    <w:p w:rsidR="00715AA4" w:rsidRPr="00134499" w:rsidRDefault="00715AA4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Kmine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 - 158 70000 - 7 - w ilości 1</w:t>
      </w: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="006C4A00" w:rsidRPr="009645A1">
        <w:rPr>
          <w:rFonts w:asciiTheme="minorHAnsi" w:eastAsia="Times New Roman" w:hAnsiTheme="minorHAnsi" w:cs="Times New Roman"/>
          <w:color w:val="000000"/>
          <w:sz w:val="22"/>
          <w:szCs w:val="22"/>
        </w:rPr>
        <w:t>suszony, cały, w pierwszym gatunku, w opakowaniach jednostkowych o wadze od około 0,020 kg, z terminem przydatności do spożycia nie krótszym niż 3 miesiące od daty dostawy.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Kurkuma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70000 - 7 - w ilości 1,5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771E5F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mi</w:t>
      </w:r>
      <w:r w:rsidRPr="00771E5F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elona w postaci jasno-żółtego proszku, w pierwszym gatunku, w opakowaniach jednostkowych o wadze od około 0,020 kg, z terminem przydatności do </w:t>
      </w:r>
      <w:r w:rsidRPr="00771E5F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spożycia nie krótszym niż 3 miesiące od daty dostawy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Kwasek cytrynowy - 158 90000 - 3 - w ilości 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4,5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9645A1">
        <w:rPr>
          <w:rFonts w:asciiTheme="minorHAnsi" w:hAnsiTheme="minorHAnsi" w:cs="Times New Roman"/>
          <w:sz w:val="22"/>
          <w:szCs w:val="22"/>
        </w:rPr>
        <w:t>Kryszta</w:t>
      </w:r>
      <w:r w:rsidRPr="00771E5F">
        <w:rPr>
          <w:rFonts w:asciiTheme="minorHAnsi" w:hAnsiTheme="minorHAnsi" w:cs="Times New Roman"/>
          <w:sz w:val="22"/>
          <w:szCs w:val="22"/>
        </w:rPr>
        <w:t xml:space="preserve">ły sypkie, bez </w:t>
      </w:r>
      <w:proofErr w:type="spellStart"/>
      <w:r w:rsidRPr="00771E5F">
        <w:rPr>
          <w:rFonts w:asciiTheme="minorHAnsi" w:hAnsiTheme="minorHAnsi" w:cs="Times New Roman"/>
          <w:sz w:val="22"/>
          <w:szCs w:val="22"/>
        </w:rPr>
        <w:t>zlepów</w:t>
      </w:r>
      <w:proofErr w:type="spellEnd"/>
      <w:r w:rsidRPr="00771E5F">
        <w:rPr>
          <w:rFonts w:asciiTheme="minorHAnsi" w:hAnsiTheme="minorHAnsi" w:cs="Times New Roman"/>
          <w:sz w:val="22"/>
          <w:szCs w:val="22"/>
        </w:rPr>
        <w:t xml:space="preserve"> i grudek. Kryształy bezbarwne bez obcego zapachu. Smak kwaśny, opakowania do 0,5 kg; torba polietylenowa zgrzewana chroniące przed światłem i wilgocią lub opakowanie z tworzywa sztucznego; PN-81/A-79734:198</w:t>
      </w:r>
    </w:p>
    <w:p w:rsidR="00715AA4" w:rsidRPr="009645A1" w:rsidRDefault="00715AA4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Liść laurowy - 158 70000 - 7 - w ilości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1,5</w:t>
      </w: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9645A1">
        <w:rPr>
          <w:rFonts w:asciiTheme="minorHAnsi" w:hAnsiTheme="minorHAnsi" w:cs="Times New Roman"/>
          <w:sz w:val="22"/>
          <w:szCs w:val="22"/>
        </w:rPr>
        <w:t>wyselekcjonowane suszone liści laurowe,   gatunek I, bez dodatków soli i innych dodatków (100%), opakowania do 0,5 kg; torebka polietylenowa zgrzewana chroniące przed światłem i wilgocią lub opakowanie z tworzywa sztucznego; PN-82/R-78011, BN-65/8132-10;</w:t>
      </w:r>
    </w:p>
    <w:p w:rsidR="00715AA4" w:rsidRPr="009645A1" w:rsidRDefault="00715AA4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Majeranek - 158 70000 - 7 - w ilości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7</w:t>
      </w: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="006C4A00" w:rsidRPr="009645A1">
        <w:rPr>
          <w:rFonts w:asciiTheme="minorHAnsi" w:hAnsiTheme="minorHAnsi" w:cs="Times New Roman"/>
          <w:sz w:val="22"/>
          <w:szCs w:val="22"/>
        </w:rPr>
        <w:t>Wyselekcjonowany suszony majeranek, gatunek I, bez dodatków soli i innych dodatków (100%), majeranek otarty, opakowania do 0,5 kg; torba polietylenowa zgrzewana chroniące przed światłem i wilgocią lub opakowanie z tworzywa sztucznego; PN-A-86958:1997/Az1:2002;</w:t>
      </w:r>
    </w:p>
    <w:p w:rsidR="00771E5F" w:rsidRDefault="00715AA4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Papryka mielona - 158 70000 - 7 - w ilości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32 </w:t>
      </w:r>
      <w:r w:rsidR="005F4CB8" w:rsidRPr="009645A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kg, </w:t>
      </w:r>
      <w:r w:rsidR="006C4A00" w:rsidRPr="009645A1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6C4A00" w:rsidRPr="009645A1">
        <w:rPr>
          <w:rFonts w:asciiTheme="minorHAnsi" w:hAnsiTheme="minorHAnsi" w:cs="Times New Roman"/>
          <w:sz w:val="22"/>
          <w:szCs w:val="22"/>
        </w:rPr>
        <w:t xml:space="preserve"> Przyprawa ziołowa o barwie czerwonej otrzymywana z wysuszonej i zmielonej papryki rocznej charakteryzująca się słodkim smakiem, gatunek I, opakowania do 0,5 kg; torba polietylenowa zgrzewana chroniące przed światłem i wilgocią lub opakowanie z tworzywa sztucznego; PN-A-86955:1997/Az1:2002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Pieprz cytrynowy - 158 70000 - 7 - w ilości 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9645A1">
        <w:rPr>
          <w:rFonts w:asciiTheme="minorHAnsi" w:hAnsiTheme="minorHAnsi" w:cs="Times New Roman"/>
          <w:sz w:val="22"/>
          <w:szCs w:val="22"/>
        </w:rPr>
        <w:t>mieszanka przypraw o charakterystycznym smaku, stosowana do wszelkiego rodzaju potraw mi</w:t>
      </w:r>
      <w:r w:rsidRPr="00771E5F">
        <w:rPr>
          <w:rFonts w:asciiTheme="minorHAnsi" w:hAnsiTheme="minorHAnsi" w:cs="Times New Roman"/>
          <w:sz w:val="22"/>
          <w:szCs w:val="22"/>
        </w:rPr>
        <w:t>ęsnych i rybnych, zup, bulionów, sosów, warzyw, sałatek i marynat; opakowania do 0,5 kg; torba polietylenowa zgrzewana chroniące przed światłem i wilgocią lub opakowanie z tworzywa sztucznego</w:t>
      </w:r>
    </w:p>
    <w:p w:rsidR="005F4CB8" w:rsidRPr="00134499" w:rsidRDefault="005F4CB8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Pieprz mielo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ny - 158 70000 - 7 - w ilości 26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</w:t>
      </w:r>
      <w:r w:rsidR="006C4A00" w:rsidRPr="009645A1">
        <w:rPr>
          <w:rFonts w:asciiTheme="minorHAnsi" w:hAnsiTheme="minorHAnsi" w:cs="Times New Roman"/>
          <w:sz w:val="22"/>
          <w:szCs w:val="22"/>
        </w:rPr>
        <w:t xml:space="preserve"> Przyprawa o charakterystycznym ostrym smaku, stosowana do wszelkiego rodzaju potraw mi</w:t>
      </w:r>
      <w:r w:rsidR="006C4A00" w:rsidRPr="00771E5F">
        <w:rPr>
          <w:rFonts w:asciiTheme="minorHAnsi" w:hAnsiTheme="minorHAnsi" w:cs="Times New Roman"/>
          <w:sz w:val="22"/>
          <w:szCs w:val="22"/>
        </w:rPr>
        <w:t>ęsnych i rybnych, zup, bulionów, sosów, warzyw, sałatek i marynat; opakowania do 0,5 kg; torba polietylenowa zgrzewana chroniące przed światłem i wilgocią lub opakowanie z tworzywa sztucznego; PN-A-86955:1997/Az1:2002;</w:t>
      </w:r>
      <w:r w:rsidR="00BC15D9" w:rsidRPr="0013449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F4CB8" w:rsidRPr="00134499" w:rsidRDefault="005F4CB8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Pieprz porcjowany - 158 70000 - 7 - w ilości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0,1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</w:t>
      </w:r>
      <w:r w:rsidR="006C4A00" w:rsidRPr="009645A1">
        <w:rPr>
          <w:rFonts w:asciiTheme="minorHAnsi" w:hAnsiTheme="minorHAnsi" w:cs="Times New Roman"/>
          <w:sz w:val="22"/>
          <w:szCs w:val="22"/>
        </w:rPr>
        <w:t xml:space="preserve"> Przyprawa o charakterystycznym ostrym smaku, stosowana do wszelkiego rodzaju potraw mi</w:t>
      </w:r>
      <w:r w:rsidR="006C4A00" w:rsidRPr="00771E5F">
        <w:rPr>
          <w:rFonts w:asciiTheme="minorHAnsi" w:hAnsiTheme="minorHAnsi" w:cs="Times New Roman"/>
          <w:sz w:val="22"/>
          <w:szCs w:val="22"/>
        </w:rPr>
        <w:t>ęsnych i rybnych, zup, bulionów, sosów, warzyw, sałatek i marynat; opakowania jednostkowe do 0,010 kg; torba polietylenowa zgrzewana chroniące przed światłem i wilgocią lub opakowanie z tworzywa sztucznego; PN-A-86955:1997/Az1:2002;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Ziele angielskie - 158 7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0000 - 7 - w ilości 4,5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 </w:t>
      </w:r>
      <w:r w:rsidRPr="00771E5F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ziele angielskie </w:t>
      </w:r>
      <w:r w:rsidRPr="009645A1">
        <w:rPr>
          <w:rFonts w:asciiTheme="minorHAnsi" w:hAnsiTheme="minorHAnsi" w:cs="Times New Roman"/>
          <w:sz w:val="22"/>
          <w:szCs w:val="22"/>
        </w:rPr>
        <w:t xml:space="preserve">(korzennik lekarski); bukiet </w:t>
      </w:r>
      <w:r w:rsidRPr="009645A1">
        <w:rPr>
          <w:rFonts w:asciiTheme="minorHAnsi" w:hAnsiTheme="minorHAnsi" w:cs="Times New Roman"/>
          <w:b/>
          <w:bCs/>
          <w:sz w:val="22"/>
          <w:szCs w:val="22"/>
        </w:rPr>
        <w:t>:</w:t>
      </w:r>
      <w:r w:rsidRPr="009645A1">
        <w:rPr>
          <w:rFonts w:asciiTheme="minorHAnsi" w:hAnsiTheme="minorHAnsi" w:cs="Times New Roman"/>
          <w:sz w:val="22"/>
          <w:szCs w:val="22"/>
        </w:rPr>
        <w:t xml:space="preserve"> ostry i aromatyczny, jak po</w:t>
      </w:r>
      <w:r w:rsidRPr="00771E5F">
        <w:rPr>
          <w:rFonts w:asciiTheme="minorHAnsi" w:hAnsiTheme="minorHAnsi" w:cs="Times New Roman"/>
          <w:sz w:val="22"/>
          <w:szCs w:val="22"/>
        </w:rPr>
        <w:t>łączenie gałki muszkatołowej, goździków, imbiru i cynamonu; Smak</w:t>
      </w:r>
      <w:r w:rsidRPr="00771E5F">
        <w:rPr>
          <w:rFonts w:asciiTheme="minorHAnsi" w:hAnsiTheme="minorHAnsi" w:cs="Times New Roman"/>
          <w:b/>
          <w:bCs/>
          <w:sz w:val="22"/>
          <w:szCs w:val="22"/>
        </w:rPr>
        <w:t>:</w:t>
      </w:r>
      <w:r w:rsidRPr="00771E5F">
        <w:rPr>
          <w:rFonts w:asciiTheme="minorHAnsi" w:hAnsiTheme="minorHAnsi" w:cs="Times New Roman"/>
          <w:sz w:val="22"/>
          <w:szCs w:val="22"/>
        </w:rPr>
        <w:t xml:space="preserve"> ciepły i słodko ostry, gatunek I, opakowania do 0,5 kg; torba polietylenowa zgrzewana chroniące przed światłem i wilgocią lub opakowanie z tworzywa sztucznego ; PN-85/R-87018, BN-67/8132-14</w:t>
      </w:r>
    </w:p>
    <w:p w:rsidR="00BC15D9" w:rsidRPr="00453AED" w:rsidRDefault="005F4CB8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Przyprawy ró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żne - 158 71270 - 7 - w ilości 8</w:t>
      </w:r>
      <w:r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kg,</w:t>
      </w:r>
      <w:r w:rsidR="00BC15D9"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BC15D9" w:rsidRPr="00134499">
        <w:rPr>
          <w:rFonts w:asciiTheme="minorHAnsi" w:eastAsia="Andale Sans UI" w:hAnsiTheme="minorHAnsi" w:cstheme="minorHAnsi"/>
          <w:bCs/>
          <w:kern w:val="3"/>
          <w:sz w:val="22"/>
          <w:szCs w:val="22"/>
          <w:u w:val="single"/>
        </w:rPr>
        <w:t>do kurczaka</w:t>
      </w:r>
      <w:r w:rsidR="00BC15D9" w:rsidRPr="00453AED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 - drobiu - mieszanka przypraw, suszona, sproszkowana, w pierwszym gatunku, </w:t>
      </w:r>
      <w:r w:rsidR="00BC15D9" w:rsidRPr="00453AED">
        <w:rPr>
          <w:rFonts w:asciiTheme="minorHAnsi" w:eastAsia="Times New Roman" w:hAnsiTheme="minorHAnsi" w:cs="Times New Roman"/>
          <w:sz w:val="22"/>
          <w:szCs w:val="22"/>
        </w:rPr>
        <w:t>w opakowaniach jednostkowych o wadze od ok. 0,030 kg do 1 kg, z terminem przydatności do spożycia nie krótszym niż 3 miesiące od daty dostawy</w:t>
      </w:r>
      <w:r w:rsidR="00BC15D9"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; </w:t>
      </w:r>
      <w:r w:rsidR="00BC15D9" w:rsidRPr="00134499">
        <w:rPr>
          <w:rFonts w:asciiTheme="minorHAnsi" w:eastAsia="Andale Sans UI" w:hAnsiTheme="minorHAnsi" w:cstheme="minorHAnsi"/>
          <w:bCs/>
          <w:kern w:val="3"/>
          <w:sz w:val="22"/>
          <w:szCs w:val="22"/>
          <w:u w:val="single"/>
        </w:rPr>
        <w:t>do grilla</w:t>
      </w:r>
      <w:r w:rsidR="00BC15D9" w:rsidRPr="00453AED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 - mieszanka przypraw, suszona, sproszkowana, w pierwszym gatunku, </w:t>
      </w:r>
      <w:r w:rsidR="00BC15D9" w:rsidRPr="00453AED">
        <w:rPr>
          <w:rFonts w:asciiTheme="minorHAnsi" w:eastAsia="Times New Roman" w:hAnsiTheme="minorHAnsi" w:cs="Times New Roman"/>
          <w:sz w:val="22"/>
          <w:szCs w:val="22"/>
        </w:rPr>
        <w:t>w opakowaniach jednostkowych o wadze od ok. 0,030 kg do 1 kg, z terminem przydatności do spożycia nie krótszym niż 3 miesiące od daty dostawy</w:t>
      </w:r>
      <w:r w:rsidR="00BC15D9"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; </w:t>
      </w:r>
      <w:r w:rsidR="00BC15D9" w:rsidRPr="00134499">
        <w:rPr>
          <w:rFonts w:asciiTheme="minorHAnsi" w:eastAsia="Andale Sans UI" w:hAnsiTheme="minorHAnsi" w:cstheme="minorHAnsi"/>
          <w:bCs/>
          <w:kern w:val="3"/>
          <w:sz w:val="22"/>
          <w:szCs w:val="22"/>
          <w:u w:val="single"/>
        </w:rPr>
        <w:t>do mięs</w:t>
      </w:r>
      <w:r w:rsidR="00BC15D9" w:rsidRPr="00453AED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 - mieszanka przypraw, suszona, sproszkowana, w pierwszym gatunku, </w:t>
      </w:r>
      <w:r w:rsidR="00BC15D9" w:rsidRPr="00453AED">
        <w:rPr>
          <w:rFonts w:asciiTheme="minorHAnsi" w:eastAsia="Times New Roman" w:hAnsiTheme="minorHAnsi" w:cs="Times New Roman"/>
          <w:sz w:val="22"/>
          <w:szCs w:val="22"/>
        </w:rPr>
        <w:t>w opakowaniach jednostkowych o wadze od ok. 0,030 kg do 1 kg, z terminem przydatności do spożycia nie krótszym niż 3 miesiące od daty dostawy</w:t>
      </w:r>
      <w:r w:rsidR="00BC15D9" w:rsidRPr="00453AE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;</w:t>
      </w:r>
    </w:p>
    <w:p w:rsidR="00CE0B1B" w:rsidRPr="00134499" w:rsidRDefault="00CE0B1B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Przyprawa jarzynka - 158 71270 - 7 - w ilości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170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</w:t>
      </w:r>
      <w:r w:rsidR="006C4A00"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771E5F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przyprawa warzywna do potraw; </w:t>
      </w:r>
      <w:r w:rsidR="006C4A00" w:rsidRPr="009645A1">
        <w:rPr>
          <w:rFonts w:asciiTheme="minorHAnsi" w:hAnsiTheme="minorHAnsi" w:cs="Times New Roman"/>
          <w:color w:val="000000"/>
          <w:sz w:val="22"/>
          <w:szCs w:val="22"/>
        </w:rPr>
        <w:t>sk</w:t>
      </w:r>
      <w:r w:rsidR="006C4A00" w:rsidRPr="00771E5F">
        <w:rPr>
          <w:rFonts w:asciiTheme="minorHAnsi" w:hAnsiTheme="minorHAnsi" w:cs="Times New Roman"/>
          <w:color w:val="000000"/>
          <w:sz w:val="22"/>
          <w:szCs w:val="22"/>
        </w:rPr>
        <w:t>ład: m.in. zawartość soli nie więcej niż 40%, suszone warzywa nie miej niż 15% np. (marchew, pasternak, cebula, seler, natka pietruszki), substancje wzmacniające smak i zapach, przyprawy, opakowania do 3 kg; torba polietylenowa zgrzewana chroniące przed światłem i wilgocią lub opakowanie z tworzywa sztucznego; PN—86/A-9400</w:t>
      </w:r>
    </w:p>
    <w:p w:rsidR="006C4A00" w:rsidRPr="00134499" w:rsidRDefault="00CE0B1B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Zioła prowansalskie - 158 7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2300 - 4 - w ilości 2</w:t>
      </w:r>
      <w:r w:rsidR="006C4A00"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</w:t>
      </w:r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 mieszanka ziół takich jak </w:t>
      </w:r>
      <w:hyperlink r:id="rId9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rozmaryn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hyperlink r:id="rId10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bazylia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hyperlink r:id="rId11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tymianek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hyperlink r:id="rId12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szałwia lekarska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hyperlink r:id="rId13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mięta pieprzowa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hyperlink r:id="rId14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cząber ogrodowy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>oregano</w:t>
      </w:r>
      <w:proofErr w:type="spellEnd"/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 xml:space="preserve"> i </w:t>
      </w:r>
      <w:hyperlink r:id="rId15" w:history="1">
        <w:r w:rsidR="00BC15D9" w:rsidRPr="00771E5F">
          <w:rPr>
            <w:rStyle w:val="Hipercze"/>
            <w:rFonts w:asciiTheme="minorHAnsi" w:eastAsia="Times New Roman" w:hAnsiTheme="minorHAnsi" w:cs="Times New Roman"/>
            <w:color w:val="auto"/>
            <w:sz w:val="22"/>
            <w:szCs w:val="22"/>
            <w:u w:val="none"/>
          </w:rPr>
          <w:t>majeranek</w:t>
        </w:r>
      </w:hyperlink>
      <w:r w:rsidR="00BC15D9" w:rsidRPr="00771E5F">
        <w:rPr>
          <w:rFonts w:asciiTheme="minorHAnsi" w:eastAsia="Times New Roman" w:hAnsiTheme="minorHAnsi" w:cs="Times New Roman"/>
          <w:sz w:val="22"/>
          <w:szCs w:val="22"/>
        </w:rPr>
        <w:t>, suszona, zmielona, w pierwszym gatunku, w opakowaniach jednostkowych o wadze od ok. 0,020 kg, z terminem przydatności do spożycia nie krótszym niż 3 miesiące od daty dostawy</w:t>
      </w:r>
    </w:p>
    <w:p w:rsidR="00134499" w:rsidRPr="00134499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Bazylia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72300 - 4 - w ilości 1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kg,</w:t>
      </w:r>
      <w:r w:rsidRPr="00771E5F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suszone, zmielone liście bazylii, w pierwszym gatunku, w opakowaniach jednostkowych o wadze około 0,020 kg, z terminem przydatności do spożycia nie krótszym niż 3 miesiące od daty dostawy.</w:t>
      </w:r>
    </w:p>
    <w:p w:rsidR="006C4A00" w:rsidRPr="00134499" w:rsidRDefault="006C4A00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Koncentrat barszc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zu - 158 92200 - 9 - w ilości 20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3449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l</w:t>
      </w:r>
      <w:r w:rsidRPr="00771E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, </w:t>
      </w:r>
      <w:r w:rsidRPr="009645A1">
        <w:rPr>
          <w:rFonts w:asciiTheme="minorHAnsi" w:hAnsiTheme="minorHAnsi" w:cs="Times New Roman"/>
          <w:sz w:val="22"/>
          <w:szCs w:val="22"/>
        </w:rPr>
        <w:t>Koncentrat barszczu czerwonego. Produkt pasteryzowany. Sk</w:t>
      </w:r>
      <w:r w:rsidRPr="00771E5F">
        <w:rPr>
          <w:rFonts w:asciiTheme="minorHAnsi" w:hAnsiTheme="minorHAnsi" w:cs="Times New Roman"/>
          <w:sz w:val="22"/>
          <w:szCs w:val="22"/>
        </w:rPr>
        <w:t xml:space="preserve">ład: zagęszczony sok z buraków czerwonych (ok. 60%), woda, cukier, regulator kwasowości. Pojemność opakowania ok. 300 ml. Termin przydatności do spożycia minimum 180 dni </w:t>
      </w:r>
      <w:r w:rsidRPr="00771E5F">
        <w:rPr>
          <w:rFonts w:asciiTheme="minorHAnsi" w:hAnsiTheme="minorHAnsi" w:cs="Times New Roman"/>
          <w:sz w:val="22"/>
          <w:szCs w:val="22"/>
        </w:rPr>
        <w:lastRenderedPageBreak/>
        <w:t>od daty dostawy,</w:t>
      </w:r>
    </w:p>
    <w:p w:rsidR="00134499" w:rsidRPr="007E2517" w:rsidRDefault="00134499" w:rsidP="0089798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Przyprawa do zup </w:t>
      </w:r>
      <w:proofErr w:type="spellStart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magi</w:t>
      </w:r>
      <w:proofErr w:type="spellEnd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92200 – 9 – w ilości 165 l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przyprawa </w:t>
      </w:r>
      <w:r w:rsidRPr="005F41F2">
        <w:rPr>
          <w:rFonts w:asciiTheme="minorHAnsi" w:hAnsiTheme="minorHAnsi" w:cs="Times New Roman"/>
          <w:sz w:val="22"/>
          <w:szCs w:val="22"/>
        </w:rPr>
        <w:t>zup, sosów, sałatek, przyprawa w płynie, wysokiej  jakości, w I gatunku, rozlewana w szklane butelki o pojemności od 0,20 l do  1,00 l, z terminem przydatności do spożycia nie krótszym niż 6 miesięcy od daty zakupu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produkt spożywczy otrzymany z surowców roślinnych, zwierzęcych lub ich mieszanin, z dodatkiem naturalnych przypraw roślinnych, spożywczych dodatków smakowo-zapachowych, substancji wzmacniających smak i zapach, substancji poprawiających strukturę produktu, naturalnych lub identycznych z naturalnymi barwników organicznych oraz innych substancji dopuszczonych do stosowania, który po przyrządzeniu stanowi przyprawę do dań; barwa – właściwa dla zastosowanych surowców i dodanych składników zapachowo-smakowych, jednolita w całym płynie; smak i zapach – charakterystyczny dla zawartych składników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cechy dyskwalifikujące: obce smaki, zapachy, zmiana barwy, jej niejednolitość, trwałe rozwarstwienie składników, objawy fermentacji, psucia, brak oznakowania opakowań, ich uszkodzenie mechaniczne,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przechowywanie w suchym i chłodnym miejscu bez określania temperatury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85376B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Miejsce, sposób, terminy dostaw o</w:t>
      </w:r>
      <w:r w:rsidR="00461EED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raz forma i termin płatności:</w:t>
      </w:r>
    </w:p>
    <w:p w:rsidR="00461EED" w:rsidRPr="00040991" w:rsidRDefault="00461EED" w:rsidP="0089798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89798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453AED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453AED" w:rsidRPr="00453AED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453AED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453AED" w:rsidRPr="00453AED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 w:rsidRPr="00453AED">
        <w:rPr>
          <w:rFonts w:ascii="Calibri" w:hAnsi="Calibri" w:cs="Calibri"/>
          <w:b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6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7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3AED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453AED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8813F1">
        <w:rPr>
          <w:rFonts w:ascii="Calibri" w:hAnsi="Calibri" w:cs="Calibri"/>
          <w:b/>
          <w:sz w:val="22"/>
          <w:szCs w:val="22"/>
        </w:rPr>
        <w:t>29.12.2023 r.</w:t>
      </w:r>
      <w:r w:rsidR="00453AED">
        <w:rPr>
          <w:rFonts w:ascii="Calibri" w:hAnsi="Calibri" w:cs="Calibri"/>
          <w:b/>
          <w:sz w:val="22"/>
          <w:szCs w:val="22"/>
        </w:rPr>
        <w:t>,</w:t>
      </w:r>
      <w:r w:rsidR="007D548C" w:rsidRPr="00856D9C">
        <w:rPr>
          <w:rFonts w:ascii="Calibri" w:hAnsi="Calibri" w:cs="Calibri"/>
          <w:sz w:val="22"/>
          <w:szCs w:val="22"/>
        </w:rPr>
        <w:t xml:space="preserve">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453AED" w:rsidRPr="00453AED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E908B3" w:rsidRDefault="00E908B3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E908B3" w:rsidRDefault="00785B9C" w:rsidP="00E908B3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</w:t>
      </w:r>
      <w:bookmarkStart w:id="6" w:name="_Hlk86821320"/>
      <w:r w:rsidR="00E908B3" w:rsidRPr="0089798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E908B3"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E908B3"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E908B3"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C009B" w:rsidRDefault="003C009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C009B" w:rsidRPr="0032310A" w:rsidRDefault="003C009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134499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– Projekt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E28E6" w:rsidRDefault="004E28E6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C35818" w:rsidRDefault="00C35818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C35818" w:rsidRDefault="00C35818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C35818" w:rsidRDefault="00C35818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243361" w:rsidRDefault="0024336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8200BA">
        <w:rPr>
          <w:rFonts w:ascii="Calibri" w:eastAsia="Calibri" w:hAnsi="Calibri" w:cs="Mangal"/>
          <w:sz w:val="22"/>
          <w:szCs w:val="22"/>
        </w:rPr>
        <w:t>57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C35818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C35818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7A62CA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7A62CA" w:rsidRDefault="00003F84" w:rsidP="00003F84">
      <w:pPr>
        <w:autoSpaceDE w:val="0"/>
        <w:ind w:left="36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  <w:t xml:space="preserve">Adres: </w:t>
      </w:r>
      <w:r w:rsidR="00433680"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Zwartowo 25, 84-210 Choczewo</w:t>
      </w:r>
    </w:p>
    <w:p w:rsidR="00003F84" w:rsidRPr="007A62CA" w:rsidRDefault="00C35818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="00003F84"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 xml:space="preserve">Telefon </w:t>
      </w:r>
      <w:r w:rsidR="00433680"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58 6776351</w:t>
      </w:r>
      <w:r w:rsidR="00003F84"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 xml:space="preserve">,  </w:t>
      </w:r>
    </w:p>
    <w:p w:rsidR="008A3AFE" w:rsidRPr="007A62CA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proofErr w:type="spellStart"/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fax</w:t>
      </w:r>
      <w:proofErr w:type="spellEnd"/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: 58 6776352</w:t>
      </w:r>
    </w:p>
    <w:p w:rsidR="00003F84" w:rsidRPr="009645A1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</w:pP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7A62CA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e-mail: os_zw</w:t>
      </w:r>
      <w:r w:rsidR="00003F84"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a</w:t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rtowo</w:t>
      </w:r>
      <w:r w:rsidR="00003F84"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 xml:space="preserve">@sw.gov.pl </w:t>
      </w:r>
    </w:p>
    <w:p w:rsidR="00003F84" w:rsidRPr="00C35818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</w:pP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9645A1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="00C35818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C35818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http://www.sw.gov.pl</w:t>
      </w:r>
    </w:p>
    <w:p w:rsidR="00003F84" w:rsidRPr="008813F1" w:rsidRDefault="00C35818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val="en-US" w:eastAsia="ar-SA" w:bidi="ar-SA"/>
        </w:rPr>
      </w:pP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="00003F84" w:rsidRPr="008813F1"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>NIP: 561-12-21-394</w:t>
      </w:r>
    </w:p>
    <w:p w:rsidR="00003F84" w:rsidRPr="008813F1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8813F1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306593" w:rsidRPr="00B22350" w:rsidRDefault="00306593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D51923" w:rsidRDefault="00003F84" w:rsidP="00D51923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C175C">
        <w:rPr>
          <w:rFonts w:asciiTheme="minorHAnsi" w:hAnsiTheme="minorHAnsi" w:cstheme="minorHAnsi"/>
          <w:b/>
          <w:sz w:val="22"/>
          <w:szCs w:val="22"/>
          <w:u w:val="single"/>
        </w:rPr>
        <w:t>przypraw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3F84" w:rsidRDefault="0060713A" w:rsidP="00D5192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306593" w:rsidRPr="00B22350" w:rsidRDefault="00306593" w:rsidP="00D5192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4C175C">
        <w:rPr>
          <w:rFonts w:asciiTheme="minorHAnsi" w:hAnsiTheme="minorHAnsi" w:cstheme="minorHAnsi"/>
          <w:bCs/>
          <w:sz w:val="22"/>
          <w:szCs w:val="22"/>
          <w:u w:val="single"/>
        </w:rPr>
        <w:t>przypraw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89798B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</w:t>
      </w:r>
      <w:r w:rsidR="00306593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……………..…zł</w:t>
      </w:r>
    </w:p>
    <w:p w:rsidR="00586298" w:rsidRPr="00586298" w:rsidRDefault="00586298" w:rsidP="0089798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89798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89798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89798B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89798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6593" w:rsidRDefault="00306593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8200BA">
        <w:rPr>
          <w:rFonts w:ascii="Calibri" w:eastAsia="Calibri" w:hAnsi="Calibri" w:cs="Mangal"/>
          <w:sz w:val="22"/>
          <w:szCs w:val="22"/>
        </w:rPr>
        <w:t>57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306593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306593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D51923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4C175C">
        <w:rPr>
          <w:rFonts w:cs="Times New Roman"/>
          <w:sz w:val="28"/>
          <w:szCs w:val="28"/>
          <w:u w:val="single"/>
        </w:rPr>
        <w:t>przypraw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</w:t>
      </w:r>
    </w:p>
    <w:p w:rsidR="00D51923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D51923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915" w:type="dxa"/>
        <w:jc w:val="center"/>
        <w:tblCellMar>
          <w:left w:w="10" w:type="dxa"/>
          <w:right w:w="10" w:type="dxa"/>
        </w:tblCellMar>
        <w:tblLook w:val="0000"/>
      </w:tblPr>
      <w:tblGrid>
        <w:gridCol w:w="781"/>
        <w:gridCol w:w="3043"/>
        <w:gridCol w:w="923"/>
        <w:gridCol w:w="1078"/>
        <w:gridCol w:w="1259"/>
        <w:gridCol w:w="1417"/>
        <w:gridCol w:w="996"/>
        <w:gridCol w:w="1418"/>
      </w:tblGrid>
      <w:tr w:rsidR="00306593" w:rsidRPr="009B3EC7" w:rsidTr="0083317B">
        <w:trPr>
          <w:trHeight w:val="73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306593" w:rsidRPr="009B3EC7" w:rsidTr="0083317B">
        <w:trPr>
          <w:trHeight w:val="405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30659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Cynamon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Czosnek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granulowany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Fix do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potraw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chińskich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Gałka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muszkatołowa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0,10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Goździki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0,10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Kminek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Kurkuma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1,50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Kwasek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cytrynowy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4,50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Liść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laurowy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1,50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Majeranek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Papryka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mielona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Pieprz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cytrynowy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Pieprz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mielony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Pieprz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0,10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Ziele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angielskie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4,50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9798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Przyprawy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różne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9798B">
        <w:trPr>
          <w:trHeight w:val="499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Przyprawa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jarzynka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3317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170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Zioła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prowansalskie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83317B" w:rsidRDefault="00306593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Bazylia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30659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3317B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83317B" w:rsidRDefault="0083317B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Koncentrat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barszczu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3317B" w:rsidRPr="009B3EC7" w:rsidTr="0083317B">
        <w:trPr>
          <w:trHeight w:val="499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83317B" w:rsidRDefault="0083317B" w:rsidP="0089798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Przyprawa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do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zup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magi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Default="0089798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17B" w:rsidRPr="002E42D5" w:rsidRDefault="0083317B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06593" w:rsidRPr="009B3EC7" w:rsidTr="0083317B">
        <w:trPr>
          <w:trHeight w:val="499"/>
          <w:jc w:val="center"/>
        </w:trPr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3" w:rsidRPr="002E42D5" w:rsidRDefault="0030659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06593" w:rsidRPr="009B3EC7" w:rsidTr="0083317B">
        <w:trPr>
          <w:trHeight w:val="915"/>
          <w:jc w:val="center"/>
        </w:trPr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Default="0030659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Pr="00D51923" w:rsidRDefault="00306593" w:rsidP="00D51923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306593" w:rsidRDefault="00306593" w:rsidP="00D51923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306593" w:rsidRDefault="00306593" w:rsidP="00D51923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306593" w:rsidRDefault="00306593" w:rsidP="00D51923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  <w:p w:rsidR="00306593" w:rsidRPr="00D51923" w:rsidRDefault="00306593" w:rsidP="00D51923">
            <w:pPr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Default="0030659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Pr="009B3EC7" w:rsidRDefault="0030659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6593" w:rsidRPr="009B3EC7" w:rsidTr="0083317B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3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06593" w:rsidRPr="009B3EC7" w:rsidTr="0083317B">
        <w:trPr>
          <w:trHeight w:val="540"/>
          <w:jc w:val="center"/>
        </w:trPr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73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            </w:t>
            </w: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</w:t>
            </w: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do reprezentowania Wykonawcy</w:t>
            </w: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593" w:rsidRPr="009B3EC7" w:rsidRDefault="0030659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9798B" w:rsidRDefault="0089798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9798B" w:rsidRDefault="0089798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9798B" w:rsidRDefault="0089798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9798B" w:rsidRDefault="0089798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51923" w:rsidRDefault="00D51923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9798B" w:rsidRPr="0089798B" w:rsidRDefault="00C1598B" w:rsidP="0089798B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8200BA">
        <w:rPr>
          <w:rFonts w:ascii="Calibri" w:eastAsia="Calibri" w:hAnsi="Calibri" w:cs="Mangal"/>
          <w:sz w:val="22"/>
          <w:szCs w:val="22"/>
        </w:rPr>
        <w:t>57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89798B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89798B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89798B">
        <w:rPr>
          <w:rFonts w:ascii="Calibri" w:eastAsia="Calibri" w:hAnsi="Calibri" w:cs="Mangal"/>
          <w:b/>
          <w:bCs/>
          <w:sz w:val="22"/>
          <w:szCs w:val="22"/>
        </w:rPr>
        <w:tab/>
      </w:r>
      <w:r w:rsidR="0089798B" w:rsidRPr="0089798B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89798B" w:rsidRPr="0089798B" w:rsidRDefault="0089798B" w:rsidP="0089798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89798B" w:rsidRPr="0089798B" w:rsidRDefault="0089798B" w:rsidP="0089798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</w:p>
    <w:p w:rsidR="0089798B" w:rsidRPr="0089798B" w:rsidRDefault="0089798B" w:rsidP="0089798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89798B" w:rsidRPr="0089798B" w:rsidRDefault="0089798B" w:rsidP="0089798B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89798B" w:rsidRPr="0089798B" w:rsidRDefault="0089798B" w:rsidP="0089798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89798B" w:rsidRPr="0089798B" w:rsidRDefault="0089798B" w:rsidP="0089798B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89798B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89798B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89798B" w:rsidRPr="0089798B" w:rsidRDefault="0089798B" w:rsidP="0089798B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98B" w:rsidRPr="0089798B" w:rsidRDefault="0089798B" w:rsidP="0089798B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89798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89798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89798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89798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89798B" w:rsidRPr="0089798B" w:rsidRDefault="0089798B" w:rsidP="0089798B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89798B" w:rsidRPr="0089798B" w:rsidRDefault="0089798B" w:rsidP="0089798B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wymienionych w zapytaniu ofertowym stanowiącym integralną część niniejszej umowy.</w:t>
      </w: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89798B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89798B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89798B" w:rsidRPr="0089798B" w:rsidRDefault="0089798B" w:rsidP="0089798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89798B" w:rsidRPr="0089798B" w:rsidRDefault="0089798B" w:rsidP="0089798B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89798B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89798B" w:rsidRPr="0089798B" w:rsidRDefault="0089798B" w:rsidP="0089798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89798B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89798B" w:rsidRPr="0089798B" w:rsidRDefault="0089798B" w:rsidP="0089798B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89798B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89798B">
        <w:rPr>
          <w:rFonts w:ascii="Calibri" w:eastAsia="Calibri" w:hAnsi="Calibri" w:cs="Times New Roman"/>
          <w:kern w:val="3"/>
          <w:sz w:val="22"/>
          <w:szCs w:val="22"/>
        </w:rPr>
        <w:t xml:space="preserve">w dniach od poniedziałku do </w:t>
      </w:r>
      <w:r w:rsidRPr="0089798B">
        <w:rPr>
          <w:rFonts w:ascii="Calibri" w:eastAsia="Calibri" w:hAnsi="Calibri" w:cs="Times New Roman"/>
          <w:kern w:val="3"/>
          <w:sz w:val="22"/>
          <w:szCs w:val="22"/>
        </w:rPr>
        <w:lastRenderedPageBreak/>
        <w:t>piątku, w godz. 8:00-14:00.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89798B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89798B" w:rsidRPr="0089798B" w:rsidRDefault="0089798B" w:rsidP="0089798B">
      <w:pPr>
        <w:numPr>
          <w:ilvl w:val="0"/>
          <w:numId w:val="11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89798B" w:rsidRPr="0089798B" w:rsidRDefault="0089798B" w:rsidP="0089798B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89798B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  <w:r w:rsidRPr="0089798B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89798B" w:rsidRPr="0089798B" w:rsidRDefault="0089798B" w:rsidP="0089798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89798B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89798B" w:rsidRPr="0089798B" w:rsidRDefault="0089798B" w:rsidP="0089798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89798B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89798B" w:rsidRPr="0089798B" w:rsidRDefault="0089798B" w:rsidP="0089798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89798B" w:rsidRPr="0089798B" w:rsidRDefault="0089798B" w:rsidP="0089798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89798B" w:rsidRPr="0089798B" w:rsidRDefault="0089798B" w:rsidP="0089798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89798B" w:rsidRPr="0089798B" w:rsidRDefault="0089798B" w:rsidP="0089798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89798B" w:rsidRPr="0089798B" w:rsidRDefault="0089798B" w:rsidP="0089798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89798B" w:rsidRPr="0089798B" w:rsidRDefault="0089798B" w:rsidP="0089798B">
      <w:pPr>
        <w:numPr>
          <w:ilvl w:val="0"/>
          <w:numId w:val="13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89798B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4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Do zmiany treści niniejszej umowy stosuje się odpowiednio art. 454 i art. 455 ustawy Prawo zamówień publicznych </w:t>
      </w:r>
      <w:r w:rsidRPr="0089798B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89798B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89798B">
        <w:rPr>
          <w:rFonts w:ascii="Calibri" w:hAnsi="Calibri" w:cs="Calibri"/>
          <w:kern w:val="3"/>
          <w:sz w:val="22"/>
          <w:szCs w:val="22"/>
        </w:rPr>
        <w:t>. zm.)</w:t>
      </w:r>
    </w:p>
    <w:p w:rsidR="0089798B" w:rsidRPr="0089798B" w:rsidRDefault="0089798B" w:rsidP="0089798B">
      <w:pPr>
        <w:numPr>
          <w:ilvl w:val="0"/>
          <w:numId w:val="14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89798B" w:rsidRPr="0089798B" w:rsidRDefault="0089798B" w:rsidP="0089798B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89798B" w:rsidRPr="0089798B" w:rsidRDefault="0089798B" w:rsidP="0089798B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89798B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89798B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przypraw</w:t>
      </w:r>
      <w:r w:rsidRPr="0089798B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89798B" w:rsidRPr="0089798B" w:rsidRDefault="0089798B" w:rsidP="0089798B">
      <w:pPr>
        <w:numPr>
          <w:ilvl w:val="0"/>
          <w:numId w:val="16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89798B" w:rsidRPr="0089798B" w:rsidRDefault="0089798B" w:rsidP="0089798B">
      <w:pPr>
        <w:numPr>
          <w:ilvl w:val="0"/>
          <w:numId w:val="16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89798B" w:rsidRPr="0089798B" w:rsidRDefault="0089798B" w:rsidP="0089798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89798B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89798B" w:rsidRPr="0089798B" w:rsidRDefault="0089798B" w:rsidP="0089798B">
      <w:pPr>
        <w:numPr>
          <w:ilvl w:val="0"/>
          <w:numId w:val="18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89798B" w:rsidRPr="0089798B" w:rsidRDefault="0089798B" w:rsidP="0089798B">
      <w:pPr>
        <w:numPr>
          <w:ilvl w:val="0"/>
          <w:numId w:val="18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89798B">
        <w:rPr>
          <w:rFonts w:ascii="Calibri" w:eastAsia="Calibri" w:hAnsi="Calibri" w:cs="Calibri"/>
          <w:kern w:val="3"/>
          <w:sz w:val="22"/>
          <w:szCs w:val="22"/>
        </w:rPr>
        <w:t>§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9798B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89798B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89798B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89798B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89798B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9798B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89798B" w:rsidRPr="0089798B" w:rsidRDefault="0089798B" w:rsidP="0089798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89798B" w:rsidRPr="0089798B" w:rsidRDefault="0089798B" w:rsidP="0089798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89798B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89798B" w:rsidRPr="0089798B" w:rsidRDefault="0089798B" w:rsidP="0089798B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89798B" w:rsidRPr="0089798B" w:rsidRDefault="0089798B" w:rsidP="0089798B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89798B" w:rsidRPr="0089798B" w:rsidRDefault="0089798B" w:rsidP="0089798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89798B" w:rsidRPr="0089798B" w:rsidRDefault="0089798B" w:rsidP="0089798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89798B" w:rsidRPr="0089798B" w:rsidRDefault="0089798B" w:rsidP="0089798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89798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89798B" w:rsidRPr="0089798B" w:rsidRDefault="0089798B" w:rsidP="0089798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89798B" w:rsidRPr="0089798B" w:rsidRDefault="0089798B" w:rsidP="0089798B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lastRenderedPageBreak/>
        <w:t xml:space="preserve">Wykonawca wyznacza osoby odpowiedzialne za realizację przedmiotu zamówienia: </w:t>
      </w:r>
    </w:p>
    <w:p w:rsidR="0089798B" w:rsidRPr="0089798B" w:rsidRDefault="0089798B" w:rsidP="0089798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89798B" w:rsidRPr="0089798B" w:rsidRDefault="0089798B" w:rsidP="0089798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21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89798B" w:rsidRPr="0089798B" w:rsidRDefault="0089798B" w:rsidP="0089798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89798B" w:rsidRPr="0089798B" w:rsidRDefault="0089798B" w:rsidP="0089798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89798B" w:rsidRPr="0089798B" w:rsidRDefault="0089798B" w:rsidP="0089798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89798B" w:rsidRPr="0089798B" w:rsidRDefault="0089798B" w:rsidP="0089798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89798B" w:rsidRPr="0089798B" w:rsidRDefault="0089798B" w:rsidP="0089798B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89798B" w:rsidRPr="0089798B" w:rsidRDefault="0089798B" w:rsidP="0089798B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9798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9798B" w:rsidRPr="0089798B" w:rsidRDefault="0089798B" w:rsidP="0089798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89798B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89798B" w:rsidRPr="0089798B" w:rsidRDefault="0089798B" w:rsidP="0089798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89798B" w:rsidRPr="0089798B" w:rsidRDefault="0089798B" w:rsidP="0089798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89798B" w:rsidRPr="0089798B" w:rsidRDefault="0089798B" w:rsidP="0089798B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89798B" w:rsidRPr="0089798B" w:rsidRDefault="0089798B" w:rsidP="0089798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89798B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89798B" w:rsidRPr="0089798B" w:rsidRDefault="0089798B" w:rsidP="0089798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89798B" w:rsidRPr="0089798B" w:rsidRDefault="0089798B" w:rsidP="0089798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89798B" w:rsidRPr="0089798B" w:rsidRDefault="0089798B" w:rsidP="0089798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9798B" w:rsidRPr="0089798B" w:rsidRDefault="0089798B" w:rsidP="0089798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9798B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</w:r>
      <w:r w:rsidRPr="0089798B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89798B" w:rsidRPr="0089798B" w:rsidRDefault="0089798B" w:rsidP="0089798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9798B" w:rsidRPr="00CE2BB8" w:rsidRDefault="0089798B" w:rsidP="0089798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9798B" w:rsidRPr="00CE2BB8" w:rsidRDefault="0089798B" w:rsidP="0089798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9798B" w:rsidRPr="00CE2BB8" w:rsidRDefault="0089798B" w:rsidP="0089798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E4AD3" w:rsidRDefault="008E4AD3" w:rsidP="0089798B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8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453A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7B" w:rsidRDefault="0083317B" w:rsidP="00667FDF">
      <w:r>
        <w:separator/>
      </w:r>
    </w:p>
  </w:endnote>
  <w:endnote w:type="continuationSeparator" w:id="0">
    <w:p w:rsidR="0083317B" w:rsidRDefault="0083317B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7B" w:rsidRDefault="0083317B" w:rsidP="00667FDF">
      <w:r>
        <w:separator/>
      </w:r>
    </w:p>
  </w:footnote>
  <w:footnote w:type="continuationSeparator" w:id="0">
    <w:p w:rsidR="0083317B" w:rsidRDefault="0083317B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211A"/>
    <w:multiLevelType w:val="hybridMultilevel"/>
    <w:tmpl w:val="B6A4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1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9"/>
  </w:num>
  <w:num w:numId="14">
    <w:abstractNumId w:val="23"/>
  </w:num>
  <w:num w:numId="15">
    <w:abstractNumId w:val="18"/>
  </w:num>
  <w:num w:numId="16">
    <w:abstractNumId w:val="11"/>
  </w:num>
  <w:num w:numId="17">
    <w:abstractNumId w:val="6"/>
  </w:num>
  <w:num w:numId="18">
    <w:abstractNumId w:val="22"/>
  </w:num>
  <w:num w:numId="19">
    <w:abstractNumId w:val="15"/>
  </w:num>
  <w:num w:numId="20">
    <w:abstractNumId w:val="3"/>
  </w:num>
  <w:num w:numId="21">
    <w:abstractNumId w:val="17"/>
  </w:num>
  <w:num w:numId="22">
    <w:abstractNumId w:val="20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116F8"/>
    <w:rsid w:val="00112CA8"/>
    <w:rsid w:val="00134499"/>
    <w:rsid w:val="00137499"/>
    <w:rsid w:val="0016122F"/>
    <w:rsid w:val="001654D2"/>
    <w:rsid w:val="001668AE"/>
    <w:rsid w:val="0016712D"/>
    <w:rsid w:val="001752E4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06593"/>
    <w:rsid w:val="00315B51"/>
    <w:rsid w:val="0032310A"/>
    <w:rsid w:val="00327235"/>
    <w:rsid w:val="00337D77"/>
    <w:rsid w:val="00343CC7"/>
    <w:rsid w:val="00347CCF"/>
    <w:rsid w:val="00357011"/>
    <w:rsid w:val="00365A1B"/>
    <w:rsid w:val="00372EE3"/>
    <w:rsid w:val="00377A3D"/>
    <w:rsid w:val="003C009B"/>
    <w:rsid w:val="00433680"/>
    <w:rsid w:val="00434480"/>
    <w:rsid w:val="00437FCB"/>
    <w:rsid w:val="00441365"/>
    <w:rsid w:val="004522B7"/>
    <w:rsid w:val="00453AED"/>
    <w:rsid w:val="00461EED"/>
    <w:rsid w:val="00463085"/>
    <w:rsid w:val="00475D53"/>
    <w:rsid w:val="00482A5A"/>
    <w:rsid w:val="00494DE7"/>
    <w:rsid w:val="004A03CE"/>
    <w:rsid w:val="004C175C"/>
    <w:rsid w:val="004E28E6"/>
    <w:rsid w:val="004F0365"/>
    <w:rsid w:val="004F334F"/>
    <w:rsid w:val="004F7553"/>
    <w:rsid w:val="00551E59"/>
    <w:rsid w:val="00572755"/>
    <w:rsid w:val="005809FC"/>
    <w:rsid w:val="00586298"/>
    <w:rsid w:val="005972C7"/>
    <w:rsid w:val="005B36F2"/>
    <w:rsid w:val="005C0A49"/>
    <w:rsid w:val="005C1975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7C3D"/>
    <w:rsid w:val="006C3B33"/>
    <w:rsid w:val="006C4A00"/>
    <w:rsid w:val="006E62EB"/>
    <w:rsid w:val="006F5ECE"/>
    <w:rsid w:val="00715AA4"/>
    <w:rsid w:val="00724FD9"/>
    <w:rsid w:val="007430C2"/>
    <w:rsid w:val="007542B7"/>
    <w:rsid w:val="00771E5F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801F8E"/>
    <w:rsid w:val="008200BA"/>
    <w:rsid w:val="00830734"/>
    <w:rsid w:val="00830B31"/>
    <w:rsid w:val="0083317B"/>
    <w:rsid w:val="00845AE2"/>
    <w:rsid w:val="00851A84"/>
    <w:rsid w:val="0085376B"/>
    <w:rsid w:val="00856D9C"/>
    <w:rsid w:val="0086597C"/>
    <w:rsid w:val="008732B4"/>
    <w:rsid w:val="008733EB"/>
    <w:rsid w:val="008813F1"/>
    <w:rsid w:val="00885035"/>
    <w:rsid w:val="0089079C"/>
    <w:rsid w:val="00895464"/>
    <w:rsid w:val="0089798B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645A1"/>
    <w:rsid w:val="00990083"/>
    <w:rsid w:val="00992C85"/>
    <w:rsid w:val="009A40A0"/>
    <w:rsid w:val="009B3EC7"/>
    <w:rsid w:val="00A12942"/>
    <w:rsid w:val="00A23188"/>
    <w:rsid w:val="00A2697A"/>
    <w:rsid w:val="00A64BEC"/>
    <w:rsid w:val="00A659C3"/>
    <w:rsid w:val="00AB191D"/>
    <w:rsid w:val="00AB5B88"/>
    <w:rsid w:val="00AD2C2C"/>
    <w:rsid w:val="00AE0946"/>
    <w:rsid w:val="00AE3BFF"/>
    <w:rsid w:val="00AE7C2A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30F"/>
    <w:rsid w:val="00BB3E25"/>
    <w:rsid w:val="00BC15D9"/>
    <w:rsid w:val="00BE2C9A"/>
    <w:rsid w:val="00BF49FA"/>
    <w:rsid w:val="00C04FCF"/>
    <w:rsid w:val="00C11576"/>
    <w:rsid w:val="00C1598B"/>
    <w:rsid w:val="00C35818"/>
    <w:rsid w:val="00C50BFD"/>
    <w:rsid w:val="00C64426"/>
    <w:rsid w:val="00C739A4"/>
    <w:rsid w:val="00C75533"/>
    <w:rsid w:val="00C8741B"/>
    <w:rsid w:val="00C92F26"/>
    <w:rsid w:val="00CB59AB"/>
    <w:rsid w:val="00CB7474"/>
    <w:rsid w:val="00CD2AF2"/>
    <w:rsid w:val="00CD3435"/>
    <w:rsid w:val="00CE0B1B"/>
    <w:rsid w:val="00D01047"/>
    <w:rsid w:val="00D01D8C"/>
    <w:rsid w:val="00D07674"/>
    <w:rsid w:val="00D1494F"/>
    <w:rsid w:val="00D51923"/>
    <w:rsid w:val="00D5368D"/>
    <w:rsid w:val="00D96844"/>
    <w:rsid w:val="00DF0715"/>
    <w:rsid w:val="00E048E5"/>
    <w:rsid w:val="00E11480"/>
    <w:rsid w:val="00E14396"/>
    <w:rsid w:val="00E22968"/>
    <w:rsid w:val="00E37539"/>
    <w:rsid w:val="00E6002F"/>
    <w:rsid w:val="00E7180C"/>
    <w:rsid w:val="00E908B3"/>
    <w:rsid w:val="00EA39EF"/>
    <w:rsid w:val="00EA5266"/>
    <w:rsid w:val="00EC50DB"/>
    <w:rsid w:val="00EC69AD"/>
    <w:rsid w:val="00EC6DBC"/>
    <w:rsid w:val="00ED69D3"/>
    <w:rsid w:val="00EF10B2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.wikipedia.org/wiki/Mi&#281;ta_pieprzowa" TargetMode="External"/><Relationship Id="rId18" Type="http://schemas.openxmlformats.org/officeDocument/2006/relationships/hyperlink" Target="mailto:os_sucha@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Sza&#322;wia_lekarska" TargetMode="External"/><Relationship Id="rId17" Type="http://schemas.openxmlformats.org/officeDocument/2006/relationships/hyperlink" Target="mailto:beata.pantkowska@s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_sucha@sw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cierzanka_tymian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Lebiodka_majeranek" TargetMode="External"/><Relationship Id="rId10" Type="http://schemas.openxmlformats.org/officeDocument/2006/relationships/hyperlink" Target="https://pl.wikipedia.org/wiki/Bazyl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ozmaryn" TargetMode="External"/><Relationship Id="rId14" Type="http://schemas.openxmlformats.org/officeDocument/2006/relationships/hyperlink" Target="https://pl.wikipedia.org/wiki/Cz&#261;ber_ogrod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B06E-5824-41BD-BE61-2ABB0022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4815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62</cp:revision>
  <cp:lastPrinted>2023-12-22T08:12:00Z</cp:lastPrinted>
  <dcterms:created xsi:type="dcterms:W3CDTF">2021-11-30T08:39:00Z</dcterms:created>
  <dcterms:modified xsi:type="dcterms:W3CDTF">2023-12-22T11:00:00Z</dcterms:modified>
</cp:coreProperties>
</file>