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6D34532" w14:textId="133D4C2B" w:rsidR="005C7B25" w:rsidRDefault="005C7B25" w:rsidP="00B8549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 do SWZ</w:t>
      </w:r>
    </w:p>
    <w:p w14:paraId="319FC631" w14:textId="477ED403" w:rsidR="00B85492" w:rsidRPr="000E6083" w:rsidRDefault="00B51208" w:rsidP="00B85492">
      <w:pPr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MCPS-WZU/KBCH/351-24/2024 PN/U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EA79178" w:rsidR="00EF45B6" w:rsidRPr="004D1672" w:rsidRDefault="00EF45B6" w:rsidP="004D167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B51208">
        <w:rPr>
          <w:b/>
        </w:rPr>
        <w:t>Usługa przygotowania i przeprowadzenia</w:t>
      </w:r>
      <w:r w:rsidR="00B51208" w:rsidRPr="000F70A5">
        <w:rPr>
          <w:b/>
        </w:rPr>
        <w:t xml:space="preserve"> dwudniowej wizyty studyjnej dla maksymalnie 22 osób we wzorcowych Kołach Gospodyń Wiejskich (KGW) poza granicami administracyjnymi województwa mazowieckiego</w:t>
      </w:r>
      <w:bookmarkStart w:id="0" w:name="_GoBack"/>
      <w:bookmarkEnd w:id="0"/>
      <w:r w:rsidR="004D16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F152A5">
      <w:footerReference w:type="even" r:id="rId11"/>
      <w:pgSz w:w="11906" w:h="16838"/>
      <w:pgMar w:top="1276" w:right="1417" w:bottom="141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B10A" w14:textId="77777777" w:rsidR="00155C9D" w:rsidRDefault="00155C9D" w:rsidP="00EF45B6">
      <w:pPr>
        <w:spacing w:after="0" w:line="240" w:lineRule="auto"/>
      </w:pPr>
      <w:r>
        <w:separator/>
      </w:r>
    </w:p>
  </w:endnote>
  <w:endnote w:type="continuationSeparator" w:id="0">
    <w:p w14:paraId="7F65FE43" w14:textId="77777777" w:rsidR="00155C9D" w:rsidRDefault="00155C9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EB1503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4379D" w14:textId="77777777" w:rsidR="00155C9D" w:rsidRDefault="00155C9D" w:rsidP="00EF45B6">
      <w:pPr>
        <w:spacing w:after="0" w:line="240" w:lineRule="auto"/>
      </w:pPr>
      <w:r>
        <w:separator/>
      </w:r>
    </w:p>
  </w:footnote>
  <w:footnote w:type="continuationSeparator" w:id="0">
    <w:p w14:paraId="35B2D473" w14:textId="77777777" w:rsidR="00155C9D" w:rsidRDefault="00155C9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E6083"/>
    <w:rsid w:val="000F1021"/>
    <w:rsid w:val="00101E83"/>
    <w:rsid w:val="00155C9D"/>
    <w:rsid w:val="00163825"/>
    <w:rsid w:val="00164500"/>
    <w:rsid w:val="001878D7"/>
    <w:rsid w:val="001A0D70"/>
    <w:rsid w:val="001C6789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1307"/>
    <w:rsid w:val="002C4F89"/>
    <w:rsid w:val="002E308D"/>
    <w:rsid w:val="00310CA9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4D93"/>
    <w:rsid w:val="0044633B"/>
    <w:rsid w:val="0045071B"/>
    <w:rsid w:val="004511DC"/>
    <w:rsid w:val="00462D74"/>
    <w:rsid w:val="004709E7"/>
    <w:rsid w:val="00473DE0"/>
    <w:rsid w:val="004D1672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6FD6"/>
    <w:rsid w:val="005E108F"/>
    <w:rsid w:val="005E5605"/>
    <w:rsid w:val="005F269B"/>
    <w:rsid w:val="0065261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5AE5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D9"/>
    <w:rsid w:val="0091611E"/>
    <w:rsid w:val="00935C15"/>
    <w:rsid w:val="009561D0"/>
    <w:rsid w:val="00975993"/>
    <w:rsid w:val="009A0A1A"/>
    <w:rsid w:val="009A110B"/>
    <w:rsid w:val="009A138B"/>
    <w:rsid w:val="009D26F2"/>
    <w:rsid w:val="00A0641D"/>
    <w:rsid w:val="00A21AF8"/>
    <w:rsid w:val="00A478EF"/>
    <w:rsid w:val="00A557DC"/>
    <w:rsid w:val="00A841EE"/>
    <w:rsid w:val="00A940AE"/>
    <w:rsid w:val="00AB19B5"/>
    <w:rsid w:val="00AB4BEB"/>
    <w:rsid w:val="00AC6DF2"/>
    <w:rsid w:val="00AD57EB"/>
    <w:rsid w:val="00B076D6"/>
    <w:rsid w:val="00B26F71"/>
    <w:rsid w:val="00B406D1"/>
    <w:rsid w:val="00B51208"/>
    <w:rsid w:val="00B81D52"/>
    <w:rsid w:val="00B85492"/>
    <w:rsid w:val="00BA798A"/>
    <w:rsid w:val="00BF444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876D6"/>
    <w:rsid w:val="00EB1503"/>
    <w:rsid w:val="00EC5C90"/>
    <w:rsid w:val="00EF057F"/>
    <w:rsid w:val="00EF45B6"/>
    <w:rsid w:val="00EF7F7F"/>
    <w:rsid w:val="00F0308E"/>
    <w:rsid w:val="00F14423"/>
    <w:rsid w:val="00F152A5"/>
    <w:rsid w:val="00F3511F"/>
    <w:rsid w:val="00F407F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4BD1-5AD1-4B70-8D28-0A773000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2133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wykonawcy-wykonawcow-z-art-125-ust-1-ustawy-Pzp-zamowienia-o-wartosci-rownej-i-powyzej-progow(4)</vt:lpstr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Katarzyna Boruc-Chrościcka</cp:lastModifiedBy>
  <cp:revision>5</cp:revision>
  <dcterms:created xsi:type="dcterms:W3CDTF">2024-03-01T07:52:00Z</dcterms:created>
  <dcterms:modified xsi:type="dcterms:W3CDTF">2024-05-10T10:48:00Z</dcterms:modified>
</cp:coreProperties>
</file>