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847BAD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6495FE94" w:rsidR="0061303C" w:rsidRPr="00847BAD" w:rsidRDefault="00EA5A34" w:rsidP="002A0CB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„</w:t>
      </w:r>
      <w:r w:rsidR="00632317">
        <w:rPr>
          <w:rFonts w:ascii="Arial" w:eastAsia="Calibri" w:hAnsi="Arial" w:cs="Arial"/>
          <w:b/>
          <w:color w:val="000000"/>
          <w:szCs w:val="22"/>
          <w:lang w:eastAsia="en-US"/>
        </w:rPr>
        <w:t>Bieżące utrzymanie zieleni i małej architektury w Parku Zdrojowym w  Świnoujściu w latach 2023-2025</w:t>
      </w:r>
      <w:r w:rsidR="00DB528E" w:rsidRPr="00847BAD">
        <w:rPr>
          <w:rFonts w:ascii="Arial" w:eastAsia="Calibri" w:hAnsi="Arial" w:cs="Arial"/>
          <w:b/>
          <w:color w:val="000000"/>
          <w:szCs w:val="22"/>
          <w:lang w:eastAsia="en-US"/>
        </w:rPr>
        <w:t>”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>,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1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1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2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2"/>
      <w:r w:rsidRPr="00847BAD">
        <w:rPr>
          <w:rFonts w:ascii="Arial" w:hAnsi="Arial" w:cs="Arial"/>
          <w:i/>
          <w:szCs w:val="22"/>
          <w:lang w:eastAsia="en-US"/>
        </w:rPr>
        <w:t xml:space="preserve">(podać pełną nazwę/firmę, adres, a także w zależności od podmiotu: NIP/PESEL, </w:t>
      </w:r>
      <w:r w:rsidRPr="00847BAD">
        <w:rPr>
          <w:rFonts w:ascii="Arial" w:hAnsi="Arial" w:cs="Arial"/>
          <w:i/>
          <w:szCs w:val="22"/>
          <w:lang w:eastAsia="en-US"/>
        </w:rPr>
        <w:lastRenderedPageBreak/>
        <w:t>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6D90EDAF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E71EE1">
        <w:rPr>
          <w:rFonts w:ascii="Arial" w:eastAsia="Cambria" w:hAnsi="Arial" w:cs="Arial"/>
          <w:sz w:val="24"/>
          <w:lang w:eastAsia="en-US"/>
        </w:rPr>
        <w:t>4</w:t>
      </w:r>
      <w:bookmarkStart w:id="3" w:name="_GoBack"/>
      <w:bookmarkEnd w:id="3"/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C39853A" w14:textId="65B8C774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CC88E9E" w14:textId="35144FAA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74107CB" w14:textId="44D4EB2F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7879E7D4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FFA7D8" w16cex:dateUtc="2023-09-28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11A40" w16cid:durableId="62FFA7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2E58" w14:textId="77777777" w:rsidR="00BF720C" w:rsidRDefault="00BF720C" w:rsidP="00413C1B">
      <w:pPr>
        <w:spacing w:after="0" w:line="240" w:lineRule="auto"/>
      </w:pPr>
      <w:r>
        <w:separator/>
      </w:r>
    </w:p>
  </w:endnote>
  <w:endnote w:type="continuationSeparator" w:id="0">
    <w:p w14:paraId="2B9D8BB8" w14:textId="77777777" w:rsidR="00BF720C" w:rsidRDefault="00BF720C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5323" w14:textId="77777777" w:rsidR="00BF720C" w:rsidRDefault="00BF720C" w:rsidP="00413C1B">
      <w:pPr>
        <w:spacing w:after="0" w:line="240" w:lineRule="auto"/>
      </w:pPr>
      <w:r>
        <w:separator/>
      </w:r>
    </w:p>
  </w:footnote>
  <w:footnote w:type="continuationSeparator" w:id="0">
    <w:p w14:paraId="4A0F5692" w14:textId="77777777" w:rsidR="00BF720C" w:rsidRDefault="00BF720C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0614E9A0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F1488B">
      <w:rPr>
        <w:rFonts w:ascii="Arial" w:hAnsi="Arial" w:cs="Arial"/>
        <w:b/>
        <w:sz w:val="20"/>
        <w:szCs w:val="20"/>
      </w:rPr>
      <w:t>5</w:t>
    </w:r>
    <w:r w:rsidR="00632317">
      <w:rPr>
        <w:rFonts w:ascii="Arial" w:hAnsi="Arial" w:cs="Arial"/>
        <w:b/>
        <w:sz w:val="20"/>
        <w:szCs w:val="20"/>
      </w:rPr>
      <w:t>4</w:t>
    </w:r>
    <w:r w:rsidR="003E1BA5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125EA"/>
    <w:rsid w:val="00413C1B"/>
    <w:rsid w:val="00447915"/>
    <w:rsid w:val="004666F3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32317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71EE1"/>
    <w:rsid w:val="00E86852"/>
    <w:rsid w:val="00E90D0C"/>
    <w:rsid w:val="00E96F5F"/>
    <w:rsid w:val="00EA5A34"/>
    <w:rsid w:val="00EC5959"/>
    <w:rsid w:val="00EC7725"/>
    <w:rsid w:val="00F07CD6"/>
    <w:rsid w:val="00F1488B"/>
    <w:rsid w:val="00F22E46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F2A6-9E69-4EEE-A70A-5D078BE6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12</cp:revision>
  <dcterms:created xsi:type="dcterms:W3CDTF">2022-10-07T09:09:00Z</dcterms:created>
  <dcterms:modified xsi:type="dcterms:W3CDTF">2024-01-11T09:43:00Z</dcterms:modified>
</cp:coreProperties>
</file>