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BA22" w14:textId="27719A79" w:rsidR="000902E2" w:rsidRPr="007C4D26" w:rsidRDefault="007C4D26" w:rsidP="00797A5A">
      <w:pPr>
        <w:spacing w:after="120" w:line="240" w:lineRule="auto"/>
        <w:ind w:left="4956" w:right="0" w:firstLine="708"/>
        <w:jc w:val="center"/>
        <w:rPr>
          <w:rFonts w:ascii="Times New Roman" w:hAnsi="Times New Roman" w:cs="Times New Roman"/>
          <w:sz w:val="22"/>
        </w:rPr>
      </w:pPr>
      <w:r w:rsidRPr="007C4D26">
        <w:rPr>
          <w:rFonts w:ascii="Times New Roman" w:hAnsi="Times New Roman" w:cs="Times New Roman"/>
          <w:b/>
          <w:sz w:val="22"/>
        </w:rPr>
        <w:t xml:space="preserve">       </w:t>
      </w:r>
      <w:r w:rsidR="002E2914" w:rsidRPr="007C4D26">
        <w:rPr>
          <w:rFonts w:ascii="Times New Roman" w:hAnsi="Times New Roman" w:cs="Times New Roman"/>
          <w:b/>
          <w:sz w:val="22"/>
        </w:rPr>
        <w:t xml:space="preserve">Załącznik nr 4 do Umowy nr </w:t>
      </w:r>
    </w:p>
    <w:p w14:paraId="11254726" w14:textId="77777777" w:rsidR="007C4D26" w:rsidRDefault="007C4D26" w:rsidP="00797A5A">
      <w:pPr>
        <w:pStyle w:val="Nagwek1"/>
        <w:spacing w:line="240" w:lineRule="auto"/>
        <w:rPr>
          <w:rFonts w:ascii="Times New Roman" w:hAnsi="Times New Roman" w:cs="Times New Roman"/>
          <w:u w:val="none"/>
        </w:rPr>
      </w:pPr>
    </w:p>
    <w:p w14:paraId="6A05773A" w14:textId="400EC195" w:rsidR="000902E2" w:rsidRPr="007C4D26" w:rsidRDefault="002E2914" w:rsidP="00797A5A">
      <w:pPr>
        <w:pStyle w:val="Nagwek1"/>
        <w:spacing w:line="240" w:lineRule="auto"/>
        <w:rPr>
          <w:rFonts w:ascii="Times New Roman" w:hAnsi="Times New Roman" w:cs="Times New Roman"/>
          <w:u w:val="none"/>
        </w:rPr>
      </w:pPr>
      <w:r w:rsidRPr="007C4D26">
        <w:rPr>
          <w:rFonts w:ascii="Times New Roman" w:hAnsi="Times New Roman" w:cs="Times New Roman"/>
          <w:u w:val="none"/>
        </w:rPr>
        <w:t xml:space="preserve">Zasady obliczania Rekompensaty Finansowej i stosowania Waloryzacji </w:t>
      </w:r>
    </w:p>
    <w:p w14:paraId="6EBBD3D8" w14:textId="77777777" w:rsidR="000902E2" w:rsidRPr="007C4D26" w:rsidRDefault="002E2914" w:rsidP="00797A5A">
      <w:pPr>
        <w:pStyle w:val="Nagwek2"/>
        <w:tabs>
          <w:tab w:val="center" w:pos="3528"/>
        </w:tabs>
        <w:spacing w:line="240" w:lineRule="auto"/>
        <w:ind w:left="-15" w:firstLine="0"/>
        <w:rPr>
          <w:rFonts w:ascii="Times New Roman" w:hAnsi="Times New Roman" w:cs="Times New Roman"/>
          <w:sz w:val="22"/>
        </w:rPr>
      </w:pPr>
      <w:r w:rsidRPr="007C4D26">
        <w:rPr>
          <w:rFonts w:ascii="Times New Roman" w:hAnsi="Times New Roman" w:cs="Times New Roman"/>
          <w:sz w:val="22"/>
        </w:rPr>
        <w:t xml:space="preserve">1. </w:t>
      </w:r>
      <w:r w:rsidRPr="007C4D26">
        <w:rPr>
          <w:rFonts w:ascii="Times New Roman" w:hAnsi="Times New Roman" w:cs="Times New Roman"/>
          <w:sz w:val="22"/>
        </w:rPr>
        <w:tab/>
        <w:t xml:space="preserve">Ogólne zasady ustalania należnej Operatorowi Rekompensaty Finansowej </w:t>
      </w:r>
    </w:p>
    <w:p w14:paraId="36BAF543" w14:textId="77777777"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Stosownie do art. 4 ust. 1 lit. b pkt (ii) Rozporządzenia 1370/2007 umowy o świadczenie usług publicznych określają uprzednio, w sposób obiektywny i przejrzysty, parametry, według których obliczane są ewentualne rekompensaty. Zarazem – stosownie do pkt 1 załącznika nr 1 do Rozporządzenia 1370/2007 jego postanowień nie stosuje się do rekompensat udzielanych na podstawie umów zawartych m.in. w trybie art. 5 ust. 3, tj. w trybach konkurencyjnych, do których zalicza się również Postępowanie Przetargowe. Oznacza to, że konieczne było określenie w sposób autonomiczny i adekwatny do przedmiotu Umowy zasad rekompensowania Operatorowi prawdopodobnego deficytu ekonomicznego związanego z realizacją Przewozów. </w:t>
      </w:r>
    </w:p>
    <w:p w14:paraId="3D5FE57B" w14:textId="77777777"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Ze względu na obowiązek zachowania konkurencyjności i przejrzystości w ramach Postępowania Przetargowego, a także porównywalności ofert, przy jednoczesnym zabezpieczeniu stabilności budżetowej Organizatora oraz określeniu z góry mechanizmu wyliczania wynagrodzenia według konkretnych zasad, zasadniczym parametrem określającym wysokość należnego Operatorowi świadczenia jest </w:t>
      </w:r>
      <w:r w:rsidR="007766C5" w:rsidRPr="007C4D26">
        <w:rPr>
          <w:rFonts w:ascii="Times New Roman" w:hAnsi="Times New Roman" w:cs="Times New Roman"/>
          <w:sz w:val="22"/>
        </w:rPr>
        <w:t>Rekompensata</w:t>
      </w:r>
      <w:r w:rsidRPr="007C4D26">
        <w:rPr>
          <w:rFonts w:ascii="Times New Roman" w:hAnsi="Times New Roman" w:cs="Times New Roman"/>
          <w:sz w:val="22"/>
        </w:rPr>
        <w:t xml:space="preserve"> za Pociągokilometr, jaką Operator przedstawił w Ofercie. </w:t>
      </w:r>
      <w:r w:rsidR="007766C5" w:rsidRPr="007C4D26">
        <w:rPr>
          <w:rFonts w:ascii="Times New Roman" w:hAnsi="Times New Roman" w:cs="Times New Roman"/>
          <w:sz w:val="22"/>
        </w:rPr>
        <w:t>Rekompensata</w:t>
      </w:r>
      <w:r w:rsidRPr="007C4D26">
        <w:rPr>
          <w:rFonts w:ascii="Times New Roman" w:hAnsi="Times New Roman" w:cs="Times New Roman"/>
          <w:sz w:val="22"/>
        </w:rPr>
        <w:t xml:space="preserve"> za Pociągokilometr uwzględnia całość osiąganej przez Operatora korzyści ekonomicznej w związku z realizacją Przewozów. Określając oferowaną </w:t>
      </w:r>
      <w:r w:rsidR="007766C5" w:rsidRPr="007C4D26">
        <w:rPr>
          <w:rFonts w:ascii="Times New Roman" w:hAnsi="Times New Roman" w:cs="Times New Roman"/>
          <w:sz w:val="22"/>
        </w:rPr>
        <w:t>Rekompensatę</w:t>
      </w:r>
      <w:r w:rsidRPr="007C4D26">
        <w:rPr>
          <w:rFonts w:ascii="Times New Roman" w:hAnsi="Times New Roman" w:cs="Times New Roman"/>
          <w:sz w:val="22"/>
        </w:rPr>
        <w:t xml:space="preserve"> za Pociągokilometr Operator był zobowiązany do uwzględnienia wszystkich ryzyk, które są lub powinny być mu znane, jako podmiotowi dysponującemu doświadczeniem w realizacji podobnych usług, a także powinna obejmować satysfakcjonujący Operatora zysk z prowadzonej działalności gospodarczej. Zastosowanie do rozliczeń z Operatorem </w:t>
      </w:r>
      <w:r w:rsidR="007766C5" w:rsidRPr="007C4D26">
        <w:rPr>
          <w:rFonts w:ascii="Times New Roman" w:hAnsi="Times New Roman" w:cs="Times New Roman"/>
          <w:sz w:val="22"/>
        </w:rPr>
        <w:t>Rekompensaty</w:t>
      </w:r>
      <w:r w:rsidRPr="007C4D26">
        <w:rPr>
          <w:rFonts w:ascii="Times New Roman" w:hAnsi="Times New Roman" w:cs="Times New Roman"/>
          <w:sz w:val="22"/>
        </w:rPr>
        <w:t xml:space="preserve"> za Pociągokilometr, jako wskaźnika określonego na podstawie porównania konkurencyjnych ofert, spełnia przy tym warunek rynkowości i braku nadmiernego wynagrodzenia Operatora. </w:t>
      </w:r>
    </w:p>
    <w:p w14:paraId="22F366DE" w14:textId="288C9E02" w:rsidR="000902E2" w:rsidRPr="007C4D26" w:rsidRDefault="007766C5" w:rsidP="00797A5A">
      <w:pPr>
        <w:spacing w:line="240" w:lineRule="auto"/>
        <w:ind w:left="357" w:right="0" w:hanging="11"/>
        <w:rPr>
          <w:rFonts w:ascii="Times New Roman" w:hAnsi="Times New Roman" w:cs="Times New Roman"/>
          <w:sz w:val="22"/>
        </w:rPr>
      </w:pPr>
      <w:r w:rsidRPr="007C4D26">
        <w:rPr>
          <w:rFonts w:ascii="Times New Roman" w:hAnsi="Times New Roman" w:cs="Times New Roman"/>
          <w:sz w:val="22"/>
        </w:rPr>
        <w:t>Rekompensata</w:t>
      </w:r>
      <w:r w:rsidR="002E2914" w:rsidRPr="007C4D26">
        <w:rPr>
          <w:rFonts w:ascii="Times New Roman" w:hAnsi="Times New Roman" w:cs="Times New Roman"/>
          <w:sz w:val="22"/>
        </w:rPr>
        <w:t xml:space="preserve"> za Pociągokilometr obejmuje </w:t>
      </w:r>
      <w:r w:rsidR="00436671" w:rsidRPr="007C4D26">
        <w:rPr>
          <w:rFonts w:ascii="Times New Roman" w:hAnsi="Times New Roman" w:cs="Times New Roman"/>
          <w:sz w:val="22"/>
        </w:rPr>
        <w:t>trzy</w:t>
      </w:r>
      <w:r w:rsidR="002E2914" w:rsidRPr="007C4D26">
        <w:rPr>
          <w:rFonts w:ascii="Times New Roman" w:hAnsi="Times New Roman" w:cs="Times New Roman"/>
          <w:sz w:val="22"/>
        </w:rPr>
        <w:t xml:space="preserve"> komponenty: </w:t>
      </w:r>
      <w:r w:rsidRPr="007C4D26">
        <w:rPr>
          <w:rFonts w:ascii="Times New Roman" w:hAnsi="Times New Roman" w:cs="Times New Roman"/>
          <w:sz w:val="22"/>
        </w:rPr>
        <w:t>Przych</w:t>
      </w:r>
      <w:r w:rsidR="002E2914" w:rsidRPr="007C4D26">
        <w:rPr>
          <w:rFonts w:ascii="Times New Roman" w:hAnsi="Times New Roman" w:cs="Times New Roman"/>
          <w:sz w:val="22"/>
        </w:rPr>
        <w:t>ody</w:t>
      </w:r>
      <w:r w:rsidR="00A23E92" w:rsidRPr="007C4D26">
        <w:rPr>
          <w:rFonts w:ascii="Times New Roman" w:hAnsi="Times New Roman" w:cs="Times New Roman"/>
          <w:sz w:val="22"/>
        </w:rPr>
        <w:t xml:space="preserve"> za Pociągokilometr</w:t>
      </w:r>
      <w:r w:rsidRPr="007C4D26">
        <w:rPr>
          <w:rFonts w:ascii="Times New Roman" w:hAnsi="Times New Roman" w:cs="Times New Roman"/>
          <w:sz w:val="22"/>
        </w:rPr>
        <w:t xml:space="preserve"> (których poziom gwarantuje Organizator)</w:t>
      </w:r>
      <w:r w:rsidR="00436671" w:rsidRPr="007C4D26">
        <w:rPr>
          <w:rFonts w:ascii="Times New Roman" w:hAnsi="Times New Roman" w:cs="Times New Roman"/>
          <w:sz w:val="22"/>
        </w:rPr>
        <w:t>,</w:t>
      </w:r>
      <w:r w:rsidR="002E2914" w:rsidRPr="007C4D26">
        <w:rPr>
          <w:rFonts w:ascii="Times New Roman" w:hAnsi="Times New Roman" w:cs="Times New Roman"/>
          <w:sz w:val="22"/>
        </w:rPr>
        <w:t xml:space="preserve"> </w:t>
      </w:r>
      <w:r w:rsidRPr="007C4D26">
        <w:rPr>
          <w:rFonts w:ascii="Times New Roman" w:hAnsi="Times New Roman" w:cs="Times New Roman"/>
          <w:sz w:val="22"/>
        </w:rPr>
        <w:t>Koszt</w:t>
      </w:r>
      <w:r w:rsidR="002E2914" w:rsidRPr="007C4D26">
        <w:rPr>
          <w:rFonts w:ascii="Times New Roman" w:hAnsi="Times New Roman" w:cs="Times New Roman"/>
          <w:sz w:val="22"/>
        </w:rPr>
        <w:t xml:space="preserve"> </w:t>
      </w:r>
      <w:r w:rsidRPr="007C4D26">
        <w:rPr>
          <w:rFonts w:ascii="Times New Roman" w:hAnsi="Times New Roman" w:cs="Times New Roman"/>
          <w:sz w:val="22"/>
        </w:rPr>
        <w:t>n</w:t>
      </w:r>
      <w:r w:rsidR="002E2914" w:rsidRPr="007C4D26">
        <w:rPr>
          <w:rFonts w:ascii="Times New Roman" w:hAnsi="Times New Roman" w:cs="Times New Roman"/>
          <w:sz w:val="22"/>
        </w:rPr>
        <w:t>a Pociągokilometr</w:t>
      </w:r>
      <w:r w:rsidR="00436671" w:rsidRPr="007C4D26">
        <w:rPr>
          <w:rFonts w:ascii="Times New Roman" w:hAnsi="Times New Roman" w:cs="Times New Roman"/>
          <w:sz w:val="22"/>
        </w:rPr>
        <w:t xml:space="preserve"> oraz Rozsądny zysk na </w:t>
      </w:r>
      <w:r w:rsidR="004A2A57" w:rsidRPr="007C4D26">
        <w:rPr>
          <w:rFonts w:ascii="Times New Roman" w:hAnsi="Times New Roman" w:cs="Times New Roman"/>
          <w:sz w:val="22"/>
        </w:rPr>
        <w:t>P</w:t>
      </w:r>
      <w:r w:rsidR="00436671" w:rsidRPr="007C4D26">
        <w:rPr>
          <w:rFonts w:ascii="Times New Roman" w:hAnsi="Times New Roman" w:cs="Times New Roman"/>
          <w:sz w:val="22"/>
        </w:rPr>
        <w:t>ociągokilometr</w:t>
      </w:r>
      <w:r w:rsidR="002E2914" w:rsidRPr="007C4D26">
        <w:rPr>
          <w:rFonts w:ascii="Times New Roman" w:hAnsi="Times New Roman" w:cs="Times New Roman"/>
          <w:sz w:val="22"/>
        </w:rPr>
        <w:t xml:space="preserve">. </w:t>
      </w:r>
    </w:p>
    <w:p w14:paraId="6EBE1B8D" w14:textId="0E433C88" w:rsidR="000902E2" w:rsidRPr="007C4D26" w:rsidRDefault="002E2914" w:rsidP="00797A5A">
      <w:pPr>
        <w:spacing w:after="7" w:line="240" w:lineRule="auto"/>
        <w:ind w:left="355" w:right="0"/>
        <w:rPr>
          <w:rFonts w:ascii="Times New Roman" w:hAnsi="Times New Roman" w:cs="Times New Roman"/>
          <w:sz w:val="22"/>
        </w:rPr>
      </w:pPr>
      <w:r w:rsidRPr="007C4D26">
        <w:rPr>
          <w:rFonts w:ascii="Times New Roman" w:hAnsi="Times New Roman" w:cs="Times New Roman"/>
          <w:sz w:val="22"/>
        </w:rPr>
        <w:t xml:space="preserve">Przychody są osiągane przez Operatora. Wysokość Przychodów jest prognozowana </w:t>
      </w:r>
      <w:r w:rsidRPr="007C4D26">
        <w:rPr>
          <w:rFonts w:ascii="Times New Roman" w:hAnsi="Times New Roman" w:cs="Times New Roman"/>
          <w:i/>
          <w:sz w:val="22"/>
        </w:rPr>
        <w:t xml:space="preserve">ex ante </w:t>
      </w:r>
      <w:r w:rsidRPr="007C4D26">
        <w:rPr>
          <w:rFonts w:ascii="Times New Roman" w:hAnsi="Times New Roman" w:cs="Times New Roman"/>
          <w:sz w:val="22"/>
        </w:rPr>
        <w:t xml:space="preserve">co uwidaczniają dane zawarte w Załączniku nr </w:t>
      </w:r>
      <w:r w:rsidR="00E052EF">
        <w:rPr>
          <w:rFonts w:ascii="Times New Roman" w:hAnsi="Times New Roman" w:cs="Times New Roman"/>
          <w:sz w:val="22"/>
        </w:rPr>
        <w:t>2</w:t>
      </w:r>
      <w:r w:rsidRPr="007C4D26">
        <w:rPr>
          <w:rFonts w:ascii="Times New Roman" w:hAnsi="Times New Roman" w:cs="Times New Roman"/>
          <w:sz w:val="22"/>
        </w:rPr>
        <w:t xml:space="preserve"> i podlega weryfikacji </w:t>
      </w:r>
      <w:r w:rsidRPr="007C4D26">
        <w:rPr>
          <w:rFonts w:ascii="Times New Roman" w:hAnsi="Times New Roman" w:cs="Times New Roman"/>
          <w:i/>
          <w:sz w:val="22"/>
        </w:rPr>
        <w:t xml:space="preserve">ex post </w:t>
      </w:r>
      <w:r w:rsidRPr="007C4D26">
        <w:rPr>
          <w:rFonts w:ascii="Times New Roman" w:hAnsi="Times New Roman" w:cs="Times New Roman"/>
          <w:sz w:val="22"/>
        </w:rPr>
        <w:t xml:space="preserve">podczas corocznego audytu w oparciu o wartości rzeczywiste. Kategorie </w:t>
      </w:r>
      <w:r w:rsidR="00853E9F" w:rsidRPr="007C4D26">
        <w:rPr>
          <w:rFonts w:ascii="Times New Roman" w:hAnsi="Times New Roman" w:cs="Times New Roman"/>
          <w:sz w:val="22"/>
        </w:rPr>
        <w:t xml:space="preserve">Przychodów i sposób ich kwalifikacji w ramach Umowy szczegółowo opisano w pkt 2 poniżej. Operator jest zobowiązany do osiągania Przychodów w sposób efektywny oraz dążenia do ich maksymalizacji. W związku z tym, stosownie </w:t>
      </w:r>
      <w:r w:rsidR="00853E9F" w:rsidRPr="002A6C0F">
        <w:rPr>
          <w:rFonts w:ascii="Times New Roman" w:hAnsi="Times New Roman" w:cs="Times New Roman"/>
          <w:sz w:val="22"/>
        </w:rPr>
        <w:t xml:space="preserve">do Pkt </w:t>
      </w:r>
      <w:r w:rsidR="00F71914" w:rsidRPr="002A6C0F">
        <w:rPr>
          <w:rFonts w:ascii="Times New Roman" w:hAnsi="Times New Roman" w:cs="Times New Roman"/>
          <w:sz w:val="22"/>
        </w:rPr>
        <w:t>5</w:t>
      </w:r>
      <w:r w:rsidR="00853E9F" w:rsidRPr="002A6C0F">
        <w:rPr>
          <w:rFonts w:ascii="Times New Roman" w:hAnsi="Times New Roman" w:cs="Times New Roman"/>
          <w:sz w:val="22"/>
        </w:rPr>
        <w:t>.3.6</w:t>
      </w:r>
      <w:r w:rsidR="00853E9F" w:rsidRPr="007C4D26">
        <w:rPr>
          <w:rFonts w:ascii="Times New Roman" w:hAnsi="Times New Roman" w:cs="Times New Roman"/>
          <w:sz w:val="22"/>
        </w:rPr>
        <w:t xml:space="preserve"> głównej części Umowy Operator jest zobowiązany – poza wymienionymi w przywołanym Pkt wyjątkami – do osiągania Przychodów w wysokości </w:t>
      </w:r>
      <w:r w:rsidR="007766C5" w:rsidRPr="007C4D26">
        <w:rPr>
          <w:rFonts w:ascii="Times New Roman" w:hAnsi="Times New Roman" w:cs="Times New Roman"/>
          <w:sz w:val="22"/>
        </w:rPr>
        <w:t>gwarantowanej przez Organizatora i</w:t>
      </w:r>
      <w:r w:rsidR="00853E9F" w:rsidRPr="007C4D26">
        <w:rPr>
          <w:rFonts w:ascii="Times New Roman" w:hAnsi="Times New Roman" w:cs="Times New Roman"/>
          <w:sz w:val="22"/>
        </w:rPr>
        <w:t xml:space="preserve"> określon</w:t>
      </w:r>
      <w:r w:rsidR="007766C5" w:rsidRPr="007C4D26">
        <w:rPr>
          <w:rFonts w:ascii="Times New Roman" w:hAnsi="Times New Roman" w:cs="Times New Roman"/>
          <w:sz w:val="22"/>
        </w:rPr>
        <w:t>ej</w:t>
      </w:r>
      <w:r w:rsidR="00853E9F" w:rsidRPr="007C4D26">
        <w:rPr>
          <w:rFonts w:ascii="Times New Roman" w:hAnsi="Times New Roman" w:cs="Times New Roman"/>
          <w:sz w:val="22"/>
        </w:rPr>
        <w:t xml:space="preserve"> w Załączniku</w:t>
      </w:r>
      <w:r w:rsidR="00AD4BF1" w:rsidRPr="007C4D26">
        <w:rPr>
          <w:rFonts w:ascii="Times New Roman" w:hAnsi="Times New Roman" w:cs="Times New Roman"/>
          <w:sz w:val="22"/>
        </w:rPr>
        <w:t xml:space="preserve"> </w:t>
      </w:r>
      <w:r w:rsidR="00853E9F" w:rsidRPr="007C4D26">
        <w:rPr>
          <w:rFonts w:ascii="Times New Roman" w:hAnsi="Times New Roman" w:cs="Times New Roman"/>
          <w:sz w:val="22"/>
        </w:rPr>
        <w:t xml:space="preserve"> nr </w:t>
      </w:r>
      <w:r w:rsidR="007C4D26">
        <w:rPr>
          <w:rFonts w:ascii="Times New Roman" w:hAnsi="Times New Roman" w:cs="Times New Roman"/>
          <w:sz w:val="22"/>
        </w:rPr>
        <w:t>2</w:t>
      </w:r>
      <w:r w:rsidR="00853E9F" w:rsidRPr="007C4D26">
        <w:rPr>
          <w:rFonts w:ascii="Times New Roman" w:hAnsi="Times New Roman" w:cs="Times New Roman"/>
          <w:sz w:val="22"/>
        </w:rPr>
        <w:t>.</w:t>
      </w:r>
    </w:p>
    <w:p w14:paraId="0E33E650" w14:textId="572D4438"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Mechanizmem, który ma zabezpieczyć obie Strony przed skutkami zmieniających się w czasie kosztów realizacji Przewozów jest Waloryzacja, której mechanizm został szczegółowo opisany w pkt </w:t>
      </w:r>
      <w:r w:rsidR="00D322F9" w:rsidRPr="007C4D26">
        <w:rPr>
          <w:rFonts w:ascii="Times New Roman" w:hAnsi="Times New Roman" w:cs="Times New Roman"/>
          <w:sz w:val="22"/>
        </w:rPr>
        <w:t>6</w:t>
      </w:r>
      <w:r w:rsidRPr="007C4D26">
        <w:rPr>
          <w:rFonts w:ascii="Times New Roman" w:hAnsi="Times New Roman" w:cs="Times New Roman"/>
          <w:sz w:val="22"/>
        </w:rPr>
        <w:t xml:space="preserve"> poniżej. </w:t>
      </w:r>
    </w:p>
    <w:p w14:paraId="781748BA" w14:textId="77777777" w:rsidR="000902E2" w:rsidRPr="007C4D26" w:rsidRDefault="002E2914" w:rsidP="00797A5A">
      <w:pPr>
        <w:spacing w:after="6" w:line="240" w:lineRule="auto"/>
        <w:ind w:left="355" w:right="0"/>
        <w:rPr>
          <w:rFonts w:ascii="Times New Roman" w:hAnsi="Times New Roman" w:cs="Times New Roman"/>
          <w:sz w:val="22"/>
        </w:rPr>
      </w:pPr>
      <w:r w:rsidRPr="007C4D26">
        <w:rPr>
          <w:rFonts w:ascii="Times New Roman" w:hAnsi="Times New Roman" w:cs="Times New Roman"/>
          <w:sz w:val="22"/>
        </w:rPr>
        <w:t xml:space="preserve">Przyjęte w ramach Waloryzacji parametry odpowiadają tendencjom zmian cen materiałów lub kosztów związanych z realizacją Umowy. Mechanizm Waloryzacji został ukształtowany w oparciu o parametry obiektywne, znane z góry i niezależne od obu Stron. Zastosowanie Waloryzacji będzie możliwe już od drugiego Okresu Rozliczeniowego, co wydaje się szczególnie istotne wobec istniejących obecnie na rynku tendencji do dynamicznych zmian cen. Tym samym Operator nie jest narażony na ryzyko, że zastosowanie z góry określonej i niemożliwej do zmiany przez cały Okres Realizacji Przewozów </w:t>
      </w:r>
      <w:r w:rsidR="007766C5" w:rsidRPr="007C4D26">
        <w:rPr>
          <w:rFonts w:ascii="Times New Roman" w:hAnsi="Times New Roman" w:cs="Times New Roman"/>
          <w:sz w:val="22"/>
        </w:rPr>
        <w:t>Rekompensaty</w:t>
      </w:r>
      <w:r w:rsidR="00853E9F" w:rsidRPr="007C4D26">
        <w:rPr>
          <w:rFonts w:ascii="Times New Roman" w:hAnsi="Times New Roman" w:cs="Times New Roman"/>
          <w:sz w:val="22"/>
        </w:rPr>
        <w:t xml:space="preserve"> za Pociągokilometr spowoduje po jego stronie deficyt ekonomiczny, którego nie mógł przewidzieć na etapie składania Oferty.</w:t>
      </w:r>
    </w:p>
    <w:p w14:paraId="067CC9ED" w14:textId="71D82586" w:rsidR="00D11185" w:rsidRPr="00D11185" w:rsidRDefault="00D11185" w:rsidP="00797A5A">
      <w:pPr>
        <w:spacing w:line="240" w:lineRule="auto"/>
        <w:ind w:left="355" w:right="0"/>
        <w:rPr>
          <w:rFonts w:ascii="Times New Roman" w:hAnsi="Times New Roman" w:cs="Times New Roman"/>
          <w:sz w:val="22"/>
        </w:rPr>
      </w:pPr>
      <w:r w:rsidRPr="00D11185">
        <w:rPr>
          <w:rFonts w:ascii="Times New Roman" w:hAnsi="Times New Roman" w:cs="Times New Roman"/>
          <w:sz w:val="22"/>
        </w:rPr>
        <w:lastRenderedPageBreak/>
        <w:t xml:space="preserve">W celu wyeliminowania konieczności dokonywania przez Strony korekt w sytuacjach bagatelnych, Waloryzacja będzie stosowana tylko wtedy, gdy Roczny Wskaźnik Waloryzacji przekroczy 1 % i do poziomu </w:t>
      </w:r>
      <w:r>
        <w:rPr>
          <w:rFonts w:ascii="Times New Roman" w:hAnsi="Times New Roman" w:cs="Times New Roman"/>
          <w:sz w:val="22"/>
        </w:rPr>
        <w:t>20</w:t>
      </w:r>
      <w:r w:rsidRPr="00D11185">
        <w:rPr>
          <w:rFonts w:ascii="Times New Roman" w:hAnsi="Times New Roman" w:cs="Times New Roman"/>
          <w:sz w:val="22"/>
        </w:rPr>
        <w:t>%.</w:t>
      </w:r>
    </w:p>
    <w:p w14:paraId="399ECA82" w14:textId="400E7A76"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Zastosowanie określonego w Umowie sposobu rekompensowania działalności Operatora nie zwalnia go z wynikającego z przepisów powszechnie obowiązującego prawa obowiązku prowadzenia rachunkowości w sposób umożliwiający prawidłowe ustalenie kosztów i przychodów związanych z realizacją Przewozów, ze szczególnym uwzględnieniem przepisów stanowiących o oddzielnej rachunkowości dla operatorów świadczących usługi publiczne w zakresie kolejowego transportu pasażerskiego i wykonujących jednocześnie inną działalność (art. 58 i 58a UPTZ). </w:t>
      </w:r>
      <w:r w:rsidR="001C24ED" w:rsidRPr="007C4D26">
        <w:rPr>
          <w:rFonts w:ascii="Times New Roman" w:hAnsi="Times New Roman" w:cs="Times New Roman"/>
          <w:sz w:val="22"/>
        </w:rPr>
        <w:t>Dla uniknięcia wątpliwości Strony potwierdzają, że o</w:t>
      </w:r>
      <w:r w:rsidRPr="007C4D26">
        <w:rPr>
          <w:rFonts w:ascii="Times New Roman" w:hAnsi="Times New Roman" w:cs="Times New Roman"/>
          <w:sz w:val="22"/>
        </w:rPr>
        <w:t>bowiązek</w:t>
      </w:r>
      <w:r w:rsidR="001C24ED" w:rsidRPr="007C4D26">
        <w:rPr>
          <w:rFonts w:ascii="Times New Roman" w:hAnsi="Times New Roman" w:cs="Times New Roman"/>
          <w:sz w:val="22"/>
        </w:rPr>
        <w:t xml:space="preserve"> prowadzenia oddzielnej rachunkowości oznacza przyjęcie</w:t>
      </w:r>
      <w:r w:rsidRPr="007C4D26">
        <w:rPr>
          <w:rFonts w:ascii="Times New Roman" w:hAnsi="Times New Roman" w:cs="Times New Roman"/>
          <w:sz w:val="22"/>
        </w:rPr>
        <w:t>,</w:t>
      </w:r>
      <w:r w:rsidR="001C24ED" w:rsidRPr="007C4D26">
        <w:rPr>
          <w:rFonts w:ascii="Times New Roman" w:hAnsi="Times New Roman" w:cs="Times New Roman"/>
          <w:sz w:val="22"/>
        </w:rPr>
        <w:t xml:space="preserve"> w ramach systemu rachunkowości Operatora </w:t>
      </w:r>
      <w:r w:rsidR="00893D99" w:rsidRPr="007C4D26">
        <w:rPr>
          <w:rFonts w:ascii="Times New Roman" w:hAnsi="Times New Roman" w:cs="Times New Roman"/>
          <w:sz w:val="22"/>
        </w:rPr>
        <w:t xml:space="preserve">odpowiedniego systemu ewidencjonowania i alokacji kosztów oraz przychodów dla prowadzonych przez Operatora działalności, w tym działalności na podstawie Umowy tak aby zapewnić skutek w postaci </w:t>
      </w:r>
      <w:r w:rsidRPr="007C4D26">
        <w:rPr>
          <w:rFonts w:ascii="Times New Roman" w:hAnsi="Times New Roman" w:cs="Times New Roman"/>
          <w:sz w:val="22"/>
        </w:rPr>
        <w:t xml:space="preserve"> </w:t>
      </w:r>
      <w:r w:rsidR="00893D99" w:rsidRPr="007C4D26">
        <w:rPr>
          <w:rFonts w:ascii="Times New Roman" w:hAnsi="Times New Roman" w:cs="Times New Roman"/>
          <w:sz w:val="22"/>
        </w:rPr>
        <w:t>możliwości przypisania określonych kosztów i przychodów do danego rodzaju działalności na podstawie Umowy.</w:t>
      </w:r>
      <w:r w:rsidRPr="007C4D26">
        <w:rPr>
          <w:rFonts w:ascii="Times New Roman" w:hAnsi="Times New Roman" w:cs="Times New Roman"/>
          <w:sz w:val="22"/>
        </w:rPr>
        <w:t xml:space="preserve"> </w:t>
      </w:r>
    </w:p>
    <w:p w14:paraId="1BCB9F9E" w14:textId="77777777" w:rsidR="000902E2" w:rsidRPr="007C4D26" w:rsidRDefault="002E2914" w:rsidP="00797A5A">
      <w:pPr>
        <w:spacing w:after="102" w:line="240" w:lineRule="auto"/>
        <w:ind w:left="355" w:right="0"/>
        <w:rPr>
          <w:rFonts w:ascii="Times New Roman" w:hAnsi="Times New Roman" w:cs="Times New Roman"/>
          <w:sz w:val="22"/>
        </w:rPr>
      </w:pPr>
      <w:r w:rsidRPr="007C4D26">
        <w:rPr>
          <w:rFonts w:ascii="Times New Roman" w:hAnsi="Times New Roman" w:cs="Times New Roman"/>
          <w:sz w:val="22"/>
        </w:rPr>
        <w:t xml:space="preserve">W przypadku gdy dany Przychód dotyczy okresu, którego tylko część przypada w Okresie Rozliczeniowym, to przychód ten przyporządkowuje się do danego Okresu Rozliczeniowego proporcjonalnie do liczby dni tego okresu, jaka przypada na dany Okres Rozliczeniowy. </w:t>
      </w:r>
    </w:p>
    <w:p w14:paraId="6DB72153" w14:textId="77777777" w:rsidR="000902E2" w:rsidRPr="007C4D26" w:rsidRDefault="002E2914" w:rsidP="00797A5A">
      <w:pPr>
        <w:spacing w:after="102" w:line="240" w:lineRule="auto"/>
        <w:ind w:left="355" w:right="0"/>
        <w:rPr>
          <w:rFonts w:ascii="Times New Roman" w:hAnsi="Times New Roman" w:cs="Times New Roman"/>
          <w:sz w:val="22"/>
        </w:rPr>
      </w:pPr>
      <w:r w:rsidRPr="007C4D26">
        <w:rPr>
          <w:rFonts w:ascii="Times New Roman" w:hAnsi="Times New Roman" w:cs="Times New Roman"/>
          <w:sz w:val="22"/>
        </w:rPr>
        <w:t xml:space="preserve">Operator ma obowiązek ustalenia i opisania zasad dotyczących ewidencji operacji związanych ze świadczeniem usługi publicznej. </w:t>
      </w:r>
    </w:p>
    <w:p w14:paraId="25865E72" w14:textId="77777777"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Za każdym razem, gdy w niniejszym dokumencie pojawia się sformułowanie „usługa publiczna”, należy przez to rozumieć Przewozy zdefiniowane w głównej części Umowy. </w:t>
      </w:r>
    </w:p>
    <w:p w14:paraId="2EE20778" w14:textId="77777777"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Operator jest zobowiązany do wykonywania Przewozów z zachowaniem efektywności kosztowej oraz dążeniem do maksymalizacji osiąganych Przychodów. </w:t>
      </w:r>
    </w:p>
    <w:p w14:paraId="30454815" w14:textId="77777777" w:rsidR="000902E2" w:rsidRPr="007C4D26" w:rsidRDefault="002E2914" w:rsidP="00797A5A">
      <w:pPr>
        <w:spacing w:after="264" w:line="240" w:lineRule="auto"/>
        <w:ind w:left="355" w:right="0"/>
        <w:rPr>
          <w:rFonts w:ascii="Times New Roman" w:hAnsi="Times New Roman" w:cs="Times New Roman"/>
          <w:sz w:val="22"/>
        </w:rPr>
      </w:pPr>
      <w:r w:rsidRPr="007C4D26">
        <w:rPr>
          <w:rFonts w:ascii="Times New Roman" w:hAnsi="Times New Roman" w:cs="Times New Roman"/>
          <w:sz w:val="22"/>
        </w:rPr>
        <w:t xml:space="preserve">Weryfikacja poziomu Rekompensaty Finansowej wypłacanej Operatorowi będzie prowadzona poprzez coroczne audyty stosownie do postanowień głównej części Umowy. </w:t>
      </w:r>
    </w:p>
    <w:p w14:paraId="12EBC890" w14:textId="213853AA" w:rsidR="000902E2" w:rsidRPr="00C90E6A" w:rsidRDefault="002E2914" w:rsidP="00797A5A">
      <w:pPr>
        <w:pStyle w:val="Nagwek2"/>
        <w:tabs>
          <w:tab w:val="center" w:pos="3424"/>
        </w:tabs>
        <w:spacing w:after="258" w:line="240" w:lineRule="auto"/>
        <w:ind w:left="-15" w:firstLine="0"/>
        <w:rPr>
          <w:rFonts w:ascii="Times New Roman" w:hAnsi="Times New Roman" w:cs="Times New Roman"/>
          <w:sz w:val="22"/>
        </w:rPr>
      </w:pPr>
      <w:r w:rsidRPr="007C4D26">
        <w:rPr>
          <w:rFonts w:ascii="Times New Roman" w:hAnsi="Times New Roman" w:cs="Times New Roman"/>
          <w:sz w:val="22"/>
        </w:rPr>
        <w:t xml:space="preserve">2. </w:t>
      </w:r>
      <w:r w:rsidRPr="007C4D26">
        <w:rPr>
          <w:rFonts w:ascii="Times New Roman" w:hAnsi="Times New Roman" w:cs="Times New Roman"/>
          <w:sz w:val="22"/>
        </w:rPr>
        <w:tab/>
        <w:t xml:space="preserve">Przychody uzyskane przez Operatora w związku z realizacją Przewozów </w:t>
      </w:r>
    </w:p>
    <w:p w14:paraId="7A7A03DE" w14:textId="2EF59DF3" w:rsidR="000902E2" w:rsidRPr="007C4D26" w:rsidRDefault="002E2914" w:rsidP="00797A5A">
      <w:pPr>
        <w:spacing w:line="240" w:lineRule="auto"/>
        <w:ind w:left="355" w:right="0"/>
        <w:rPr>
          <w:rFonts w:ascii="Times New Roman" w:hAnsi="Times New Roman" w:cs="Times New Roman"/>
          <w:sz w:val="22"/>
        </w:rPr>
      </w:pPr>
      <w:r w:rsidRPr="007C4D26">
        <w:rPr>
          <w:rFonts w:ascii="Times New Roman" w:hAnsi="Times New Roman" w:cs="Times New Roman"/>
          <w:sz w:val="22"/>
        </w:rPr>
        <w:t xml:space="preserve">Operator przedstawia Organizatorowi Przychody związane z realizacją Przewozów w podziale na następujące kategorie przychodów: </w:t>
      </w:r>
    </w:p>
    <w:p w14:paraId="1FB94267" w14:textId="612D7935" w:rsidR="00653FD3" w:rsidRPr="004A4ABF" w:rsidRDefault="00373D69" w:rsidP="00797A5A">
      <w:pPr>
        <w:pStyle w:val="Akapitzlist"/>
        <w:numPr>
          <w:ilvl w:val="0"/>
          <w:numId w:val="19"/>
        </w:numPr>
        <w:spacing w:line="240" w:lineRule="auto"/>
        <w:ind w:right="0"/>
        <w:rPr>
          <w:rFonts w:ascii="Times New Roman" w:hAnsi="Times New Roman" w:cs="Times New Roman"/>
          <w:bCs/>
          <w:sz w:val="22"/>
        </w:rPr>
      </w:pPr>
      <w:r w:rsidRPr="004A4ABF">
        <w:rPr>
          <w:rFonts w:ascii="Times New Roman" w:hAnsi="Times New Roman" w:cs="Times New Roman"/>
          <w:bCs/>
          <w:sz w:val="22"/>
        </w:rPr>
        <w:t>Przychody taryfowe</w:t>
      </w:r>
      <w:r w:rsidR="00653FD3" w:rsidRPr="004A4ABF">
        <w:rPr>
          <w:rFonts w:ascii="Times New Roman" w:hAnsi="Times New Roman" w:cs="Times New Roman"/>
          <w:bCs/>
          <w:sz w:val="22"/>
        </w:rPr>
        <w:t>:</w:t>
      </w:r>
    </w:p>
    <w:p w14:paraId="49942C09" w14:textId="57C04B27" w:rsidR="00940F13" w:rsidRPr="00940F13" w:rsidRDefault="00373D69" w:rsidP="00940F13">
      <w:pPr>
        <w:pStyle w:val="Akapitzlist"/>
        <w:spacing w:line="240" w:lineRule="auto"/>
        <w:ind w:left="765" w:right="0" w:firstLine="0"/>
        <w:rPr>
          <w:rFonts w:ascii="Times New Roman" w:hAnsi="Times New Roman" w:cs="Times New Roman"/>
          <w:bCs/>
          <w:sz w:val="22"/>
        </w:rPr>
      </w:pPr>
      <w:r w:rsidRPr="00373D69">
        <w:rPr>
          <w:rFonts w:ascii="Times New Roman" w:hAnsi="Times New Roman" w:cs="Times New Roman"/>
          <w:bCs/>
          <w:sz w:val="22"/>
        </w:rPr>
        <w:t>Obejmuje przychody określone w taryfie przewozowej (załącznik nr 7 do Umowy) oraz inne przychody związane bezpośrednio z korzystaniem z Przewozów przez pasażerów</w:t>
      </w:r>
      <w:r>
        <w:rPr>
          <w:rFonts w:ascii="Times New Roman" w:hAnsi="Times New Roman" w:cs="Times New Roman"/>
          <w:bCs/>
          <w:sz w:val="22"/>
        </w:rPr>
        <w:t>,</w:t>
      </w:r>
      <w:r w:rsidR="00940F13" w:rsidRPr="00940F13">
        <w:t xml:space="preserve"> </w:t>
      </w:r>
      <w:r w:rsidR="00940F13" w:rsidRPr="00940F13">
        <w:rPr>
          <w:rFonts w:ascii="Times New Roman" w:hAnsi="Times New Roman" w:cs="Times New Roman"/>
          <w:bCs/>
          <w:sz w:val="22"/>
        </w:rPr>
        <w:t xml:space="preserve">a w szczególności przychody: </w:t>
      </w:r>
    </w:p>
    <w:p w14:paraId="546A364D" w14:textId="77777777" w:rsidR="00940F13" w:rsidRPr="00940F13" w:rsidRDefault="00940F13" w:rsidP="00940F13">
      <w:pPr>
        <w:pStyle w:val="Akapitzlist"/>
        <w:spacing w:line="240" w:lineRule="auto"/>
        <w:ind w:left="765" w:right="0" w:firstLine="0"/>
        <w:rPr>
          <w:rFonts w:ascii="Times New Roman" w:hAnsi="Times New Roman" w:cs="Times New Roman"/>
          <w:bCs/>
          <w:sz w:val="22"/>
        </w:rPr>
      </w:pPr>
      <w:r w:rsidRPr="00940F13">
        <w:rPr>
          <w:rFonts w:ascii="Times New Roman" w:hAnsi="Times New Roman" w:cs="Times New Roman"/>
          <w:bCs/>
          <w:sz w:val="22"/>
        </w:rPr>
        <w:t>•</w:t>
      </w:r>
      <w:r w:rsidRPr="00940F13">
        <w:rPr>
          <w:rFonts w:ascii="Times New Roman" w:hAnsi="Times New Roman" w:cs="Times New Roman"/>
          <w:bCs/>
          <w:sz w:val="22"/>
        </w:rPr>
        <w:tab/>
        <w:t>ze sprzedaży biletów, w tym biletów jednorazowych, okresowych, wg ofert specjalnych, za przewóz rzeczy, psa i roweru,</w:t>
      </w:r>
    </w:p>
    <w:p w14:paraId="09B20A6F" w14:textId="77777777" w:rsidR="00940F13" w:rsidRPr="00940F13" w:rsidRDefault="00940F13" w:rsidP="00940F13">
      <w:pPr>
        <w:pStyle w:val="Akapitzlist"/>
        <w:spacing w:line="240" w:lineRule="auto"/>
        <w:ind w:left="765" w:right="0" w:firstLine="0"/>
        <w:rPr>
          <w:rFonts w:ascii="Times New Roman" w:hAnsi="Times New Roman" w:cs="Times New Roman"/>
          <w:bCs/>
          <w:sz w:val="22"/>
        </w:rPr>
      </w:pPr>
      <w:r w:rsidRPr="00940F13">
        <w:rPr>
          <w:rFonts w:ascii="Times New Roman" w:hAnsi="Times New Roman" w:cs="Times New Roman"/>
          <w:bCs/>
          <w:sz w:val="22"/>
        </w:rPr>
        <w:t>•</w:t>
      </w:r>
      <w:r w:rsidRPr="00940F13">
        <w:rPr>
          <w:rFonts w:ascii="Times New Roman" w:hAnsi="Times New Roman" w:cs="Times New Roman"/>
          <w:bCs/>
          <w:sz w:val="22"/>
        </w:rPr>
        <w:tab/>
        <w:t xml:space="preserve">z tytułu dotacji do ulg ustawowych, </w:t>
      </w:r>
    </w:p>
    <w:p w14:paraId="0E46EB5D" w14:textId="77777777" w:rsidR="00940F13" w:rsidRPr="00940F13" w:rsidRDefault="00940F13" w:rsidP="00940F13">
      <w:pPr>
        <w:pStyle w:val="Akapitzlist"/>
        <w:spacing w:line="240" w:lineRule="auto"/>
        <w:ind w:left="765" w:right="0" w:firstLine="0"/>
        <w:rPr>
          <w:rFonts w:ascii="Times New Roman" w:hAnsi="Times New Roman" w:cs="Times New Roman"/>
          <w:bCs/>
          <w:sz w:val="22"/>
        </w:rPr>
      </w:pPr>
      <w:r w:rsidRPr="00940F13">
        <w:rPr>
          <w:rFonts w:ascii="Times New Roman" w:hAnsi="Times New Roman" w:cs="Times New Roman"/>
          <w:bCs/>
          <w:sz w:val="22"/>
        </w:rPr>
        <w:t>•</w:t>
      </w:r>
      <w:r w:rsidRPr="00940F13">
        <w:rPr>
          <w:rFonts w:ascii="Times New Roman" w:hAnsi="Times New Roman" w:cs="Times New Roman"/>
          <w:bCs/>
          <w:sz w:val="22"/>
        </w:rPr>
        <w:tab/>
        <w:t xml:space="preserve">ze sprzedaży uprawnień przejazdowych podmiotom zewnętrznym, </w:t>
      </w:r>
    </w:p>
    <w:p w14:paraId="51C01A9D" w14:textId="77777777" w:rsidR="00940F13" w:rsidRPr="00940F13" w:rsidRDefault="00940F13" w:rsidP="00940F13">
      <w:pPr>
        <w:pStyle w:val="Akapitzlist"/>
        <w:spacing w:line="240" w:lineRule="auto"/>
        <w:ind w:left="765" w:right="0" w:firstLine="0"/>
        <w:rPr>
          <w:rFonts w:ascii="Times New Roman" w:hAnsi="Times New Roman" w:cs="Times New Roman"/>
          <w:bCs/>
          <w:sz w:val="22"/>
        </w:rPr>
      </w:pPr>
      <w:r w:rsidRPr="00940F13">
        <w:rPr>
          <w:rFonts w:ascii="Times New Roman" w:hAnsi="Times New Roman" w:cs="Times New Roman"/>
          <w:bCs/>
          <w:sz w:val="22"/>
        </w:rPr>
        <w:t>•</w:t>
      </w:r>
      <w:r w:rsidRPr="00940F13">
        <w:rPr>
          <w:rFonts w:ascii="Times New Roman" w:hAnsi="Times New Roman" w:cs="Times New Roman"/>
          <w:bCs/>
          <w:sz w:val="22"/>
        </w:rPr>
        <w:tab/>
        <w:t xml:space="preserve">z opłat zryczałtowanych, w tym opłat za przejazdy bezbiletowe i innych opłat dodatkowych pobieranych przez konduktorów w pociągach, </w:t>
      </w:r>
    </w:p>
    <w:p w14:paraId="288FDA66" w14:textId="2526ED9A" w:rsidR="00373D69" w:rsidRDefault="00940F13" w:rsidP="00940F13">
      <w:pPr>
        <w:pStyle w:val="Akapitzlist"/>
        <w:spacing w:line="240" w:lineRule="auto"/>
        <w:ind w:left="765" w:right="0" w:firstLine="0"/>
        <w:rPr>
          <w:rFonts w:ascii="Times New Roman" w:hAnsi="Times New Roman" w:cs="Times New Roman"/>
          <w:bCs/>
          <w:sz w:val="22"/>
        </w:rPr>
      </w:pPr>
      <w:r w:rsidRPr="00940F13">
        <w:rPr>
          <w:rFonts w:ascii="Times New Roman" w:hAnsi="Times New Roman" w:cs="Times New Roman"/>
          <w:bCs/>
          <w:sz w:val="22"/>
        </w:rPr>
        <w:t>•</w:t>
      </w:r>
      <w:r w:rsidRPr="00940F13">
        <w:rPr>
          <w:rFonts w:ascii="Times New Roman" w:hAnsi="Times New Roman" w:cs="Times New Roman"/>
          <w:bCs/>
          <w:sz w:val="22"/>
        </w:rPr>
        <w:tab/>
        <w:t>z tytułu honorowania biletów wystawionych przez innych przewoźników.</w:t>
      </w:r>
    </w:p>
    <w:p w14:paraId="452F218E" w14:textId="7B766879" w:rsidR="00373D69" w:rsidRPr="00373D69" w:rsidRDefault="00373D69" w:rsidP="00797A5A">
      <w:pPr>
        <w:pStyle w:val="Akapitzlist"/>
        <w:numPr>
          <w:ilvl w:val="0"/>
          <w:numId w:val="19"/>
        </w:numPr>
        <w:spacing w:line="240" w:lineRule="auto"/>
        <w:ind w:right="0"/>
        <w:rPr>
          <w:rFonts w:ascii="Times New Roman" w:hAnsi="Times New Roman" w:cs="Times New Roman"/>
          <w:sz w:val="22"/>
        </w:rPr>
      </w:pPr>
      <w:r w:rsidRPr="00373D69">
        <w:rPr>
          <w:rFonts w:ascii="Times New Roman" w:hAnsi="Times New Roman" w:cs="Times New Roman"/>
          <w:sz w:val="22"/>
        </w:rPr>
        <w:t>Przychody pozataryfowe</w:t>
      </w:r>
      <w:r w:rsidR="004A4ABF">
        <w:rPr>
          <w:rFonts w:ascii="Times New Roman" w:hAnsi="Times New Roman" w:cs="Times New Roman"/>
          <w:sz w:val="22"/>
        </w:rPr>
        <w:t>:</w:t>
      </w:r>
    </w:p>
    <w:p w14:paraId="220EC928" w14:textId="77777777" w:rsidR="00373D69" w:rsidRPr="007C4D26" w:rsidRDefault="00373D69" w:rsidP="00797A5A">
      <w:pPr>
        <w:spacing w:after="19" w:line="240" w:lineRule="auto"/>
        <w:ind w:left="765" w:right="0" w:firstLine="0"/>
        <w:rPr>
          <w:rFonts w:ascii="Times New Roman" w:hAnsi="Times New Roman" w:cs="Times New Roman"/>
          <w:sz w:val="22"/>
        </w:rPr>
      </w:pPr>
      <w:r w:rsidRPr="007C4D26">
        <w:rPr>
          <w:rFonts w:ascii="Times New Roman" w:hAnsi="Times New Roman" w:cs="Times New Roman"/>
          <w:sz w:val="22"/>
        </w:rPr>
        <w:t xml:space="preserve">Obejmuje przychody Operatora związane z wykonywaniem Przewozów, niebędące przychodami taryfowymi, a w szczególności: </w:t>
      </w:r>
    </w:p>
    <w:p w14:paraId="2C47C518" w14:textId="77777777" w:rsidR="00373D69" w:rsidRPr="007C4D26" w:rsidRDefault="00373D69" w:rsidP="00797A5A">
      <w:pPr>
        <w:numPr>
          <w:ilvl w:val="0"/>
          <w:numId w:val="20"/>
        </w:numPr>
        <w:spacing w:after="13" w:line="240" w:lineRule="auto"/>
        <w:ind w:right="0"/>
        <w:rPr>
          <w:rFonts w:ascii="Times New Roman" w:hAnsi="Times New Roman" w:cs="Times New Roman"/>
          <w:sz w:val="22"/>
        </w:rPr>
      </w:pPr>
      <w:r w:rsidRPr="007C4D26">
        <w:rPr>
          <w:rFonts w:ascii="Times New Roman" w:hAnsi="Times New Roman" w:cs="Times New Roman"/>
          <w:sz w:val="22"/>
        </w:rPr>
        <w:t>przychody ze sprzedaży osiągane z tytułu zamieszczania reklam w na ulotkach, biletach, rozkładach jazdy,</w:t>
      </w:r>
    </w:p>
    <w:p w14:paraId="58610115" w14:textId="33B5763A" w:rsidR="00373D69" w:rsidRDefault="00373D69" w:rsidP="00797A5A">
      <w:pPr>
        <w:numPr>
          <w:ilvl w:val="0"/>
          <w:numId w:val="20"/>
        </w:numPr>
        <w:spacing w:after="13" w:line="240" w:lineRule="auto"/>
        <w:ind w:right="0"/>
        <w:rPr>
          <w:rFonts w:ascii="Times New Roman" w:hAnsi="Times New Roman" w:cs="Times New Roman"/>
          <w:sz w:val="22"/>
        </w:rPr>
      </w:pPr>
      <w:r w:rsidRPr="007C4D26">
        <w:rPr>
          <w:rFonts w:ascii="Times New Roman" w:hAnsi="Times New Roman" w:cs="Times New Roman"/>
          <w:sz w:val="22"/>
        </w:rPr>
        <w:t xml:space="preserve">przychody ze sprzedaży zbędnych/wyeksploatowanych składników majątku związanego </w:t>
      </w:r>
      <w:r w:rsidR="004A4ABF">
        <w:rPr>
          <w:rFonts w:ascii="Times New Roman" w:hAnsi="Times New Roman" w:cs="Times New Roman"/>
          <w:sz w:val="22"/>
        </w:rPr>
        <w:t xml:space="preserve">                 </w:t>
      </w:r>
      <w:r w:rsidRPr="007C4D26">
        <w:rPr>
          <w:rFonts w:ascii="Times New Roman" w:hAnsi="Times New Roman" w:cs="Times New Roman"/>
          <w:sz w:val="22"/>
        </w:rPr>
        <w:t>z realizacją Przewozów,</w:t>
      </w:r>
    </w:p>
    <w:p w14:paraId="53855FD8" w14:textId="67F19108" w:rsidR="00C90E6A" w:rsidRPr="007C4D26" w:rsidRDefault="00C90E6A" w:rsidP="00797A5A">
      <w:pPr>
        <w:numPr>
          <w:ilvl w:val="0"/>
          <w:numId w:val="20"/>
        </w:numPr>
        <w:spacing w:after="13" w:line="240" w:lineRule="auto"/>
        <w:ind w:right="0"/>
        <w:rPr>
          <w:rFonts w:ascii="Times New Roman" w:hAnsi="Times New Roman" w:cs="Times New Roman"/>
          <w:sz w:val="22"/>
        </w:rPr>
      </w:pPr>
      <w:r>
        <w:rPr>
          <w:rFonts w:ascii="Times New Roman" w:hAnsi="Times New Roman" w:cs="Times New Roman"/>
          <w:sz w:val="22"/>
        </w:rPr>
        <w:t>inne.</w:t>
      </w:r>
    </w:p>
    <w:p w14:paraId="230C3DE1" w14:textId="46F0B76A" w:rsidR="00373D69" w:rsidRDefault="004A4ABF" w:rsidP="00797A5A">
      <w:pPr>
        <w:pStyle w:val="Akapitzlist"/>
        <w:spacing w:line="240" w:lineRule="auto"/>
        <w:ind w:left="765" w:right="0" w:firstLine="0"/>
        <w:rPr>
          <w:rFonts w:ascii="Times New Roman" w:hAnsi="Times New Roman" w:cs="Times New Roman"/>
          <w:sz w:val="22"/>
        </w:rPr>
      </w:pPr>
      <w:r>
        <w:rPr>
          <w:rFonts w:ascii="Times New Roman" w:hAnsi="Times New Roman" w:cs="Times New Roman"/>
          <w:sz w:val="22"/>
        </w:rPr>
        <w:t>P</w:t>
      </w:r>
      <w:r w:rsidR="00373D69" w:rsidRPr="007C4D26">
        <w:rPr>
          <w:rFonts w:ascii="Times New Roman" w:hAnsi="Times New Roman" w:cs="Times New Roman"/>
          <w:sz w:val="22"/>
        </w:rPr>
        <w:t xml:space="preserve">rzychody </w:t>
      </w:r>
      <w:r>
        <w:rPr>
          <w:rFonts w:ascii="Times New Roman" w:hAnsi="Times New Roman" w:cs="Times New Roman"/>
          <w:sz w:val="22"/>
        </w:rPr>
        <w:t xml:space="preserve">pozataryfowe </w:t>
      </w:r>
      <w:r w:rsidR="00373D69" w:rsidRPr="007C4D26">
        <w:rPr>
          <w:rFonts w:ascii="Times New Roman" w:hAnsi="Times New Roman" w:cs="Times New Roman"/>
          <w:sz w:val="22"/>
        </w:rPr>
        <w:t>nie zostały skalkulowane w Przychodzie Gwarantowanym.</w:t>
      </w:r>
    </w:p>
    <w:p w14:paraId="1B1F3EDC" w14:textId="77777777" w:rsidR="00A54FFC" w:rsidRPr="007C4D26" w:rsidRDefault="00A54FFC" w:rsidP="00797A5A">
      <w:pPr>
        <w:spacing w:after="276" w:line="240" w:lineRule="auto"/>
        <w:ind w:left="0" w:right="0" w:firstLine="0"/>
        <w:rPr>
          <w:rFonts w:ascii="Times New Roman" w:hAnsi="Times New Roman" w:cs="Times New Roman"/>
          <w:b/>
          <w:sz w:val="22"/>
        </w:rPr>
      </w:pPr>
      <w:r w:rsidRPr="007C4D26">
        <w:rPr>
          <w:rFonts w:ascii="Times New Roman" w:hAnsi="Times New Roman" w:cs="Times New Roman"/>
          <w:b/>
          <w:sz w:val="22"/>
        </w:rPr>
        <w:lastRenderedPageBreak/>
        <w:t>3</w:t>
      </w:r>
      <w:r w:rsidR="00E57132" w:rsidRPr="007C4D26">
        <w:rPr>
          <w:rFonts w:ascii="Times New Roman" w:hAnsi="Times New Roman" w:cs="Times New Roman"/>
          <w:b/>
          <w:sz w:val="22"/>
        </w:rPr>
        <w:t>. Koszty</w:t>
      </w:r>
    </w:p>
    <w:p w14:paraId="18BB433C" w14:textId="77777777" w:rsidR="00A54FFC" w:rsidRPr="007C4D26" w:rsidRDefault="00A54FFC" w:rsidP="00797A5A">
      <w:pPr>
        <w:spacing w:line="240" w:lineRule="auto"/>
        <w:ind w:left="0" w:right="0" w:firstLine="0"/>
        <w:rPr>
          <w:rFonts w:ascii="Times New Roman" w:hAnsi="Times New Roman" w:cs="Times New Roman"/>
          <w:sz w:val="22"/>
        </w:rPr>
      </w:pPr>
      <w:r w:rsidRPr="007C4D26">
        <w:rPr>
          <w:rFonts w:ascii="Times New Roman" w:hAnsi="Times New Roman" w:cs="Times New Roman"/>
          <w:sz w:val="22"/>
        </w:rPr>
        <w:t>Operator winien uwzględnić następujące koszty związane z realizacją usług objętych Umową o świadczenie usług publicznych:</w:t>
      </w:r>
    </w:p>
    <w:p w14:paraId="630F08F2"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dostępu do Infrastruktury związane z przejazdem, postojem i zatrzymaniem pociągu,</w:t>
      </w:r>
    </w:p>
    <w:p w14:paraId="52D715F0"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energii trakcyjnej, jeśli wystąpią,</w:t>
      </w:r>
    </w:p>
    <w:p w14:paraId="207172DA"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zużycia paliwa,</w:t>
      </w:r>
    </w:p>
    <w:p w14:paraId="3B4FE6CB"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obsługi trakcyjnej,</w:t>
      </w:r>
    </w:p>
    <w:p w14:paraId="0355CC2C"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obsługi konduktorskiej,</w:t>
      </w:r>
    </w:p>
    <w:p w14:paraId="0D865FF8"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dostępu do stacji pasażerskich,</w:t>
      </w:r>
    </w:p>
    <w:p w14:paraId="771C7878"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utrzymania infrastruktury technicznej,</w:t>
      </w:r>
    </w:p>
    <w:p w14:paraId="1A468975"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 xml:space="preserve">Koszty utrzymania, napraw i eksploatacji Taboru, </w:t>
      </w:r>
    </w:p>
    <w:p w14:paraId="1F141CB5"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dzierżawy Taboru,</w:t>
      </w:r>
    </w:p>
    <w:p w14:paraId="619DFF01" w14:textId="734DD306" w:rsidR="00AE49D8" w:rsidRPr="007C4D26" w:rsidRDefault="0057789F"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działalności handlowej</w:t>
      </w:r>
      <w:r w:rsidR="00AE49D8" w:rsidRPr="007C4D26">
        <w:rPr>
          <w:rFonts w:ascii="Times New Roman" w:hAnsi="Times New Roman" w:cs="Times New Roman"/>
          <w:sz w:val="22"/>
        </w:rPr>
        <w:t>, w tym:</w:t>
      </w:r>
    </w:p>
    <w:p w14:paraId="054CAC7F" w14:textId="39C60710" w:rsidR="00AE49D8" w:rsidRPr="007C4D26" w:rsidRDefault="00AE49D8" w:rsidP="00797A5A">
      <w:pPr>
        <w:numPr>
          <w:ilvl w:val="3"/>
          <w:numId w:val="8"/>
        </w:numPr>
        <w:spacing w:line="240" w:lineRule="auto"/>
        <w:ind w:right="0"/>
        <w:rPr>
          <w:rFonts w:ascii="Times New Roman" w:hAnsi="Times New Roman" w:cs="Times New Roman"/>
          <w:sz w:val="22"/>
        </w:rPr>
      </w:pPr>
      <w:r w:rsidRPr="007C4D26">
        <w:rPr>
          <w:rFonts w:ascii="Times New Roman" w:hAnsi="Times New Roman" w:cs="Times New Roman"/>
          <w:sz w:val="22"/>
        </w:rPr>
        <w:t>Koszty sprzedaży własnej, w tym takie koszty osobowe, koszty najmu i utrzymania pomieszczeń, konwoju gotówki, eksploatacji i utrzymania systemów sprzedaży;</w:t>
      </w:r>
    </w:p>
    <w:p w14:paraId="69824386" w14:textId="77777777" w:rsidR="00AE49D8" w:rsidRPr="007C4D26" w:rsidRDefault="00AE49D8" w:rsidP="00797A5A">
      <w:pPr>
        <w:numPr>
          <w:ilvl w:val="3"/>
          <w:numId w:val="8"/>
        </w:numPr>
        <w:spacing w:line="240" w:lineRule="auto"/>
        <w:ind w:right="0"/>
        <w:rPr>
          <w:rFonts w:ascii="Times New Roman" w:hAnsi="Times New Roman" w:cs="Times New Roman"/>
          <w:sz w:val="22"/>
        </w:rPr>
      </w:pPr>
      <w:r w:rsidRPr="007C4D26">
        <w:rPr>
          <w:rFonts w:ascii="Times New Roman" w:hAnsi="Times New Roman" w:cs="Times New Roman"/>
          <w:sz w:val="22"/>
        </w:rPr>
        <w:t>Koszty prowizji za sprzedaż biletów dla agentów i inne koszty związane ze sprzedażą agencyjną;</w:t>
      </w:r>
    </w:p>
    <w:p w14:paraId="45655F25" w14:textId="77777777" w:rsidR="00AE49D8" w:rsidRPr="007C4D26" w:rsidRDefault="00AE49D8" w:rsidP="00797A5A">
      <w:pPr>
        <w:numPr>
          <w:ilvl w:val="3"/>
          <w:numId w:val="8"/>
        </w:numPr>
        <w:spacing w:line="240" w:lineRule="auto"/>
        <w:ind w:right="0"/>
        <w:rPr>
          <w:rFonts w:ascii="Times New Roman" w:hAnsi="Times New Roman" w:cs="Times New Roman"/>
          <w:sz w:val="22"/>
        </w:rPr>
      </w:pPr>
      <w:r w:rsidRPr="007C4D26">
        <w:rPr>
          <w:rFonts w:ascii="Times New Roman" w:hAnsi="Times New Roman" w:cs="Times New Roman"/>
          <w:sz w:val="22"/>
        </w:rPr>
        <w:t>Koszty obsługi pasażera, w tym koszt informacji podróżnych (bezpośrednia w punktach informacyjnych, telefoniczna, wizualna, megafonowa, internetowa);</w:t>
      </w:r>
    </w:p>
    <w:p w14:paraId="5FF7C9E8" w14:textId="1AD8ABE3" w:rsidR="00AE49D8" w:rsidRPr="007C4D26" w:rsidRDefault="00AE49D8" w:rsidP="00797A5A">
      <w:pPr>
        <w:numPr>
          <w:ilvl w:val="3"/>
          <w:numId w:val="8"/>
        </w:numPr>
        <w:spacing w:line="240" w:lineRule="auto"/>
        <w:ind w:right="0"/>
        <w:rPr>
          <w:rFonts w:ascii="Times New Roman" w:hAnsi="Times New Roman" w:cs="Times New Roman"/>
          <w:sz w:val="22"/>
        </w:rPr>
      </w:pPr>
      <w:r w:rsidRPr="007C4D26">
        <w:rPr>
          <w:rFonts w:ascii="Times New Roman" w:hAnsi="Times New Roman" w:cs="Times New Roman"/>
          <w:sz w:val="22"/>
        </w:rPr>
        <w:t>inne koszty handlowe,</w:t>
      </w:r>
    </w:p>
    <w:p w14:paraId="4009A48B"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ogólnego zarządu,</w:t>
      </w:r>
    </w:p>
    <w:p w14:paraId="4CFA4B7A"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finansowe, dotyczące wykonywania Usług, w tym w szczególności:</w:t>
      </w:r>
    </w:p>
    <w:p w14:paraId="392E5F23" w14:textId="77777777" w:rsidR="00AE49D8" w:rsidRPr="007C4D26" w:rsidRDefault="00AE49D8" w:rsidP="00797A5A">
      <w:pPr>
        <w:numPr>
          <w:ilvl w:val="0"/>
          <w:numId w:val="14"/>
        </w:numPr>
        <w:spacing w:line="240" w:lineRule="auto"/>
        <w:ind w:right="0"/>
        <w:rPr>
          <w:rFonts w:ascii="Times New Roman" w:hAnsi="Times New Roman" w:cs="Times New Roman"/>
          <w:sz w:val="22"/>
        </w:rPr>
      </w:pPr>
      <w:r w:rsidRPr="007C4D26">
        <w:rPr>
          <w:rFonts w:ascii="Times New Roman" w:hAnsi="Times New Roman" w:cs="Times New Roman"/>
          <w:sz w:val="22"/>
        </w:rPr>
        <w:t>Koszty odsetek oraz prowizji związanych z pozyskaniem i obsługą finansowania zewnętrznego na potrzeby zakupów inwestycyjnych do realizacji Przewozów;</w:t>
      </w:r>
    </w:p>
    <w:p w14:paraId="4304970F" w14:textId="77777777" w:rsidR="00AE49D8" w:rsidRPr="007C4D26" w:rsidRDefault="00AE49D8" w:rsidP="00797A5A">
      <w:pPr>
        <w:numPr>
          <w:ilvl w:val="0"/>
          <w:numId w:val="14"/>
        </w:numPr>
        <w:spacing w:line="240" w:lineRule="auto"/>
        <w:ind w:right="0"/>
        <w:rPr>
          <w:rFonts w:ascii="Times New Roman" w:hAnsi="Times New Roman" w:cs="Times New Roman"/>
          <w:sz w:val="22"/>
        </w:rPr>
      </w:pPr>
      <w:r w:rsidRPr="007C4D26">
        <w:rPr>
          <w:rFonts w:ascii="Times New Roman" w:hAnsi="Times New Roman" w:cs="Times New Roman"/>
          <w:sz w:val="22"/>
        </w:rPr>
        <w:t>Koszty odsetek oraz prowizji związanych z pozyskaniem i obsługą finansowania zewnętrznego na potrzeby zakupów inwestycyjnych powiązanych pośrednio z realizacją Przewozów;</w:t>
      </w:r>
    </w:p>
    <w:p w14:paraId="2223F005" w14:textId="77777777" w:rsidR="00AE49D8" w:rsidRPr="007C4D26" w:rsidRDefault="00AE49D8" w:rsidP="00797A5A">
      <w:pPr>
        <w:numPr>
          <w:ilvl w:val="0"/>
          <w:numId w:val="14"/>
        </w:numPr>
        <w:spacing w:line="240" w:lineRule="auto"/>
        <w:ind w:right="0"/>
        <w:rPr>
          <w:rFonts w:ascii="Times New Roman" w:hAnsi="Times New Roman" w:cs="Times New Roman"/>
          <w:sz w:val="22"/>
        </w:rPr>
      </w:pPr>
      <w:r w:rsidRPr="007C4D26">
        <w:rPr>
          <w:rFonts w:ascii="Times New Roman" w:hAnsi="Times New Roman" w:cs="Times New Roman"/>
          <w:sz w:val="22"/>
        </w:rPr>
        <w:t>Koszty odsetek oraz prowizji związanych z pozyskaniem i obsługą zewnętrznych środków na potrzeby finansowana obrotowego;</w:t>
      </w:r>
    </w:p>
    <w:p w14:paraId="57BBB3ED" w14:textId="77777777" w:rsidR="00AE49D8" w:rsidRPr="007C4D26" w:rsidRDefault="00AE49D8" w:rsidP="00797A5A">
      <w:pPr>
        <w:numPr>
          <w:ilvl w:val="0"/>
          <w:numId w:val="14"/>
        </w:numPr>
        <w:spacing w:line="240" w:lineRule="auto"/>
        <w:ind w:right="0"/>
        <w:rPr>
          <w:rFonts w:ascii="Times New Roman" w:hAnsi="Times New Roman" w:cs="Times New Roman"/>
          <w:sz w:val="22"/>
        </w:rPr>
      </w:pPr>
      <w:r w:rsidRPr="007C4D26">
        <w:rPr>
          <w:rFonts w:ascii="Times New Roman" w:hAnsi="Times New Roman" w:cs="Times New Roman"/>
          <w:sz w:val="22"/>
        </w:rPr>
        <w:t>inne koszty finansowe związane z wykonywaniem Usług;</w:t>
      </w:r>
    </w:p>
    <w:p w14:paraId="56F26935" w14:textId="77777777" w:rsidR="00AE49D8"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Koszty komunikacji zastępczej,</w:t>
      </w:r>
    </w:p>
    <w:p w14:paraId="2CBAF57D" w14:textId="77777777" w:rsidR="00461C99" w:rsidRPr="007C4D26" w:rsidRDefault="00AE49D8" w:rsidP="00797A5A">
      <w:pPr>
        <w:numPr>
          <w:ilvl w:val="0"/>
          <w:numId w:val="13"/>
        </w:numPr>
        <w:spacing w:line="240" w:lineRule="auto"/>
        <w:ind w:right="0"/>
        <w:rPr>
          <w:rFonts w:ascii="Times New Roman" w:hAnsi="Times New Roman" w:cs="Times New Roman"/>
          <w:sz w:val="22"/>
        </w:rPr>
      </w:pPr>
      <w:r w:rsidRPr="007C4D26">
        <w:rPr>
          <w:rFonts w:ascii="Times New Roman" w:hAnsi="Times New Roman" w:cs="Times New Roman"/>
          <w:sz w:val="22"/>
        </w:rPr>
        <w:t>Inne Koszty, których poniesienie jest konieczne do wykonywania Usług, w tym m.in. pozostałe koszty operacyjne związane z wykonywaniem Usług.</w:t>
      </w:r>
    </w:p>
    <w:p w14:paraId="1B689115" w14:textId="77777777" w:rsidR="00FE7FD0" w:rsidRPr="007C4D26" w:rsidRDefault="006E66F0" w:rsidP="00797A5A">
      <w:pPr>
        <w:spacing w:after="276" w:line="240" w:lineRule="auto"/>
        <w:ind w:left="0" w:right="0" w:firstLine="0"/>
        <w:rPr>
          <w:rFonts w:ascii="Times New Roman" w:hAnsi="Times New Roman" w:cs="Times New Roman"/>
          <w:b/>
          <w:sz w:val="22"/>
        </w:rPr>
      </w:pPr>
      <w:r w:rsidRPr="007C4D26">
        <w:rPr>
          <w:rFonts w:ascii="Times New Roman" w:hAnsi="Times New Roman" w:cs="Times New Roman"/>
          <w:b/>
          <w:sz w:val="22"/>
        </w:rPr>
        <w:t>4.</w:t>
      </w:r>
      <w:r w:rsidR="00FE7FD0" w:rsidRPr="007C4D26">
        <w:rPr>
          <w:rFonts w:ascii="Times New Roman" w:hAnsi="Times New Roman" w:cs="Times New Roman"/>
          <w:b/>
          <w:sz w:val="22"/>
        </w:rPr>
        <w:t xml:space="preserve"> Rozsądny zysk</w:t>
      </w:r>
      <w:r w:rsidR="00461C99" w:rsidRPr="007C4D26">
        <w:rPr>
          <w:rFonts w:ascii="Times New Roman" w:hAnsi="Times New Roman" w:cs="Times New Roman"/>
          <w:b/>
          <w:sz w:val="22"/>
        </w:rPr>
        <w:t xml:space="preserve"> </w:t>
      </w:r>
    </w:p>
    <w:p w14:paraId="15928FD9" w14:textId="3C12126D" w:rsidR="00FE7FD0" w:rsidRPr="007C4D26" w:rsidRDefault="00FE7FD0" w:rsidP="00797A5A">
      <w:pPr>
        <w:spacing w:after="276" w:line="240" w:lineRule="auto"/>
        <w:ind w:left="0" w:right="0" w:firstLine="0"/>
        <w:rPr>
          <w:rFonts w:ascii="Times New Roman" w:hAnsi="Times New Roman" w:cs="Times New Roman"/>
          <w:sz w:val="22"/>
        </w:rPr>
      </w:pPr>
      <w:r w:rsidRPr="007C4D26">
        <w:rPr>
          <w:rFonts w:ascii="Times New Roman" w:hAnsi="Times New Roman" w:cs="Times New Roman"/>
          <w:sz w:val="22"/>
        </w:rPr>
        <w:t xml:space="preserve">Operator </w:t>
      </w:r>
      <w:r w:rsidR="00740244" w:rsidRPr="007C4D26">
        <w:rPr>
          <w:rFonts w:ascii="Times New Roman" w:hAnsi="Times New Roman" w:cs="Times New Roman"/>
          <w:sz w:val="22"/>
        </w:rPr>
        <w:t>może naliczy</w:t>
      </w:r>
      <w:r w:rsidR="000663A0" w:rsidRPr="007C4D26">
        <w:rPr>
          <w:rFonts w:ascii="Times New Roman" w:hAnsi="Times New Roman" w:cs="Times New Roman"/>
          <w:sz w:val="22"/>
        </w:rPr>
        <w:t>ć</w:t>
      </w:r>
      <w:r w:rsidR="00740244" w:rsidRPr="007C4D26">
        <w:rPr>
          <w:rFonts w:ascii="Times New Roman" w:hAnsi="Times New Roman" w:cs="Times New Roman"/>
          <w:sz w:val="22"/>
        </w:rPr>
        <w:t xml:space="preserve"> rozsądny zysk zgodnie z obowiązującymi przepisami i wykazuje go  </w:t>
      </w:r>
      <w:r w:rsidR="00461C99" w:rsidRPr="007C4D26">
        <w:rPr>
          <w:rFonts w:ascii="Times New Roman" w:hAnsi="Times New Roman" w:cs="Times New Roman"/>
          <w:sz w:val="22"/>
        </w:rPr>
        <w:t xml:space="preserve">w formularzu ofertowym, jako wysokość rozsądnego zysku na </w:t>
      </w:r>
      <w:r w:rsidR="007B68B1" w:rsidRPr="007C4D26">
        <w:rPr>
          <w:rFonts w:ascii="Times New Roman" w:hAnsi="Times New Roman" w:cs="Times New Roman"/>
          <w:sz w:val="22"/>
        </w:rPr>
        <w:t>P</w:t>
      </w:r>
      <w:r w:rsidR="00461C99" w:rsidRPr="007C4D26">
        <w:rPr>
          <w:rFonts w:ascii="Times New Roman" w:hAnsi="Times New Roman" w:cs="Times New Roman"/>
          <w:sz w:val="22"/>
        </w:rPr>
        <w:t>ociągokilometr oraz w załączniku nr 6 Rocznym Planie Finansowym.</w:t>
      </w:r>
    </w:p>
    <w:p w14:paraId="32A53AAB" w14:textId="77777777" w:rsidR="0016630B" w:rsidRPr="007C4D26" w:rsidRDefault="00FE7FD0" w:rsidP="00797A5A">
      <w:pPr>
        <w:spacing w:after="276" w:line="240" w:lineRule="auto"/>
        <w:ind w:left="0" w:right="0" w:firstLine="0"/>
        <w:rPr>
          <w:rFonts w:ascii="Times New Roman" w:hAnsi="Times New Roman" w:cs="Times New Roman"/>
          <w:b/>
          <w:sz w:val="22"/>
        </w:rPr>
      </w:pPr>
      <w:r w:rsidRPr="007C4D26">
        <w:rPr>
          <w:rFonts w:ascii="Times New Roman" w:hAnsi="Times New Roman" w:cs="Times New Roman"/>
          <w:b/>
          <w:sz w:val="22"/>
        </w:rPr>
        <w:lastRenderedPageBreak/>
        <w:t xml:space="preserve">5. </w:t>
      </w:r>
      <w:r w:rsidR="003F5988" w:rsidRPr="007C4D26">
        <w:rPr>
          <w:rFonts w:ascii="Times New Roman" w:hAnsi="Times New Roman" w:cs="Times New Roman"/>
          <w:b/>
          <w:sz w:val="22"/>
        </w:rPr>
        <w:t xml:space="preserve">Przychód Gwarantowany i </w:t>
      </w:r>
      <w:r w:rsidR="0016630B" w:rsidRPr="007C4D26">
        <w:rPr>
          <w:rFonts w:ascii="Times New Roman" w:hAnsi="Times New Roman" w:cs="Times New Roman"/>
          <w:b/>
          <w:sz w:val="22"/>
        </w:rPr>
        <w:t>Udziały w nadwyżce przychodów</w:t>
      </w:r>
      <w:r w:rsidR="003F5988" w:rsidRPr="007C4D26">
        <w:rPr>
          <w:rFonts w:ascii="Times New Roman" w:hAnsi="Times New Roman" w:cs="Times New Roman"/>
          <w:b/>
          <w:sz w:val="22"/>
        </w:rPr>
        <w:t xml:space="preserve"> ponad Przychód Gwarantowany</w:t>
      </w:r>
    </w:p>
    <w:p w14:paraId="07C88CDD" w14:textId="1C59BC10"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Przychód Gwarantowany [P</w:t>
      </w:r>
      <w:r w:rsidRPr="007C4D26">
        <w:rPr>
          <w:rFonts w:ascii="Times New Roman" w:hAnsi="Times New Roman"/>
          <w:szCs w:val="22"/>
          <w:vertAlign w:val="subscript"/>
        </w:rPr>
        <w:t>g</w:t>
      </w:r>
      <w:r w:rsidRPr="007C4D26">
        <w:rPr>
          <w:rFonts w:ascii="Times New Roman" w:hAnsi="Times New Roman"/>
          <w:szCs w:val="22"/>
        </w:rPr>
        <w:t>] – zakładany przez Organizatora minimalny przychód z tytułu świadczenia usług w ramach umowy stanowiący iloczyn Rzeczywistej pracy eksploatacyjnej i Stawki przychodu Gwarantowanego</w:t>
      </w:r>
      <w:r w:rsidR="004A5888" w:rsidRPr="007C4D26">
        <w:rPr>
          <w:rFonts w:ascii="Times New Roman" w:hAnsi="Times New Roman"/>
          <w:szCs w:val="22"/>
        </w:rPr>
        <w:t xml:space="preserve"> (przychód na </w:t>
      </w:r>
      <w:r w:rsidR="007B68B1" w:rsidRPr="007C4D26">
        <w:rPr>
          <w:rFonts w:ascii="Times New Roman" w:hAnsi="Times New Roman"/>
          <w:szCs w:val="22"/>
        </w:rPr>
        <w:t>P</w:t>
      </w:r>
      <w:r w:rsidR="004A5888" w:rsidRPr="007C4D26">
        <w:rPr>
          <w:rFonts w:ascii="Times New Roman" w:hAnsi="Times New Roman"/>
          <w:szCs w:val="22"/>
        </w:rPr>
        <w:t>ociągokilometr)</w:t>
      </w:r>
      <w:r w:rsidRPr="007C4D26">
        <w:rPr>
          <w:rFonts w:ascii="Times New Roman" w:hAnsi="Times New Roman"/>
          <w:szCs w:val="22"/>
        </w:rPr>
        <w:t>, którą Organizator określił w postępowaniu. Organizator gwarantuje jego osiągnięcie Operatorowi.</w:t>
      </w:r>
    </w:p>
    <w:p w14:paraId="33D0AC7D" w14:textId="136A6621" w:rsidR="003F5988" w:rsidRPr="007C4D26" w:rsidRDefault="003F5988" w:rsidP="00797A5A">
      <w:pPr>
        <w:pStyle w:val="text1x"/>
        <w:spacing w:before="0" w:after="124" w:line="240" w:lineRule="auto"/>
        <w:ind w:left="142"/>
        <w:rPr>
          <w:rFonts w:ascii="Times New Roman" w:hAnsi="Times New Roman"/>
          <w:bCs/>
          <w:szCs w:val="22"/>
          <w:shd w:val="clear" w:color="auto" w:fill="FFFF00"/>
        </w:rPr>
      </w:pPr>
      <w:r w:rsidRPr="007C4D26">
        <w:rPr>
          <w:rFonts w:ascii="Times New Roman" w:hAnsi="Times New Roman"/>
          <w:bCs/>
          <w:szCs w:val="22"/>
        </w:rPr>
        <w:t>Ustala się (zgodnie z Opisem Przedmiotu Zamówienia) Stawkę Przychodu Gwarantowanego na poziomie</w:t>
      </w:r>
      <w:r w:rsidR="00456A91" w:rsidRPr="007C4D26">
        <w:rPr>
          <w:rFonts w:ascii="Times New Roman" w:hAnsi="Times New Roman"/>
          <w:bCs/>
          <w:szCs w:val="22"/>
        </w:rPr>
        <w:t xml:space="preserve">: </w:t>
      </w:r>
      <w:r w:rsidR="007C4D26" w:rsidRPr="002A6C0F">
        <w:rPr>
          <w:rFonts w:ascii="Times New Roman" w:hAnsi="Times New Roman"/>
          <w:bCs/>
          <w:szCs w:val="22"/>
        </w:rPr>
        <w:t>5,</w:t>
      </w:r>
      <w:r w:rsidR="00C21E36">
        <w:rPr>
          <w:rFonts w:ascii="Times New Roman" w:hAnsi="Times New Roman"/>
          <w:bCs/>
          <w:szCs w:val="22"/>
        </w:rPr>
        <w:t>8</w:t>
      </w:r>
      <w:r w:rsidR="007C4D26" w:rsidRPr="002A6C0F">
        <w:rPr>
          <w:rFonts w:ascii="Times New Roman" w:hAnsi="Times New Roman"/>
          <w:bCs/>
          <w:szCs w:val="22"/>
        </w:rPr>
        <w:t>2</w:t>
      </w:r>
      <w:r w:rsidR="00456A91" w:rsidRPr="002A6C0F">
        <w:rPr>
          <w:rFonts w:ascii="Times New Roman" w:hAnsi="Times New Roman"/>
          <w:bCs/>
          <w:szCs w:val="22"/>
        </w:rPr>
        <w:t xml:space="preserve"> zł</w:t>
      </w:r>
      <w:r w:rsidR="00456A91" w:rsidRPr="007C4D26">
        <w:rPr>
          <w:rFonts w:ascii="Times New Roman" w:hAnsi="Times New Roman"/>
          <w:bCs/>
          <w:szCs w:val="22"/>
        </w:rPr>
        <w:t>/</w:t>
      </w:r>
      <w:r w:rsidR="007B68B1" w:rsidRPr="007C4D26">
        <w:rPr>
          <w:rFonts w:ascii="Times New Roman" w:hAnsi="Times New Roman"/>
          <w:bCs/>
          <w:szCs w:val="22"/>
        </w:rPr>
        <w:t>P</w:t>
      </w:r>
      <w:r w:rsidR="00456A91" w:rsidRPr="007C4D26">
        <w:rPr>
          <w:rFonts w:ascii="Times New Roman" w:hAnsi="Times New Roman"/>
          <w:bCs/>
          <w:szCs w:val="22"/>
        </w:rPr>
        <w:t>ociągokilometr.</w:t>
      </w:r>
    </w:p>
    <w:p w14:paraId="677605B5" w14:textId="77777777"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Przychód Gwarantowany nie podlega waloryzacji w kolejnych okresach rozliczeniowych.</w:t>
      </w:r>
    </w:p>
    <w:p w14:paraId="35C5E9D7" w14:textId="77777777"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Przychody wygenerowane w związku z realizacją Przewozów, w tym dodatnie wpływy finansowe wygenerowane na sieci obsługiwanej w ramach realizacji Przewozów, stanowią przychód Operatora.</w:t>
      </w:r>
    </w:p>
    <w:p w14:paraId="04A8A4F7" w14:textId="77777777"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Operator jest zobowiązany dążyć do podnoszenia efektywności ekonomicznej, w szczególności przez optymalizację kosztów oraz podejmowanie działań w celu stałego zwiększania Przychodów związanych z realizacją Przewozów.</w:t>
      </w:r>
    </w:p>
    <w:p w14:paraId="54CD52A0" w14:textId="77777777"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 xml:space="preserve">Operator jest zobowiązany dążyć do osiągnięcia rzeczywistych przychodów na poziomie co najmniej Przychodu Gwarantowanego w odniesieniu do każdego Okresu Rozliczeniowego. </w:t>
      </w:r>
    </w:p>
    <w:p w14:paraId="63E7951F" w14:textId="7A3F16C2" w:rsidR="003F5988" w:rsidRPr="007C4D26" w:rsidRDefault="003F5988"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 xml:space="preserve">Spadek rzeczywistych przychodów poniżej Przychodu Gwarantowanego </w:t>
      </w:r>
      <w:r w:rsidR="0062425B" w:rsidRPr="007C4D26">
        <w:rPr>
          <w:rFonts w:ascii="Times New Roman" w:hAnsi="Times New Roman"/>
          <w:szCs w:val="22"/>
        </w:rPr>
        <w:t xml:space="preserve">w poszczególnych Okresach Rozliczeniowych </w:t>
      </w:r>
      <w:r w:rsidR="00260E4D" w:rsidRPr="007C4D26">
        <w:rPr>
          <w:rFonts w:ascii="Times New Roman" w:hAnsi="Times New Roman"/>
          <w:szCs w:val="22"/>
        </w:rPr>
        <w:t>będzie rekompensowany przez</w:t>
      </w:r>
      <w:r w:rsidRPr="007C4D26">
        <w:rPr>
          <w:rFonts w:ascii="Times New Roman" w:hAnsi="Times New Roman"/>
          <w:szCs w:val="22"/>
        </w:rPr>
        <w:t xml:space="preserve"> Organizator</w:t>
      </w:r>
      <w:r w:rsidR="00260E4D" w:rsidRPr="007C4D26">
        <w:rPr>
          <w:rFonts w:ascii="Times New Roman" w:hAnsi="Times New Roman"/>
          <w:szCs w:val="22"/>
        </w:rPr>
        <w:t>a</w:t>
      </w:r>
      <w:r w:rsidRPr="007C4D26">
        <w:rPr>
          <w:rFonts w:ascii="Times New Roman" w:hAnsi="Times New Roman"/>
          <w:szCs w:val="22"/>
        </w:rPr>
        <w:t xml:space="preserve"> wypłat</w:t>
      </w:r>
      <w:r w:rsidR="00260E4D" w:rsidRPr="007C4D26">
        <w:rPr>
          <w:rFonts w:ascii="Times New Roman" w:hAnsi="Times New Roman"/>
          <w:szCs w:val="22"/>
        </w:rPr>
        <w:t>ą</w:t>
      </w:r>
      <w:r w:rsidRPr="007C4D26">
        <w:rPr>
          <w:rFonts w:ascii="Times New Roman" w:hAnsi="Times New Roman"/>
          <w:szCs w:val="22"/>
        </w:rPr>
        <w:t xml:space="preserve"> wyższej Rekompensaty Finansowej</w:t>
      </w:r>
      <w:r w:rsidR="00260E4D" w:rsidRPr="007C4D26">
        <w:rPr>
          <w:rFonts w:ascii="Times New Roman" w:hAnsi="Times New Roman"/>
          <w:szCs w:val="22"/>
        </w:rPr>
        <w:t xml:space="preserve">. Operator będzie stale monitorował poziom Przychodów i sygnalizował Organizatorowi wszelkie spadki Przychodów, w szczególności wynikające z zapisów pkt </w:t>
      </w:r>
      <w:r w:rsidR="009B26C3" w:rsidRPr="007C4D26">
        <w:rPr>
          <w:rFonts w:ascii="Times New Roman" w:hAnsi="Times New Roman"/>
          <w:szCs w:val="22"/>
        </w:rPr>
        <w:t>5</w:t>
      </w:r>
      <w:r w:rsidR="00260E4D" w:rsidRPr="007C4D26">
        <w:rPr>
          <w:rFonts w:ascii="Times New Roman" w:hAnsi="Times New Roman"/>
          <w:szCs w:val="22"/>
        </w:rPr>
        <w:t>.3.6</w:t>
      </w:r>
      <w:r w:rsidRPr="007C4D26">
        <w:rPr>
          <w:rFonts w:ascii="Times New Roman" w:hAnsi="Times New Roman"/>
          <w:szCs w:val="22"/>
        </w:rPr>
        <w:t xml:space="preserve"> </w:t>
      </w:r>
      <w:r w:rsidR="00A1354B" w:rsidRPr="007C4D26">
        <w:rPr>
          <w:rFonts w:ascii="Times New Roman" w:hAnsi="Times New Roman"/>
          <w:szCs w:val="22"/>
        </w:rPr>
        <w:t xml:space="preserve">lit. a) – </w:t>
      </w:r>
      <w:r w:rsidR="009B26C3" w:rsidRPr="007C4D26">
        <w:rPr>
          <w:rFonts w:ascii="Times New Roman" w:hAnsi="Times New Roman"/>
          <w:szCs w:val="22"/>
        </w:rPr>
        <w:t>c</w:t>
      </w:r>
      <w:r w:rsidR="00A1354B" w:rsidRPr="007C4D26">
        <w:rPr>
          <w:rFonts w:ascii="Times New Roman" w:hAnsi="Times New Roman"/>
          <w:szCs w:val="22"/>
        </w:rPr>
        <w:t xml:space="preserve">). </w:t>
      </w:r>
      <w:r w:rsidR="0062425B" w:rsidRPr="007C4D26">
        <w:rPr>
          <w:rFonts w:ascii="Times New Roman" w:hAnsi="Times New Roman"/>
          <w:szCs w:val="22"/>
        </w:rPr>
        <w:t>Wyrównanie spadku przychodów poniżej przychodu Gwarantowanego będzie następowało w rocznym rozliczeniu Rekompensaty za każdy Okres Rozliczeniowy.</w:t>
      </w:r>
    </w:p>
    <w:p w14:paraId="4650ADAA" w14:textId="3AE49535" w:rsidR="0016630B" w:rsidRPr="007C4D26" w:rsidRDefault="0062425B" w:rsidP="00797A5A">
      <w:pPr>
        <w:pStyle w:val="text1x"/>
        <w:spacing w:before="0" w:after="124" w:line="240" w:lineRule="auto"/>
        <w:ind w:left="142"/>
        <w:rPr>
          <w:rFonts w:ascii="Times New Roman" w:hAnsi="Times New Roman"/>
          <w:szCs w:val="22"/>
        </w:rPr>
      </w:pPr>
      <w:r w:rsidRPr="007C4D26">
        <w:rPr>
          <w:rFonts w:ascii="Times New Roman" w:hAnsi="Times New Roman"/>
          <w:szCs w:val="22"/>
        </w:rPr>
        <w:t>W przypadku, gdy poziom</w:t>
      </w:r>
      <w:r w:rsidR="001837A9" w:rsidRPr="007C4D26">
        <w:rPr>
          <w:rFonts w:ascii="Times New Roman" w:hAnsi="Times New Roman"/>
          <w:szCs w:val="22"/>
        </w:rPr>
        <w:t xml:space="preserve"> Przychodu Gwarantowanego zostanie</w:t>
      </w:r>
      <w:r w:rsidRPr="007C4D26">
        <w:rPr>
          <w:rFonts w:ascii="Times New Roman" w:hAnsi="Times New Roman"/>
          <w:szCs w:val="22"/>
        </w:rPr>
        <w:t xml:space="preserve"> przekroczony przez Operatora, nadwyżka przychodów </w:t>
      </w:r>
      <w:r w:rsidR="00D12C88" w:rsidRPr="007C4D26">
        <w:rPr>
          <w:rFonts w:ascii="Times New Roman" w:hAnsi="Times New Roman"/>
          <w:szCs w:val="22"/>
        </w:rPr>
        <w:t xml:space="preserve">ze sprzedaży biletów (wraz z dotacją przedmiotową) </w:t>
      </w:r>
      <w:r w:rsidRPr="007C4D26">
        <w:rPr>
          <w:rFonts w:ascii="Times New Roman" w:hAnsi="Times New Roman"/>
          <w:szCs w:val="22"/>
        </w:rPr>
        <w:t xml:space="preserve">zostanie podzielona między Organizatora a Operatora w następujących udziałach procentowych: </w:t>
      </w:r>
      <w:r w:rsidR="00460C26" w:rsidRPr="007C4D26">
        <w:rPr>
          <w:rFonts w:ascii="Times New Roman" w:hAnsi="Times New Roman"/>
          <w:szCs w:val="22"/>
        </w:rPr>
        <w:t>8</w:t>
      </w:r>
      <w:r w:rsidR="00EB7CD4" w:rsidRPr="007C4D26">
        <w:rPr>
          <w:rFonts w:ascii="Times New Roman" w:hAnsi="Times New Roman"/>
          <w:szCs w:val="22"/>
        </w:rPr>
        <w:t>5</w:t>
      </w:r>
      <w:r w:rsidRPr="007C4D26">
        <w:rPr>
          <w:rFonts w:ascii="Times New Roman" w:hAnsi="Times New Roman"/>
          <w:szCs w:val="22"/>
        </w:rPr>
        <w:t xml:space="preserve">% dla Organizatora, </w:t>
      </w:r>
      <w:r w:rsidR="00460C26" w:rsidRPr="007C4D26">
        <w:rPr>
          <w:rFonts w:ascii="Times New Roman" w:hAnsi="Times New Roman"/>
          <w:szCs w:val="22"/>
        </w:rPr>
        <w:t>1</w:t>
      </w:r>
      <w:r w:rsidR="001D3C9B" w:rsidRPr="007C4D26">
        <w:rPr>
          <w:rFonts w:ascii="Times New Roman" w:hAnsi="Times New Roman"/>
          <w:szCs w:val="22"/>
        </w:rPr>
        <w:t>5</w:t>
      </w:r>
      <w:r w:rsidRPr="007C4D26">
        <w:rPr>
          <w:rFonts w:ascii="Times New Roman" w:hAnsi="Times New Roman"/>
          <w:szCs w:val="22"/>
        </w:rPr>
        <w:t>% dla Operatora.</w:t>
      </w:r>
      <w:r w:rsidR="0041341D" w:rsidRPr="007C4D26">
        <w:rPr>
          <w:rFonts w:ascii="Times New Roman" w:hAnsi="Times New Roman"/>
          <w:szCs w:val="22"/>
        </w:rPr>
        <w:t xml:space="preserve"> </w:t>
      </w:r>
      <w:r w:rsidR="004A5009" w:rsidRPr="007C4D26">
        <w:rPr>
          <w:rFonts w:ascii="Times New Roman" w:hAnsi="Times New Roman"/>
          <w:szCs w:val="22"/>
        </w:rPr>
        <w:t>Uzyskana nadwyżka zostanie rozliczona w ramach rocznego rozliczenia Rekompensaty Finansowej: równowartość 15% nadwyżki przychodów ze sprzedaży biletów (wraz z dotacją p</w:t>
      </w:r>
      <w:r w:rsidR="00F50FDF" w:rsidRPr="007C4D26">
        <w:rPr>
          <w:rFonts w:ascii="Times New Roman" w:hAnsi="Times New Roman"/>
          <w:szCs w:val="22"/>
        </w:rPr>
        <w:t>rze</w:t>
      </w:r>
      <w:r w:rsidR="004A5009" w:rsidRPr="007C4D26">
        <w:rPr>
          <w:rFonts w:ascii="Times New Roman" w:hAnsi="Times New Roman"/>
          <w:szCs w:val="22"/>
        </w:rPr>
        <w:t xml:space="preserve">dmiotową) zwiększa wysokość </w:t>
      </w:r>
      <w:r w:rsidR="00DA2B7F" w:rsidRPr="007C4D26">
        <w:rPr>
          <w:rFonts w:ascii="Times New Roman" w:hAnsi="Times New Roman"/>
          <w:szCs w:val="22"/>
        </w:rPr>
        <w:t>R</w:t>
      </w:r>
      <w:r w:rsidR="004A5009" w:rsidRPr="007C4D26">
        <w:rPr>
          <w:rFonts w:ascii="Times New Roman" w:hAnsi="Times New Roman"/>
          <w:szCs w:val="22"/>
        </w:rPr>
        <w:t xml:space="preserve">ozsądnego </w:t>
      </w:r>
      <w:r w:rsidR="00DA2B7F" w:rsidRPr="007C4D26">
        <w:rPr>
          <w:rFonts w:ascii="Times New Roman" w:hAnsi="Times New Roman"/>
          <w:szCs w:val="22"/>
        </w:rPr>
        <w:t>Z</w:t>
      </w:r>
      <w:r w:rsidR="004A5009" w:rsidRPr="007C4D26">
        <w:rPr>
          <w:rFonts w:ascii="Times New Roman" w:hAnsi="Times New Roman"/>
          <w:szCs w:val="22"/>
        </w:rPr>
        <w:t>ysku, a pozostałe 85% nadwyżki zostanie przekazane Organizatorowi.</w:t>
      </w:r>
    </w:p>
    <w:p w14:paraId="20231FB6" w14:textId="77777777" w:rsidR="001837A9" w:rsidRPr="007C4D26" w:rsidRDefault="001837A9" w:rsidP="00797A5A">
      <w:pPr>
        <w:pStyle w:val="text1x"/>
        <w:spacing w:before="0" w:after="124" w:line="240" w:lineRule="auto"/>
        <w:ind w:left="142"/>
        <w:rPr>
          <w:rFonts w:ascii="Times New Roman" w:hAnsi="Times New Roman"/>
          <w:szCs w:val="22"/>
        </w:rPr>
      </w:pPr>
    </w:p>
    <w:p w14:paraId="7E84517F" w14:textId="18B5D06A" w:rsidR="000902E2" w:rsidRPr="007C4D26" w:rsidRDefault="00D322F9" w:rsidP="00797A5A">
      <w:pPr>
        <w:pStyle w:val="Nagwek2"/>
        <w:tabs>
          <w:tab w:val="center" w:pos="2035"/>
        </w:tabs>
        <w:spacing w:line="240" w:lineRule="auto"/>
        <w:ind w:left="-15" w:firstLine="0"/>
        <w:rPr>
          <w:rFonts w:ascii="Times New Roman" w:hAnsi="Times New Roman" w:cs="Times New Roman"/>
          <w:sz w:val="22"/>
        </w:rPr>
      </w:pPr>
      <w:r w:rsidRPr="007C4D26">
        <w:rPr>
          <w:rFonts w:ascii="Times New Roman" w:hAnsi="Times New Roman" w:cs="Times New Roman"/>
          <w:sz w:val="22"/>
        </w:rPr>
        <w:t>6</w:t>
      </w:r>
      <w:r w:rsidR="002E2914" w:rsidRPr="007C4D26">
        <w:rPr>
          <w:rFonts w:ascii="Times New Roman" w:hAnsi="Times New Roman" w:cs="Times New Roman"/>
          <w:sz w:val="22"/>
        </w:rPr>
        <w:t xml:space="preserve">. Waloryzacja  </w:t>
      </w:r>
    </w:p>
    <w:p w14:paraId="353760CF" w14:textId="042B446A" w:rsidR="000902E2" w:rsidRPr="007C4D26" w:rsidRDefault="00D322F9" w:rsidP="00797A5A">
      <w:pPr>
        <w:pStyle w:val="Nagwek3"/>
        <w:spacing w:line="240" w:lineRule="auto"/>
        <w:ind w:left="-5"/>
        <w:rPr>
          <w:rFonts w:ascii="Times New Roman" w:hAnsi="Times New Roman" w:cs="Times New Roman"/>
          <w:color w:val="365F91"/>
          <w:sz w:val="22"/>
        </w:rPr>
      </w:pPr>
      <w:r w:rsidRPr="007C4D26">
        <w:rPr>
          <w:rFonts w:ascii="Times New Roman" w:hAnsi="Times New Roman" w:cs="Times New Roman"/>
          <w:sz w:val="22"/>
        </w:rPr>
        <w:t>6</w:t>
      </w:r>
      <w:r w:rsidR="002E2914" w:rsidRPr="007C4D26">
        <w:rPr>
          <w:rFonts w:ascii="Times New Roman" w:hAnsi="Times New Roman" w:cs="Times New Roman"/>
          <w:sz w:val="22"/>
        </w:rPr>
        <w:t>.1 Terminy Waloryzacji</w:t>
      </w:r>
      <w:r w:rsidR="002E2914" w:rsidRPr="007C4D26">
        <w:rPr>
          <w:rFonts w:ascii="Times New Roman" w:hAnsi="Times New Roman" w:cs="Times New Roman"/>
          <w:color w:val="365F91"/>
          <w:sz w:val="22"/>
        </w:rPr>
        <w:t xml:space="preserve"> </w:t>
      </w:r>
    </w:p>
    <w:p w14:paraId="138051C5" w14:textId="109CF4BA" w:rsidR="000902E2" w:rsidRPr="007C4D26" w:rsidRDefault="00D322F9" w:rsidP="00797A5A">
      <w:pPr>
        <w:spacing w:after="217" w:line="240" w:lineRule="auto"/>
        <w:ind w:left="0" w:right="0" w:firstLine="0"/>
        <w:rPr>
          <w:rFonts w:ascii="Times New Roman" w:hAnsi="Times New Roman" w:cs="Times New Roman"/>
          <w:sz w:val="22"/>
        </w:rPr>
      </w:pPr>
      <w:r w:rsidRPr="007C4D26">
        <w:rPr>
          <w:rFonts w:ascii="Times New Roman" w:hAnsi="Times New Roman" w:cs="Times New Roman"/>
          <w:b/>
          <w:sz w:val="22"/>
        </w:rPr>
        <w:t>6</w:t>
      </w:r>
      <w:r w:rsidR="009030C8" w:rsidRPr="007C4D26">
        <w:rPr>
          <w:rFonts w:ascii="Times New Roman" w:hAnsi="Times New Roman" w:cs="Times New Roman"/>
          <w:b/>
          <w:sz w:val="22"/>
        </w:rPr>
        <w:t>.1.</w:t>
      </w:r>
      <w:r w:rsidR="00903B03">
        <w:rPr>
          <w:rFonts w:ascii="Times New Roman" w:hAnsi="Times New Roman" w:cs="Times New Roman"/>
          <w:b/>
          <w:sz w:val="22"/>
        </w:rPr>
        <w:t>1</w:t>
      </w:r>
      <w:r w:rsidR="009030C8" w:rsidRPr="007C4D26">
        <w:rPr>
          <w:rFonts w:ascii="Times New Roman" w:hAnsi="Times New Roman" w:cs="Times New Roman"/>
          <w:sz w:val="22"/>
        </w:rPr>
        <w:t xml:space="preserve"> </w:t>
      </w:r>
      <w:r w:rsidR="00DA0471">
        <w:rPr>
          <w:rFonts w:ascii="Times New Roman" w:hAnsi="Times New Roman" w:cs="Times New Roman"/>
          <w:sz w:val="22"/>
        </w:rPr>
        <w:t>Zmiana</w:t>
      </w:r>
      <w:r w:rsidR="009B26C3" w:rsidRPr="007C4D26">
        <w:rPr>
          <w:rFonts w:ascii="Times New Roman" w:hAnsi="Times New Roman" w:cs="Times New Roman"/>
          <w:sz w:val="22"/>
        </w:rPr>
        <w:t xml:space="preserve"> w zakresie</w:t>
      </w:r>
      <w:r w:rsidR="002E2914" w:rsidRPr="007C4D26">
        <w:rPr>
          <w:rFonts w:ascii="Times New Roman" w:hAnsi="Times New Roman" w:cs="Times New Roman"/>
          <w:sz w:val="22"/>
        </w:rPr>
        <w:t xml:space="preserve"> </w:t>
      </w:r>
      <w:r w:rsidR="00DA0471">
        <w:rPr>
          <w:rFonts w:ascii="Times New Roman" w:hAnsi="Times New Roman" w:cs="Times New Roman"/>
          <w:sz w:val="22"/>
        </w:rPr>
        <w:t xml:space="preserve">wysokości wynagrodzenia </w:t>
      </w:r>
      <w:r w:rsidR="009B26C3" w:rsidRPr="007C4D26">
        <w:rPr>
          <w:rFonts w:ascii="Times New Roman" w:hAnsi="Times New Roman" w:cs="Times New Roman"/>
          <w:sz w:val="22"/>
        </w:rPr>
        <w:t>dotycząc</w:t>
      </w:r>
      <w:r w:rsidR="00DA0471">
        <w:rPr>
          <w:rFonts w:ascii="Times New Roman" w:hAnsi="Times New Roman" w:cs="Times New Roman"/>
          <w:sz w:val="22"/>
        </w:rPr>
        <w:t>a</w:t>
      </w:r>
      <w:r w:rsidR="009B26C3" w:rsidRPr="007C4D26">
        <w:rPr>
          <w:rFonts w:ascii="Times New Roman" w:hAnsi="Times New Roman" w:cs="Times New Roman"/>
          <w:sz w:val="22"/>
        </w:rPr>
        <w:t xml:space="preserve"> wskaźnika wzrostu cen towarów i usług konsumpcyjnych, wskaźnika wzrostu przeciętnego miesięcznego wynagrodzenia w sektorze przedsiębiorstw bez wypłaty z nagród z zysku oraz wskaźnika wzrostu cen paliwa</w:t>
      </w:r>
      <w:r w:rsidR="00266F1E">
        <w:rPr>
          <w:rFonts w:ascii="Times New Roman" w:hAnsi="Times New Roman" w:cs="Times New Roman"/>
          <w:sz w:val="22"/>
        </w:rPr>
        <w:t xml:space="preserve"> i energii </w:t>
      </w:r>
      <w:r w:rsidR="002E2914" w:rsidRPr="007C4D26">
        <w:rPr>
          <w:rFonts w:ascii="Times New Roman" w:hAnsi="Times New Roman" w:cs="Times New Roman"/>
          <w:sz w:val="22"/>
        </w:rPr>
        <w:t xml:space="preserve">będzie dokonywana na wniosek jednej ze Stron w następujących terminach: </w:t>
      </w:r>
    </w:p>
    <w:p w14:paraId="3CCDB075" w14:textId="258FFC36" w:rsidR="00D61211" w:rsidRPr="003B1C31" w:rsidRDefault="002E2914" w:rsidP="00797A5A">
      <w:pPr>
        <w:numPr>
          <w:ilvl w:val="0"/>
          <w:numId w:val="4"/>
        </w:numPr>
        <w:spacing w:line="240" w:lineRule="auto"/>
        <w:ind w:right="0" w:hanging="283"/>
        <w:rPr>
          <w:rFonts w:ascii="Times New Roman" w:hAnsi="Times New Roman" w:cs="Times New Roman"/>
          <w:sz w:val="22"/>
        </w:rPr>
      </w:pPr>
      <w:r w:rsidRPr="007C4D26">
        <w:rPr>
          <w:rFonts w:ascii="Times New Roman" w:hAnsi="Times New Roman" w:cs="Times New Roman"/>
          <w:sz w:val="22"/>
        </w:rPr>
        <w:t xml:space="preserve">I Waloryzacja: wniosek o Waloryzację składany </w:t>
      </w:r>
      <w:r w:rsidRPr="003B1C31">
        <w:rPr>
          <w:rFonts w:ascii="Times New Roman" w:hAnsi="Times New Roman" w:cs="Times New Roman"/>
          <w:sz w:val="22"/>
        </w:rPr>
        <w:t xml:space="preserve">do dnia </w:t>
      </w:r>
      <w:r w:rsidR="00760FA3" w:rsidRPr="003B1C31">
        <w:rPr>
          <w:rFonts w:ascii="Times New Roman" w:hAnsi="Times New Roman" w:cs="Times New Roman"/>
          <w:sz w:val="22"/>
        </w:rPr>
        <w:t>30</w:t>
      </w:r>
      <w:r w:rsidRPr="003B1C31">
        <w:rPr>
          <w:rFonts w:ascii="Times New Roman" w:hAnsi="Times New Roman" w:cs="Times New Roman"/>
          <w:sz w:val="22"/>
        </w:rPr>
        <w:t>.0</w:t>
      </w:r>
      <w:r w:rsidR="00FE54E6" w:rsidRPr="003B1C31">
        <w:rPr>
          <w:rFonts w:ascii="Times New Roman" w:hAnsi="Times New Roman" w:cs="Times New Roman"/>
          <w:sz w:val="22"/>
        </w:rPr>
        <w:t>9</w:t>
      </w:r>
      <w:r w:rsidRPr="003B1C31">
        <w:rPr>
          <w:rFonts w:ascii="Times New Roman" w:hAnsi="Times New Roman" w:cs="Times New Roman"/>
          <w:sz w:val="22"/>
        </w:rPr>
        <w:t>.202</w:t>
      </w:r>
      <w:r w:rsidR="00352DBF" w:rsidRPr="003B1C31">
        <w:rPr>
          <w:rFonts w:ascii="Times New Roman" w:hAnsi="Times New Roman" w:cs="Times New Roman"/>
          <w:sz w:val="22"/>
        </w:rPr>
        <w:t>6</w:t>
      </w:r>
      <w:r w:rsidRPr="003B1C31">
        <w:rPr>
          <w:rFonts w:ascii="Times New Roman" w:hAnsi="Times New Roman" w:cs="Times New Roman"/>
          <w:sz w:val="22"/>
        </w:rPr>
        <w:t xml:space="preserve"> r., </w:t>
      </w:r>
    </w:p>
    <w:p w14:paraId="39F753B1" w14:textId="77777777" w:rsidR="007D158A" w:rsidRPr="003B1C31" w:rsidRDefault="00430289" w:rsidP="00797A5A">
      <w:pPr>
        <w:spacing w:line="240" w:lineRule="auto"/>
        <w:ind w:left="628" w:right="0" w:firstLine="0"/>
        <w:rPr>
          <w:rFonts w:ascii="Times New Roman" w:hAnsi="Times New Roman" w:cs="Times New Roman"/>
          <w:sz w:val="22"/>
        </w:rPr>
      </w:pPr>
      <w:r w:rsidRPr="003B1C31">
        <w:rPr>
          <w:rFonts w:ascii="Times New Roman" w:hAnsi="Times New Roman" w:cs="Times New Roman"/>
          <w:sz w:val="22"/>
        </w:rPr>
        <w:t>I waloryzacja wejdzie w życie od początku II Okresu Rozliczeniowego.</w:t>
      </w:r>
    </w:p>
    <w:p w14:paraId="60528950" w14:textId="46FEB737" w:rsidR="00D61211" w:rsidRPr="003B1C31" w:rsidRDefault="002E2914" w:rsidP="00797A5A">
      <w:pPr>
        <w:numPr>
          <w:ilvl w:val="0"/>
          <w:numId w:val="4"/>
        </w:numPr>
        <w:spacing w:line="240" w:lineRule="auto"/>
        <w:ind w:right="0" w:hanging="283"/>
        <w:rPr>
          <w:rFonts w:ascii="Times New Roman" w:hAnsi="Times New Roman" w:cs="Times New Roman"/>
          <w:sz w:val="22"/>
        </w:rPr>
      </w:pPr>
      <w:r w:rsidRPr="003B1C31">
        <w:rPr>
          <w:rFonts w:ascii="Times New Roman" w:hAnsi="Times New Roman" w:cs="Times New Roman"/>
          <w:sz w:val="22"/>
        </w:rPr>
        <w:t xml:space="preserve">II Waloryzacja: wniosek o Waloryzację składany do dnia </w:t>
      </w:r>
      <w:r w:rsidR="00760FA3" w:rsidRPr="003B1C31">
        <w:rPr>
          <w:rFonts w:ascii="Times New Roman" w:hAnsi="Times New Roman" w:cs="Times New Roman"/>
          <w:sz w:val="22"/>
        </w:rPr>
        <w:t>30</w:t>
      </w:r>
      <w:r w:rsidRPr="003B1C31">
        <w:rPr>
          <w:rFonts w:ascii="Times New Roman" w:hAnsi="Times New Roman" w:cs="Times New Roman"/>
          <w:sz w:val="22"/>
        </w:rPr>
        <w:t>.0</w:t>
      </w:r>
      <w:r w:rsidR="00FE54E6" w:rsidRPr="003B1C31">
        <w:rPr>
          <w:rFonts w:ascii="Times New Roman" w:hAnsi="Times New Roman" w:cs="Times New Roman"/>
          <w:sz w:val="22"/>
        </w:rPr>
        <w:t>9</w:t>
      </w:r>
      <w:r w:rsidRPr="003B1C31">
        <w:rPr>
          <w:rFonts w:ascii="Times New Roman" w:hAnsi="Times New Roman" w:cs="Times New Roman"/>
          <w:sz w:val="22"/>
        </w:rPr>
        <w:t>.202</w:t>
      </w:r>
      <w:r w:rsidR="00352DBF" w:rsidRPr="003B1C31">
        <w:rPr>
          <w:rFonts w:ascii="Times New Roman" w:hAnsi="Times New Roman" w:cs="Times New Roman"/>
          <w:sz w:val="22"/>
        </w:rPr>
        <w:t xml:space="preserve">7 </w:t>
      </w:r>
      <w:r w:rsidRPr="003B1C31">
        <w:rPr>
          <w:rFonts w:ascii="Times New Roman" w:hAnsi="Times New Roman" w:cs="Times New Roman"/>
          <w:sz w:val="22"/>
        </w:rPr>
        <w:t xml:space="preserve">r., </w:t>
      </w:r>
      <w:bookmarkStart w:id="0" w:name="_Hlk101352326"/>
    </w:p>
    <w:p w14:paraId="596A9E00" w14:textId="77777777" w:rsidR="000902E2" w:rsidRPr="007C4D26" w:rsidRDefault="00430289" w:rsidP="00797A5A">
      <w:pPr>
        <w:spacing w:line="240" w:lineRule="auto"/>
        <w:ind w:left="628" w:right="0" w:firstLine="0"/>
        <w:rPr>
          <w:rFonts w:ascii="Times New Roman" w:hAnsi="Times New Roman" w:cs="Times New Roman"/>
          <w:sz w:val="22"/>
        </w:rPr>
      </w:pPr>
      <w:r w:rsidRPr="007C4D26">
        <w:rPr>
          <w:rFonts w:ascii="Times New Roman" w:hAnsi="Times New Roman" w:cs="Times New Roman"/>
          <w:sz w:val="22"/>
        </w:rPr>
        <w:t>II waloryzacja wejdzie w życie od początku III Okresu Rozliczeniowego.</w:t>
      </w:r>
      <w:bookmarkEnd w:id="0"/>
    </w:p>
    <w:p w14:paraId="6A3C3AF7" w14:textId="69F8F5B2" w:rsidR="00D61211" w:rsidRPr="007C4D26" w:rsidRDefault="002E2914" w:rsidP="00797A5A">
      <w:pPr>
        <w:numPr>
          <w:ilvl w:val="0"/>
          <w:numId w:val="4"/>
        </w:numPr>
        <w:spacing w:line="240" w:lineRule="auto"/>
        <w:ind w:left="630" w:right="0" w:hanging="284"/>
        <w:rPr>
          <w:rFonts w:ascii="Times New Roman" w:hAnsi="Times New Roman" w:cs="Times New Roman"/>
          <w:sz w:val="22"/>
        </w:rPr>
      </w:pPr>
      <w:bookmarkStart w:id="1" w:name="_Hlk125457022"/>
      <w:r w:rsidRPr="007C4D26">
        <w:rPr>
          <w:rFonts w:ascii="Times New Roman" w:hAnsi="Times New Roman" w:cs="Times New Roman"/>
          <w:sz w:val="22"/>
        </w:rPr>
        <w:t xml:space="preserve">III Waloryzacja: wniosek o Waloryzację składany do dnia </w:t>
      </w:r>
      <w:r w:rsidR="00760FA3" w:rsidRPr="007C4D26">
        <w:rPr>
          <w:rFonts w:ascii="Times New Roman" w:hAnsi="Times New Roman" w:cs="Times New Roman"/>
          <w:sz w:val="22"/>
        </w:rPr>
        <w:t>30</w:t>
      </w:r>
      <w:r w:rsidRPr="007C4D26">
        <w:rPr>
          <w:rFonts w:ascii="Times New Roman" w:hAnsi="Times New Roman" w:cs="Times New Roman"/>
          <w:sz w:val="22"/>
        </w:rPr>
        <w:t>.0</w:t>
      </w:r>
      <w:r w:rsidR="00FE54E6" w:rsidRPr="007C4D26">
        <w:rPr>
          <w:rFonts w:ascii="Times New Roman" w:hAnsi="Times New Roman" w:cs="Times New Roman"/>
          <w:sz w:val="22"/>
        </w:rPr>
        <w:t>9</w:t>
      </w:r>
      <w:r w:rsidRPr="007C4D26">
        <w:rPr>
          <w:rFonts w:ascii="Times New Roman" w:hAnsi="Times New Roman" w:cs="Times New Roman"/>
          <w:sz w:val="22"/>
        </w:rPr>
        <w:t>.202</w:t>
      </w:r>
      <w:r w:rsidR="00352DBF">
        <w:rPr>
          <w:rFonts w:ascii="Times New Roman" w:hAnsi="Times New Roman" w:cs="Times New Roman"/>
          <w:sz w:val="22"/>
        </w:rPr>
        <w:t>8</w:t>
      </w:r>
      <w:r w:rsidRPr="007C4D26">
        <w:rPr>
          <w:rFonts w:ascii="Times New Roman" w:hAnsi="Times New Roman" w:cs="Times New Roman"/>
          <w:sz w:val="22"/>
        </w:rPr>
        <w:t xml:space="preserve"> r., </w:t>
      </w:r>
    </w:p>
    <w:p w14:paraId="23AF152F" w14:textId="5EEA636F" w:rsidR="00430289" w:rsidRPr="007C4D26" w:rsidRDefault="00430289" w:rsidP="00797A5A">
      <w:pPr>
        <w:spacing w:line="240" w:lineRule="auto"/>
        <w:ind w:left="630" w:right="0" w:firstLine="0"/>
        <w:rPr>
          <w:rFonts w:ascii="Times New Roman" w:hAnsi="Times New Roman" w:cs="Times New Roman"/>
          <w:sz w:val="22"/>
        </w:rPr>
      </w:pPr>
      <w:r w:rsidRPr="007C4D26">
        <w:rPr>
          <w:rFonts w:ascii="Times New Roman" w:hAnsi="Times New Roman" w:cs="Times New Roman"/>
          <w:sz w:val="22"/>
        </w:rPr>
        <w:t>III waloryzacja wejdzie w życie od początku IV Okresu Rozliczeniowego.</w:t>
      </w:r>
      <w:r w:rsidR="0020138F" w:rsidRPr="007C4D26">
        <w:rPr>
          <w:rFonts w:ascii="Times New Roman" w:hAnsi="Times New Roman" w:cs="Times New Roman"/>
          <w:sz w:val="22"/>
        </w:rPr>
        <w:t>,</w:t>
      </w:r>
    </w:p>
    <w:bookmarkEnd w:id="1"/>
    <w:p w14:paraId="40C95720" w14:textId="279E7927" w:rsidR="0020138F" w:rsidRPr="007C4D26" w:rsidRDefault="0020138F" w:rsidP="00797A5A">
      <w:pPr>
        <w:spacing w:line="240" w:lineRule="auto"/>
        <w:ind w:right="0"/>
        <w:rPr>
          <w:rFonts w:ascii="Times New Roman" w:hAnsi="Times New Roman" w:cs="Times New Roman"/>
          <w:sz w:val="22"/>
        </w:rPr>
      </w:pPr>
      <w:r w:rsidRPr="007C4D26">
        <w:rPr>
          <w:rFonts w:ascii="Times New Roman" w:hAnsi="Times New Roman" w:cs="Times New Roman"/>
          <w:sz w:val="22"/>
        </w:rPr>
        <w:t>d) IV Waloryzacja: wniosek o Waloryzację składany do dnia 30.09.202</w:t>
      </w:r>
      <w:r w:rsidR="00352DBF">
        <w:rPr>
          <w:rFonts w:ascii="Times New Roman" w:hAnsi="Times New Roman" w:cs="Times New Roman"/>
          <w:sz w:val="22"/>
        </w:rPr>
        <w:t>9</w:t>
      </w:r>
      <w:r w:rsidRPr="007C4D26">
        <w:rPr>
          <w:rFonts w:ascii="Times New Roman" w:hAnsi="Times New Roman" w:cs="Times New Roman"/>
          <w:sz w:val="22"/>
        </w:rPr>
        <w:t xml:space="preserve"> r., </w:t>
      </w:r>
    </w:p>
    <w:p w14:paraId="60F56F57" w14:textId="3CF3D5B5" w:rsidR="0020138F" w:rsidRPr="007C4D26" w:rsidRDefault="003B1C31" w:rsidP="00797A5A">
      <w:pPr>
        <w:spacing w:line="240" w:lineRule="auto"/>
        <w:ind w:left="630" w:right="0" w:firstLine="0"/>
        <w:rPr>
          <w:rFonts w:ascii="Times New Roman" w:hAnsi="Times New Roman" w:cs="Times New Roman"/>
          <w:sz w:val="22"/>
        </w:rPr>
      </w:pPr>
      <w:r>
        <w:rPr>
          <w:rFonts w:ascii="Times New Roman" w:hAnsi="Times New Roman" w:cs="Times New Roman"/>
          <w:sz w:val="22"/>
        </w:rPr>
        <w:lastRenderedPageBreak/>
        <w:t xml:space="preserve">e) </w:t>
      </w:r>
      <w:r w:rsidR="0020138F" w:rsidRPr="007C4D26">
        <w:rPr>
          <w:rFonts w:ascii="Times New Roman" w:hAnsi="Times New Roman" w:cs="Times New Roman"/>
          <w:sz w:val="22"/>
        </w:rPr>
        <w:t>IV waloryzacja wejdzie w życie od początku V Okresu Rozliczeniowego.</w:t>
      </w:r>
    </w:p>
    <w:p w14:paraId="0ECC84CB" w14:textId="7BF2262E" w:rsidR="000902E2" w:rsidRPr="007C4D26" w:rsidRDefault="00D322F9" w:rsidP="00797A5A">
      <w:pPr>
        <w:pStyle w:val="Nagwek3"/>
        <w:spacing w:line="240" w:lineRule="auto"/>
        <w:ind w:left="567" w:hanging="567"/>
        <w:jc w:val="both"/>
        <w:rPr>
          <w:rFonts w:ascii="Times New Roman" w:hAnsi="Times New Roman" w:cs="Times New Roman"/>
          <w:sz w:val="22"/>
        </w:rPr>
      </w:pPr>
      <w:r w:rsidRPr="007C4D26">
        <w:rPr>
          <w:rFonts w:ascii="Times New Roman" w:hAnsi="Times New Roman" w:cs="Times New Roman"/>
          <w:sz w:val="22"/>
        </w:rPr>
        <w:t>6</w:t>
      </w:r>
      <w:r w:rsidR="006E66F0" w:rsidRPr="007C4D26">
        <w:rPr>
          <w:rFonts w:ascii="Times New Roman" w:hAnsi="Times New Roman" w:cs="Times New Roman"/>
          <w:sz w:val="22"/>
        </w:rPr>
        <w:t>.</w:t>
      </w:r>
      <w:r w:rsidR="002E2914" w:rsidRPr="007C4D26">
        <w:rPr>
          <w:rFonts w:ascii="Times New Roman" w:hAnsi="Times New Roman" w:cs="Times New Roman"/>
          <w:sz w:val="22"/>
        </w:rPr>
        <w:t>2 Procedura uzgadniania Waloryzacji</w:t>
      </w:r>
      <w:r w:rsidR="00D63CD9" w:rsidRPr="007C4D26">
        <w:rPr>
          <w:rFonts w:ascii="Times New Roman" w:hAnsi="Times New Roman" w:cs="Times New Roman"/>
          <w:sz w:val="22"/>
        </w:rPr>
        <w:t>.</w:t>
      </w:r>
    </w:p>
    <w:p w14:paraId="78BD3F3D" w14:textId="74736BDC" w:rsidR="000902E2" w:rsidRPr="007C4D26" w:rsidRDefault="002E2914" w:rsidP="00335520">
      <w:pPr>
        <w:spacing w:line="240" w:lineRule="auto"/>
        <w:ind w:left="90" w:right="0" w:hanging="11"/>
        <w:rPr>
          <w:rFonts w:ascii="Times New Roman" w:hAnsi="Times New Roman" w:cs="Times New Roman"/>
          <w:sz w:val="22"/>
        </w:rPr>
      </w:pPr>
      <w:r w:rsidRPr="007C4D26">
        <w:rPr>
          <w:rFonts w:ascii="Times New Roman" w:hAnsi="Times New Roman" w:cs="Times New Roman"/>
          <w:sz w:val="22"/>
        </w:rPr>
        <w:t xml:space="preserve">Strona wnioskująca o Waloryzację powinna przedstawić we wniosku szczegółowe uzasadnienie i wyliczenie parametrów branych pod uwagę przy ocenie zasadności Waloryzacji, a także wyliczyć proponowany Roczny Wskaźnik Waloryzacji wraz </w:t>
      </w:r>
      <w:r w:rsidR="00D61211" w:rsidRPr="007C4D26">
        <w:rPr>
          <w:rFonts w:ascii="Times New Roman" w:hAnsi="Times New Roman" w:cs="Times New Roman"/>
          <w:sz w:val="22"/>
        </w:rPr>
        <w:t xml:space="preserve">z </w:t>
      </w:r>
      <w:r w:rsidRPr="007C4D26">
        <w:rPr>
          <w:rFonts w:ascii="Times New Roman" w:hAnsi="Times New Roman" w:cs="Times New Roman"/>
          <w:sz w:val="22"/>
        </w:rPr>
        <w:t xml:space="preserve">oczekiwanym wpływem jego zastosowania na </w:t>
      </w:r>
      <w:r w:rsidR="005019FA" w:rsidRPr="007C4D26">
        <w:rPr>
          <w:rFonts w:ascii="Times New Roman" w:hAnsi="Times New Roman" w:cs="Times New Roman"/>
          <w:sz w:val="22"/>
        </w:rPr>
        <w:t>Rekompensatę</w:t>
      </w:r>
      <w:r w:rsidRPr="007C4D26">
        <w:rPr>
          <w:rFonts w:ascii="Times New Roman" w:hAnsi="Times New Roman" w:cs="Times New Roman"/>
          <w:sz w:val="22"/>
        </w:rPr>
        <w:t xml:space="preserve"> </w:t>
      </w:r>
      <w:r w:rsidR="005019FA" w:rsidRPr="007C4D26">
        <w:rPr>
          <w:rFonts w:ascii="Times New Roman" w:hAnsi="Times New Roman" w:cs="Times New Roman"/>
          <w:sz w:val="22"/>
        </w:rPr>
        <w:t>z</w:t>
      </w:r>
      <w:r w:rsidRPr="007C4D26">
        <w:rPr>
          <w:rFonts w:ascii="Times New Roman" w:hAnsi="Times New Roman" w:cs="Times New Roman"/>
          <w:sz w:val="22"/>
        </w:rPr>
        <w:t xml:space="preserve">a Pociągokilometr. Druga Strona jest uprawniona do zgłoszenia uzasadnionych zastrzeżeń do wniosku o Waloryzację w terminie 10 Dni Roboczych od jego doręczenia. </w:t>
      </w:r>
    </w:p>
    <w:p w14:paraId="0F2FF622" w14:textId="1D312654" w:rsidR="000902E2" w:rsidRPr="007C4D26" w:rsidRDefault="002E2914" w:rsidP="00797A5A">
      <w:pPr>
        <w:spacing w:line="240" w:lineRule="auto"/>
        <w:ind w:left="90" w:right="0" w:hanging="11"/>
        <w:rPr>
          <w:rFonts w:ascii="Times New Roman" w:hAnsi="Times New Roman" w:cs="Times New Roman"/>
          <w:sz w:val="22"/>
        </w:rPr>
      </w:pPr>
      <w:r w:rsidRPr="007C4D26">
        <w:rPr>
          <w:rFonts w:ascii="Times New Roman" w:hAnsi="Times New Roman" w:cs="Times New Roman"/>
          <w:sz w:val="22"/>
        </w:rPr>
        <w:t xml:space="preserve">Waloryzację uważa się za uzgodnioną po wspólnym potwierdzeniu przez Strony podstaw do dokonania Waloryzacji oraz jej zakresu i uwzględnieniu jej w Rocznym Planie Finansowym. </w:t>
      </w:r>
      <w:r w:rsidR="005019FA" w:rsidRPr="007C4D26">
        <w:rPr>
          <w:rFonts w:ascii="Times New Roman" w:hAnsi="Times New Roman" w:cs="Times New Roman"/>
          <w:sz w:val="22"/>
        </w:rPr>
        <w:t>Rekompensata</w:t>
      </w:r>
      <w:r w:rsidRPr="007C4D26">
        <w:rPr>
          <w:rFonts w:ascii="Times New Roman" w:hAnsi="Times New Roman" w:cs="Times New Roman"/>
          <w:sz w:val="22"/>
        </w:rPr>
        <w:t xml:space="preserve"> za Pociągokilometr wyliczona w oparciu o uzgodniony przez Strony Roczny Wskaźnik Waloryzacji jest uwzględniania w projekcie Rocznego Planu Finansowego stosownie do postanowień Pkt </w:t>
      </w:r>
      <w:r w:rsidR="009B26C3" w:rsidRPr="007C4D26">
        <w:rPr>
          <w:rFonts w:ascii="Times New Roman" w:hAnsi="Times New Roman" w:cs="Times New Roman"/>
          <w:sz w:val="22"/>
        </w:rPr>
        <w:t>5</w:t>
      </w:r>
      <w:r w:rsidRPr="007C4D26">
        <w:rPr>
          <w:rFonts w:ascii="Times New Roman" w:hAnsi="Times New Roman" w:cs="Times New Roman"/>
          <w:sz w:val="22"/>
        </w:rPr>
        <w:t xml:space="preserve">.2.5 głównej części Umowy. </w:t>
      </w:r>
    </w:p>
    <w:p w14:paraId="3E022A47" w14:textId="23E08B61" w:rsidR="000902E2" w:rsidRPr="007C4D26" w:rsidRDefault="002E2914" w:rsidP="00797A5A">
      <w:pPr>
        <w:spacing w:line="240" w:lineRule="auto"/>
        <w:ind w:left="90" w:right="0" w:hanging="11"/>
        <w:rPr>
          <w:rFonts w:ascii="Times New Roman" w:hAnsi="Times New Roman" w:cs="Times New Roman"/>
          <w:sz w:val="22"/>
        </w:rPr>
      </w:pPr>
      <w:r w:rsidRPr="007C4D26">
        <w:rPr>
          <w:rFonts w:ascii="Times New Roman" w:hAnsi="Times New Roman" w:cs="Times New Roman"/>
          <w:sz w:val="22"/>
        </w:rPr>
        <w:t xml:space="preserve">W przypadku braku wspólnego potwierdzenia przez Strony istnienia podstaw do Waloryzacji oraz jej zakresu, w kolejnym Okresie Rozliczeniowym stosuje się dotychczasową </w:t>
      </w:r>
      <w:r w:rsidR="005019FA" w:rsidRPr="007C4D26">
        <w:rPr>
          <w:rFonts w:ascii="Times New Roman" w:hAnsi="Times New Roman" w:cs="Times New Roman"/>
          <w:sz w:val="22"/>
        </w:rPr>
        <w:t>Rekompensatę</w:t>
      </w:r>
      <w:r w:rsidRPr="007C4D26">
        <w:rPr>
          <w:rFonts w:ascii="Times New Roman" w:hAnsi="Times New Roman" w:cs="Times New Roman"/>
          <w:sz w:val="22"/>
        </w:rPr>
        <w:t xml:space="preserve"> za Pociągokilometr, z tym jednakże zastrzeżeniem, że podczas najbliższego audytu</w:t>
      </w:r>
      <w:r w:rsidR="005019FA" w:rsidRPr="007C4D26">
        <w:rPr>
          <w:rFonts w:ascii="Times New Roman" w:hAnsi="Times New Roman" w:cs="Times New Roman"/>
          <w:sz w:val="22"/>
        </w:rPr>
        <w:t>,</w:t>
      </w:r>
      <w:r w:rsidRPr="007C4D26">
        <w:rPr>
          <w:rFonts w:ascii="Times New Roman" w:hAnsi="Times New Roman" w:cs="Times New Roman"/>
          <w:sz w:val="22"/>
        </w:rPr>
        <w:t xml:space="preserve"> Audytor dokona ponownej oceny zasadności wniosku o dokonanie Waloryzacji, a w przypadku ustalenia, że zachodziły podstawy do Waloryzacji, określi właściwą wysokość Rocznego Wskaźnika Waloryzacji, odpowiednią </w:t>
      </w:r>
      <w:r w:rsidR="005019FA" w:rsidRPr="007C4D26">
        <w:rPr>
          <w:rFonts w:ascii="Times New Roman" w:hAnsi="Times New Roman" w:cs="Times New Roman"/>
          <w:sz w:val="22"/>
        </w:rPr>
        <w:t>Rekompensatę</w:t>
      </w:r>
      <w:r w:rsidRPr="007C4D26">
        <w:rPr>
          <w:rFonts w:ascii="Times New Roman" w:hAnsi="Times New Roman" w:cs="Times New Roman"/>
          <w:sz w:val="22"/>
        </w:rPr>
        <w:t xml:space="preserve"> za Pociągokilometr oraz obliczy wpływ Waloryzacji na należną Operatorowi Rekompensatę Finansową za Okres Rozliczeniowy podlegający audytowi. Na podstawie ustaleń Audytora dotyczących Waloryzacji zawartych w ostatecznej wersji audytu Strony dokonają stosownych rozliczeń Rekompensaty Finansowej stosując postanowienia Pkt </w:t>
      </w:r>
      <w:r w:rsidR="009B26C3" w:rsidRPr="007C4D26">
        <w:rPr>
          <w:rFonts w:ascii="Times New Roman" w:hAnsi="Times New Roman" w:cs="Times New Roman"/>
          <w:sz w:val="22"/>
        </w:rPr>
        <w:t>5</w:t>
      </w:r>
      <w:r w:rsidRPr="007C4D26">
        <w:rPr>
          <w:rFonts w:ascii="Times New Roman" w:hAnsi="Times New Roman" w:cs="Times New Roman"/>
          <w:sz w:val="22"/>
        </w:rPr>
        <w:t xml:space="preserve">.7.6 i </w:t>
      </w:r>
      <w:r w:rsidR="009B26C3" w:rsidRPr="007C4D26">
        <w:rPr>
          <w:rFonts w:ascii="Times New Roman" w:hAnsi="Times New Roman" w:cs="Times New Roman"/>
          <w:sz w:val="22"/>
        </w:rPr>
        <w:t>5</w:t>
      </w:r>
      <w:r w:rsidRPr="007C4D26">
        <w:rPr>
          <w:rFonts w:ascii="Times New Roman" w:hAnsi="Times New Roman" w:cs="Times New Roman"/>
          <w:sz w:val="22"/>
        </w:rPr>
        <w:t xml:space="preserve">.8.3 głównej części Umowy. </w:t>
      </w:r>
    </w:p>
    <w:p w14:paraId="741CBAE9" w14:textId="77777777" w:rsidR="005A33DD" w:rsidRPr="007C4D26" w:rsidRDefault="002E2914" w:rsidP="00797A5A">
      <w:pPr>
        <w:spacing w:line="240" w:lineRule="auto"/>
        <w:ind w:left="90" w:right="0" w:hanging="11"/>
        <w:rPr>
          <w:rFonts w:ascii="Times New Roman" w:hAnsi="Times New Roman" w:cs="Times New Roman"/>
          <w:sz w:val="22"/>
        </w:rPr>
      </w:pPr>
      <w:r w:rsidRPr="007C4D26">
        <w:rPr>
          <w:rFonts w:ascii="Times New Roman" w:hAnsi="Times New Roman" w:cs="Times New Roman"/>
          <w:sz w:val="22"/>
        </w:rPr>
        <w:t xml:space="preserve">Dla uniknięcia wszelkich wątpliwości Strony wyjaśniają, że Waloryzacja może powodować zarówno podniesienie, jak i obniżenie </w:t>
      </w:r>
      <w:r w:rsidR="005019FA" w:rsidRPr="007C4D26">
        <w:rPr>
          <w:rFonts w:ascii="Times New Roman" w:hAnsi="Times New Roman" w:cs="Times New Roman"/>
          <w:sz w:val="22"/>
        </w:rPr>
        <w:t>Rekompensaty</w:t>
      </w:r>
      <w:r w:rsidRPr="007C4D26">
        <w:rPr>
          <w:rFonts w:ascii="Times New Roman" w:hAnsi="Times New Roman" w:cs="Times New Roman"/>
          <w:sz w:val="22"/>
        </w:rPr>
        <w:t xml:space="preserve"> za Pociągokilometr, na co obie Strony się godzą. Waloryzacja </w:t>
      </w:r>
      <w:r w:rsidR="005019FA" w:rsidRPr="007C4D26">
        <w:rPr>
          <w:rFonts w:ascii="Times New Roman" w:hAnsi="Times New Roman" w:cs="Times New Roman"/>
          <w:sz w:val="22"/>
        </w:rPr>
        <w:t>Rekompensaty</w:t>
      </w:r>
      <w:r w:rsidRPr="007C4D26">
        <w:rPr>
          <w:rFonts w:ascii="Times New Roman" w:hAnsi="Times New Roman" w:cs="Times New Roman"/>
          <w:sz w:val="22"/>
        </w:rPr>
        <w:t xml:space="preserve"> za Pociągokilometr ma urealnić zakres świadczenia na rzecz Operatora w związku ze zmianą wartości pieniądza w czasie, z zachowaniem zasad przejrzystości i obiektywizmu niezbędnych w ramach zamówienia publicznego. </w:t>
      </w:r>
    </w:p>
    <w:p w14:paraId="6F5A2C32" w14:textId="791F94F2" w:rsidR="000902E2" w:rsidRPr="007C4D26" w:rsidRDefault="00D322F9" w:rsidP="00797A5A">
      <w:pPr>
        <w:pStyle w:val="Nagwek3"/>
        <w:ind w:left="-5"/>
        <w:jc w:val="both"/>
        <w:rPr>
          <w:rFonts w:ascii="Times New Roman" w:hAnsi="Times New Roman" w:cs="Times New Roman"/>
          <w:color w:val="auto"/>
          <w:sz w:val="22"/>
        </w:rPr>
      </w:pPr>
      <w:r w:rsidRPr="007C4D26">
        <w:rPr>
          <w:rFonts w:ascii="Times New Roman" w:hAnsi="Times New Roman" w:cs="Times New Roman"/>
          <w:color w:val="auto"/>
          <w:sz w:val="22"/>
        </w:rPr>
        <w:t>6</w:t>
      </w:r>
      <w:r w:rsidR="002E2914" w:rsidRPr="007C4D26">
        <w:rPr>
          <w:rFonts w:ascii="Times New Roman" w:hAnsi="Times New Roman" w:cs="Times New Roman"/>
          <w:color w:val="auto"/>
          <w:sz w:val="22"/>
        </w:rPr>
        <w:t>.</w:t>
      </w:r>
      <w:r w:rsidR="00DA0471">
        <w:rPr>
          <w:rFonts w:ascii="Times New Roman" w:hAnsi="Times New Roman" w:cs="Times New Roman"/>
          <w:color w:val="auto"/>
          <w:sz w:val="22"/>
        </w:rPr>
        <w:t>3</w:t>
      </w:r>
      <w:r w:rsidR="006E66F0" w:rsidRPr="007C4D26">
        <w:rPr>
          <w:rFonts w:ascii="Times New Roman" w:hAnsi="Times New Roman" w:cs="Times New Roman"/>
          <w:color w:val="auto"/>
          <w:sz w:val="22"/>
        </w:rPr>
        <w:t>.</w:t>
      </w:r>
      <w:r w:rsidR="002E2914" w:rsidRPr="007C4D26">
        <w:rPr>
          <w:rFonts w:ascii="Times New Roman" w:hAnsi="Times New Roman" w:cs="Times New Roman"/>
          <w:color w:val="auto"/>
          <w:sz w:val="22"/>
        </w:rPr>
        <w:t xml:space="preserve"> Wskaźniki Waloryzacji </w:t>
      </w:r>
      <w:r w:rsidR="009030C8" w:rsidRPr="007C4D26">
        <w:rPr>
          <w:rFonts w:ascii="Times New Roman" w:hAnsi="Times New Roman" w:cs="Times New Roman"/>
          <w:color w:val="auto"/>
          <w:sz w:val="22"/>
        </w:rPr>
        <w:t>w zakresie zmian</w:t>
      </w:r>
      <w:r w:rsidR="006C67C2" w:rsidRPr="007C4D26">
        <w:rPr>
          <w:rFonts w:ascii="Times New Roman" w:hAnsi="Times New Roman" w:cs="Times New Roman"/>
          <w:color w:val="auto"/>
          <w:sz w:val="22"/>
        </w:rPr>
        <w:t xml:space="preserve"> dotyczących wskaźnika wzrostu cen towarów i usług konsumpcyjnych, wskaźnika wzrostu przeciętnego miesięcznego wynagrodzenia w sektorze przedsiębiorstw bez wypłaty z nagród z zysku oraz wskaźnika wzrostu cen paliwa</w:t>
      </w:r>
      <w:r w:rsidR="00B17840" w:rsidRPr="007C4D26">
        <w:rPr>
          <w:rFonts w:ascii="Times New Roman" w:hAnsi="Times New Roman" w:cs="Times New Roman"/>
          <w:color w:val="auto"/>
          <w:sz w:val="22"/>
        </w:rPr>
        <w:t xml:space="preserve"> i energii</w:t>
      </w:r>
      <w:r w:rsidR="006C67C2" w:rsidRPr="007C4D26">
        <w:rPr>
          <w:rFonts w:ascii="Times New Roman" w:hAnsi="Times New Roman" w:cs="Times New Roman"/>
          <w:color w:val="auto"/>
          <w:sz w:val="22"/>
        </w:rPr>
        <w:t>.</w:t>
      </w:r>
    </w:p>
    <w:p w14:paraId="10616E4B" w14:textId="16361363" w:rsidR="00C432F1" w:rsidRPr="00797A5A" w:rsidRDefault="00C432F1" w:rsidP="00C432F1">
      <w:pPr>
        <w:pStyle w:val="Textbody"/>
        <w:rPr>
          <w:rFonts w:cs="Times New Roman"/>
          <w:sz w:val="22"/>
          <w:szCs w:val="22"/>
        </w:rPr>
      </w:pPr>
      <w:r w:rsidRPr="00797A5A">
        <w:rPr>
          <w:rFonts w:cs="Times New Roman"/>
          <w:sz w:val="22"/>
          <w:szCs w:val="22"/>
        </w:rPr>
        <w:t>Zważywszy, że początek okresu rozliczeniowego przypada w roku n, a koniec okresu rozliczeniowego w roku n+1, przyjmuje się, że Stawka Rekompensaty na pociągokilometr będzie waloryzowana dla każdego kolejnego roku rozliczeniowego przy zastosowaniu następującego wskaźnika W</w:t>
      </w:r>
      <w:r w:rsidR="00797A5A" w:rsidRPr="00797A5A">
        <w:rPr>
          <w:rFonts w:cs="Times New Roman"/>
          <w:sz w:val="22"/>
          <w:szCs w:val="22"/>
        </w:rPr>
        <w:t>2</w:t>
      </w:r>
      <w:r w:rsidRPr="00797A5A">
        <w:rPr>
          <w:rFonts w:cs="Times New Roman"/>
          <w:sz w:val="22"/>
          <w:szCs w:val="22"/>
        </w:rPr>
        <w:t>:</w:t>
      </w:r>
    </w:p>
    <w:p w14:paraId="04D0F9AF" w14:textId="63E188F4" w:rsidR="00C432F1" w:rsidRPr="00797A5A" w:rsidRDefault="00C432F1" w:rsidP="008F108E">
      <w:pPr>
        <w:pStyle w:val="Textbody"/>
        <w:rPr>
          <w:rFonts w:cs="Times New Roman"/>
          <w:sz w:val="22"/>
          <w:szCs w:val="22"/>
        </w:rPr>
      </w:pPr>
      <w:bookmarkStart w:id="2" w:name="_Hlk125973092"/>
      <w:r w:rsidRPr="00797A5A">
        <w:rPr>
          <w:rFonts w:cs="Times New Roman"/>
          <w:sz w:val="22"/>
          <w:szCs w:val="22"/>
        </w:rPr>
        <w:t>Dla obsługi</w:t>
      </w:r>
      <w:r w:rsidR="008F108E" w:rsidRPr="00797A5A">
        <w:rPr>
          <w:rFonts w:cs="Times New Roman"/>
          <w:sz w:val="22"/>
          <w:szCs w:val="22"/>
        </w:rPr>
        <w:t xml:space="preserve"> </w:t>
      </w:r>
      <w:r w:rsidRPr="00797A5A">
        <w:rPr>
          <w:rFonts w:cs="Times New Roman"/>
          <w:sz w:val="22"/>
          <w:szCs w:val="22"/>
        </w:rPr>
        <w:t>taborem spalinowym</w:t>
      </w:r>
    </w:p>
    <w:bookmarkEnd w:id="2"/>
    <w:p w14:paraId="60075828" w14:textId="134E015D" w:rsidR="00C432F1" w:rsidRPr="00797A5A" w:rsidRDefault="00C432F1" w:rsidP="00C432F1">
      <w:pPr>
        <w:pStyle w:val="Textbody"/>
        <w:ind w:left="720"/>
        <w:rPr>
          <w:rFonts w:cs="Times New Roman"/>
          <w:sz w:val="22"/>
          <w:szCs w:val="22"/>
        </w:rPr>
      </w:pPr>
      <w:r w:rsidRPr="00797A5A">
        <w:rPr>
          <w:rFonts w:cs="Times New Roman"/>
          <w:sz w:val="22"/>
          <w:szCs w:val="22"/>
        </w:rPr>
        <w:t>W</w:t>
      </w:r>
      <w:r w:rsidR="00266F1E" w:rsidRPr="00797A5A">
        <w:rPr>
          <w:rFonts w:cs="Times New Roman"/>
          <w:sz w:val="22"/>
          <w:szCs w:val="22"/>
        </w:rPr>
        <w:t>2</w:t>
      </w:r>
      <w:r w:rsidRPr="00797A5A">
        <w:rPr>
          <w:rFonts w:cs="Times New Roman"/>
          <w:sz w:val="22"/>
          <w:szCs w:val="22"/>
        </w:rPr>
        <w:t xml:space="preserve"> = 0,40 x WT + 0,30 x WW + 0,30 x WP</w:t>
      </w:r>
    </w:p>
    <w:p w14:paraId="14CDEF78" w14:textId="042AE196" w:rsidR="00C432F1" w:rsidRPr="00797A5A" w:rsidRDefault="00C432F1" w:rsidP="008F108E">
      <w:pPr>
        <w:pStyle w:val="Textbody"/>
        <w:rPr>
          <w:rFonts w:cs="Times New Roman"/>
          <w:sz w:val="22"/>
          <w:szCs w:val="22"/>
        </w:rPr>
      </w:pPr>
      <w:r w:rsidRPr="00797A5A">
        <w:rPr>
          <w:rFonts w:cs="Times New Roman"/>
          <w:sz w:val="22"/>
          <w:szCs w:val="22"/>
        </w:rPr>
        <w:t>Dla obsługi taborem elektrycznym</w:t>
      </w:r>
    </w:p>
    <w:p w14:paraId="3B688884" w14:textId="32970F3F" w:rsidR="00C432F1" w:rsidRPr="00797A5A" w:rsidRDefault="00C432F1" w:rsidP="00C432F1">
      <w:pPr>
        <w:pStyle w:val="Textbody"/>
        <w:ind w:left="720"/>
        <w:rPr>
          <w:rFonts w:cs="Times New Roman"/>
          <w:sz w:val="22"/>
          <w:szCs w:val="22"/>
        </w:rPr>
      </w:pPr>
      <w:r w:rsidRPr="00797A5A">
        <w:rPr>
          <w:rFonts w:cs="Times New Roman"/>
          <w:sz w:val="22"/>
          <w:szCs w:val="22"/>
        </w:rPr>
        <w:t>W</w:t>
      </w:r>
      <w:r w:rsidR="00266F1E" w:rsidRPr="00797A5A">
        <w:rPr>
          <w:rFonts w:cs="Times New Roman"/>
          <w:sz w:val="22"/>
          <w:szCs w:val="22"/>
        </w:rPr>
        <w:t>2</w:t>
      </w:r>
      <w:r w:rsidRPr="00797A5A">
        <w:rPr>
          <w:rFonts w:cs="Times New Roman"/>
          <w:sz w:val="22"/>
          <w:szCs w:val="22"/>
        </w:rPr>
        <w:t xml:space="preserve"> = 0,30 x WT + 0,30 x WW + 0,40 x WE</w:t>
      </w:r>
    </w:p>
    <w:p w14:paraId="3449F317" w14:textId="77777777" w:rsidR="00C432F1" w:rsidRPr="00797A5A" w:rsidRDefault="00C432F1" w:rsidP="008F108E">
      <w:pPr>
        <w:pStyle w:val="Textbody"/>
        <w:rPr>
          <w:rFonts w:cs="Times New Roman"/>
          <w:sz w:val="22"/>
          <w:szCs w:val="22"/>
        </w:rPr>
      </w:pPr>
      <w:r w:rsidRPr="00797A5A">
        <w:rPr>
          <w:rFonts w:cs="Times New Roman"/>
          <w:sz w:val="22"/>
          <w:szCs w:val="22"/>
        </w:rPr>
        <w:t>gdzie</w:t>
      </w:r>
    </w:p>
    <w:p w14:paraId="13FF899B" w14:textId="77777777" w:rsidR="00C432F1" w:rsidRPr="00797A5A" w:rsidRDefault="00C432F1" w:rsidP="008F108E">
      <w:pPr>
        <w:pStyle w:val="Textbody"/>
        <w:jc w:val="both"/>
        <w:rPr>
          <w:rFonts w:cs="Times New Roman"/>
          <w:sz w:val="22"/>
          <w:szCs w:val="22"/>
        </w:rPr>
      </w:pPr>
      <w:r w:rsidRPr="00797A5A">
        <w:rPr>
          <w:rFonts w:cs="Times New Roman"/>
          <w:b/>
          <w:sz w:val="22"/>
          <w:szCs w:val="22"/>
        </w:rPr>
        <w:t>WT</w:t>
      </w:r>
      <w:r w:rsidRPr="00797A5A">
        <w:rPr>
          <w:rFonts w:cs="Times New Roman"/>
          <w:sz w:val="22"/>
          <w:szCs w:val="22"/>
        </w:rPr>
        <w:t xml:space="preserve"> –</w:t>
      </w:r>
      <w:r w:rsidRPr="00797A5A">
        <w:rPr>
          <w:rFonts w:cs="Times New Roman"/>
          <w:b/>
          <w:sz w:val="22"/>
          <w:szCs w:val="22"/>
        </w:rPr>
        <w:t>wskaźnik wzrostu cen towarów i usług konsumpcyjnych</w:t>
      </w:r>
      <w:r w:rsidRPr="00797A5A">
        <w:rPr>
          <w:rFonts w:cs="Times New Roman"/>
          <w:sz w:val="22"/>
          <w:szCs w:val="22"/>
        </w:rPr>
        <w:t>, wyliczany na podstawie komunikatów Prezesa Głównego Urzędu Statystycznego, dla drugiego kwartału roku n w porównaniu do analogicznego kwartału poprzedniego roku (tj. n-1), przy założeniu, że kwartał roku poprzedniego = 100. Wartość WT zaokrągla się do dwóch miejsc po przecinku.</w:t>
      </w:r>
    </w:p>
    <w:p w14:paraId="4D4EC764" w14:textId="77777777" w:rsidR="00C432F1" w:rsidRPr="00797A5A" w:rsidRDefault="00C432F1" w:rsidP="008F108E">
      <w:pPr>
        <w:pStyle w:val="Textbody"/>
        <w:jc w:val="both"/>
        <w:rPr>
          <w:rFonts w:cs="Times New Roman"/>
          <w:sz w:val="22"/>
          <w:szCs w:val="22"/>
        </w:rPr>
      </w:pPr>
      <w:r w:rsidRPr="00797A5A">
        <w:rPr>
          <w:rFonts w:cs="Times New Roman"/>
          <w:b/>
          <w:bCs/>
          <w:sz w:val="22"/>
          <w:szCs w:val="22"/>
        </w:rPr>
        <w:t>WW</w:t>
      </w:r>
      <w:r w:rsidRPr="00797A5A">
        <w:rPr>
          <w:rFonts w:cs="Times New Roman"/>
          <w:sz w:val="22"/>
          <w:szCs w:val="22"/>
        </w:rPr>
        <w:t xml:space="preserve"> – </w:t>
      </w:r>
      <w:r w:rsidRPr="00797A5A">
        <w:rPr>
          <w:rFonts w:cs="Times New Roman"/>
          <w:b/>
          <w:sz w:val="22"/>
          <w:szCs w:val="22"/>
        </w:rPr>
        <w:t>wskaźnik wzrostu przeciętnego miesięcznego wynagrodzenia w sektorze przedsiębiorstw bez wypłaty z nagród z zysku</w:t>
      </w:r>
      <w:r w:rsidRPr="00797A5A">
        <w:rPr>
          <w:rFonts w:cs="Times New Roman"/>
          <w:sz w:val="22"/>
          <w:szCs w:val="22"/>
        </w:rPr>
        <w:t>, wyliczany na podstawie komunikatów Prezesa Głównego Urzędu Statystycznego, dla drugiego kwartału roku n w porównaniu do analogicznego kwartału poprzedniego roku (tj. n-1), przy założeniu, że kwartał roku poprzedniego = 100. Wartość WT zaokrągla się do dwóch miejsc po przecinku.</w:t>
      </w:r>
    </w:p>
    <w:p w14:paraId="62441720" w14:textId="77777777" w:rsidR="00C432F1" w:rsidRPr="00797A5A" w:rsidRDefault="00C432F1" w:rsidP="008F108E">
      <w:pPr>
        <w:pStyle w:val="Textbody"/>
        <w:jc w:val="both"/>
        <w:rPr>
          <w:rFonts w:cs="Times New Roman"/>
          <w:sz w:val="22"/>
          <w:szCs w:val="22"/>
        </w:rPr>
      </w:pPr>
      <w:r w:rsidRPr="00797A5A">
        <w:rPr>
          <w:rFonts w:cs="Times New Roman"/>
          <w:b/>
          <w:sz w:val="22"/>
          <w:szCs w:val="22"/>
        </w:rPr>
        <w:lastRenderedPageBreak/>
        <w:t>WP</w:t>
      </w:r>
      <w:r w:rsidRPr="00797A5A">
        <w:rPr>
          <w:rFonts w:cs="Times New Roman"/>
          <w:sz w:val="22"/>
          <w:szCs w:val="22"/>
        </w:rPr>
        <w:t xml:space="preserve"> – </w:t>
      </w:r>
      <w:r w:rsidRPr="00797A5A">
        <w:rPr>
          <w:rFonts w:cs="Times New Roman"/>
          <w:b/>
          <w:sz w:val="22"/>
          <w:szCs w:val="22"/>
        </w:rPr>
        <w:t>wskaźnik wzrostu cen paliwa</w:t>
      </w:r>
      <w:r w:rsidRPr="00797A5A">
        <w:rPr>
          <w:rFonts w:cs="Times New Roman"/>
          <w:sz w:val="22"/>
          <w:szCs w:val="22"/>
        </w:rPr>
        <w:t>, wyliczany jako średnia arytmetyczna cen hurtowych Oleju Napędowego Ekodiesel według publikacji zamieszczanych na stronie internetowej PKN Orlen S.A. dla drugiego kwartału roku n w porównaniu do analogicznego kwartału poprzedniego roku (tj. n-1), przy założeniu, że kwartał roku poprzedniego = 100. Wartość WP zaokrągla się do dwóch miejsc po przecinku.</w:t>
      </w:r>
    </w:p>
    <w:p w14:paraId="6938119F" w14:textId="77777777" w:rsidR="00C432F1" w:rsidRPr="00797A5A" w:rsidRDefault="00C432F1" w:rsidP="008F108E">
      <w:pPr>
        <w:pStyle w:val="Textbody"/>
        <w:jc w:val="both"/>
        <w:rPr>
          <w:rFonts w:cs="Times New Roman"/>
          <w:sz w:val="22"/>
          <w:szCs w:val="22"/>
        </w:rPr>
      </w:pPr>
      <w:r w:rsidRPr="00797A5A">
        <w:rPr>
          <w:rFonts w:cs="Times New Roman"/>
          <w:b/>
          <w:sz w:val="22"/>
          <w:szCs w:val="22"/>
        </w:rPr>
        <w:t>WE</w:t>
      </w:r>
      <w:r w:rsidRPr="00797A5A">
        <w:rPr>
          <w:rFonts w:cs="Times New Roman"/>
          <w:sz w:val="22"/>
          <w:szCs w:val="22"/>
        </w:rPr>
        <w:t xml:space="preserve"> – </w:t>
      </w:r>
      <w:r w:rsidRPr="00797A5A">
        <w:rPr>
          <w:rFonts w:cs="Times New Roman"/>
          <w:b/>
          <w:bCs/>
          <w:sz w:val="22"/>
          <w:szCs w:val="22"/>
        </w:rPr>
        <w:t>wskaźnik wzrostu cen energii elektryczne</w:t>
      </w:r>
      <w:r w:rsidRPr="00797A5A">
        <w:rPr>
          <w:rFonts w:cs="Times New Roman"/>
          <w:sz w:val="22"/>
          <w:szCs w:val="22"/>
        </w:rPr>
        <w:t>j, wyliczany na podstawie informacji  o średniej kwartalnej cenie sprzedaży energii elektrycznej na rynku konkurencyjnym ogłaszanej przez Prezesa Urzędu Regulacji Energetyki dla drugiego kwartału roku n w porównaniu do analogicznego kwartału poprzedniego roku (tj. n-1), przy założeniu, że kwartał roku poprzedniego = 100. Wartość WE zaokrągla się do dwóch miejsc po przecinku.</w:t>
      </w:r>
    </w:p>
    <w:p w14:paraId="2708E94A" w14:textId="77777777" w:rsidR="00C432F1" w:rsidRDefault="00C432F1" w:rsidP="00C432F1">
      <w:pPr>
        <w:pStyle w:val="Textbody"/>
        <w:ind w:left="720"/>
        <w:rPr>
          <w:rFonts w:ascii="Lato" w:hAnsi="Lato"/>
          <w:sz w:val="18"/>
          <w:szCs w:val="18"/>
        </w:rPr>
      </w:pPr>
    </w:p>
    <w:p w14:paraId="1BEA7E46" w14:textId="77777777" w:rsidR="00C432F1" w:rsidRPr="00797A5A" w:rsidRDefault="00C432F1" w:rsidP="00C432F1">
      <w:pPr>
        <w:pStyle w:val="Textbody"/>
        <w:ind w:left="720"/>
        <w:jc w:val="center"/>
        <w:rPr>
          <w:rFonts w:cs="Times New Roman"/>
          <w:b/>
          <w:sz w:val="22"/>
          <w:szCs w:val="22"/>
        </w:rPr>
      </w:pPr>
      <w:r w:rsidRPr="00797A5A">
        <w:rPr>
          <w:rFonts w:cs="Times New Roman"/>
          <w:b/>
          <w:sz w:val="22"/>
          <w:szCs w:val="22"/>
        </w:rPr>
        <w:t>Przykład obliczania indeksacji dla okresu rozliczeniowego 2:</w:t>
      </w:r>
    </w:p>
    <w:p w14:paraId="0DFAF45C" w14:textId="77777777" w:rsidR="00C432F1" w:rsidRPr="00797A5A" w:rsidRDefault="00C432F1" w:rsidP="008F108E">
      <w:pPr>
        <w:pStyle w:val="Textbody"/>
        <w:rPr>
          <w:rFonts w:cs="Times New Roman"/>
          <w:sz w:val="22"/>
          <w:szCs w:val="22"/>
        </w:rPr>
      </w:pPr>
      <w:r w:rsidRPr="00797A5A">
        <w:rPr>
          <w:rFonts w:cs="Times New Roman"/>
          <w:sz w:val="22"/>
          <w:szCs w:val="22"/>
        </w:rPr>
        <w:t>Dla przejrzystości zasad wyliczania waloryzacji, na podstawie danych archiwalnych, przedstawia się zasady obliczania indeksacji dla hipotetycznego drugiego roku rozliczeniowego 2021/2022.</w:t>
      </w:r>
    </w:p>
    <w:p w14:paraId="6F7D3859" w14:textId="77777777" w:rsidR="00C432F1" w:rsidRPr="00797A5A" w:rsidRDefault="00C432F1" w:rsidP="00C432F1">
      <w:pPr>
        <w:pStyle w:val="Textbody"/>
        <w:ind w:left="720"/>
        <w:rPr>
          <w:rFonts w:cs="Times New Roman"/>
          <w:sz w:val="22"/>
          <w:szCs w:val="22"/>
        </w:rPr>
      </w:pPr>
      <w:r w:rsidRPr="00797A5A">
        <w:rPr>
          <w:rFonts w:cs="Times New Roman"/>
          <w:sz w:val="22"/>
          <w:szCs w:val="22"/>
        </w:rPr>
        <w:t>Założenia:</w:t>
      </w:r>
    </w:p>
    <w:p w14:paraId="31E7A0C0" w14:textId="77777777" w:rsidR="00C432F1" w:rsidRPr="00797A5A" w:rsidRDefault="00C432F1" w:rsidP="00C432F1">
      <w:pPr>
        <w:pStyle w:val="Textbody"/>
        <w:ind w:left="720"/>
        <w:rPr>
          <w:rFonts w:cs="Times New Roman"/>
          <w:sz w:val="22"/>
          <w:szCs w:val="22"/>
        </w:rPr>
      </w:pPr>
      <w:r w:rsidRPr="00797A5A">
        <w:rPr>
          <w:rFonts w:cs="Times New Roman"/>
          <w:sz w:val="22"/>
          <w:szCs w:val="22"/>
        </w:rPr>
        <w:t>Stawka Rekompensaty na pociągokilometr: 20 zł/pockm</w:t>
      </w:r>
    </w:p>
    <w:p w14:paraId="1E0EA751" w14:textId="77777777" w:rsidR="00C432F1" w:rsidRPr="00797A5A" w:rsidRDefault="00C432F1" w:rsidP="00C432F1">
      <w:pPr>
        <w:pStyle w:val="Textbody"/>
        <w:ind w:left="720"/>
        <w:rPr>
          <w:rFonts w:cs="Times New Roman"/>
          <w:sz w:val="22"/>
          <w:szCs w:val="22"/>
        </w:rPr>
      </w:pPr>
      <w:r w:rsidRPr="00797A5A">
        <w:rPr>
          <w:rFonts w:cs="Times New Roman"/>
          <w:sz w:val="22"/>
          <w:szCs w:val="22"/>
        </w:rPr>
        <w:t>Okres rozliczeniowy 1: 2020/2021</w:t>
      </w:r>
    </w:p>
    <w:p w14:paraId="33357F6E" w14:textId="77777777" w:rsidR="00C432F1" w:rsidRPr="00797A5A" w:rsidRDefault="00C432F1" w:rsidP="00C432F1">
      <w:pPr>
        <w:pStyle w:val="Textbody"/>
        <w:ind w:left="720"/>
        <w:rPr>
          <w:rFonts w:cs="Times New Roman"/>
          <w:sz w:val="22"/>
          <w:szCs w:val="22"/>
        </w:rPr>
      </w:pPr>
      <w:r w:rsidRPr="00797A5A">
        <w:rPr>
          <w:rFonts w:cs="Times New Roman"/>
          <w:sz w:val="22"/>
          <w:szCs w:val="22"/>
        </w:rPr>
        <w:t>Okres rozliczeniowy 2: 2021/2022</w:t>
      </w:r>
    </w:p>
    <w:p w14:paraId="266670DC" w14:textId="77777777" w:rsidR="00C432F1" w:rsidRPr="00797A5A" w:rsidRDefault="00C432F1" w:rsidP="00C432F1">
      <w:pPr>
        <w:pStyle w:val="Textbody"/>
        <w:ind w:left="720"/>
        <w:rPr>
          <w:rFonts w:cs="Times New Roman"/>
          <w:b/>
          <w:sz w:val="22"/>
          <w:szCs w:val="22"/>
        </w:rPr>
      </w:pPr>
    </w:p>
    <w:p w14:paraId="43046FDA" w14:textId="77777777" w:rsidR="00C432F1" w:rsidRPr="00797A5A" w:rsidRDefault="00C432F1" w:rsidP="008F108E">
      <w:pPr>
        <w:pStyle w:val="Textbody"/>
        <w:rPr>
          <w:rFonts w:cs="Times New Roman"/>
          <w:sz w:val="22"/>
          <w:szCs w:val="22"/>
        </w:rPr>
      </w:pPr>
      <w:r w:rsidRPr="00797A5A">
        <w:rPr>
          <w:rFonts w:cs="Times New Roman"/>
          <w:b/>
          <w:sz w:val="22"/>
          <w:szCs w:val="22"/>
        </w:rPr>
        <w:t>WT = 4,50%</w:t>
      </w:r>
    </w:p>
    <w:tbl>
      <w:tblPr>
        <w:tblW w:w="6585" w:type="dxa"/>
        <w:tblCellMar>
          <w:left w:w="10" w:type="dxa"/>
          <w:right w:w="10" w:type="dxa"/>
        </w:tblCellMar>
        <w:tblLook w:val="04A0" w:firstRow="1" w:lastRow="0" w:firstColumn="1" w:lastColumn="0" w:noHBand="0" w:noVBand="1"/>
      </w:tblPr>
      <w:tblGrid>
        <w:gridCol w:w="1210"/>
        <w:gridCol w:w="3922"/>
        <w:gridCol w:w="1453"/>
      </w:tblGrid>
      <w:tr w:rsidR="00C432F1" w:rsidRPr="00797A5A" w14:paraId="58EEA2C8" w14:textId="77777777" w:rsidTr="00C62EC8">
        <w:trPr>
          <w:trHeight w:val="315"/>
        </w:trPr>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43E66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kwartał</w:t>
            </w:r>
          </w:p>
        </w:tc>
        <w:tc>
          <w:tcPr>
            <w:tcW w:w="3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B8A1C" w14:textId="77777777" w:rsidR="00C432F1" w:rsidRPr="00797A5A" w:rsidRDefault="00C432F1" w:rsidP="00C62EC8">
            <w:pPr>
              <w:pStyle w:val="Textbody"/>
              <w:rPr>
                <w:rFonts w:cs="Times New Roman"/>
                <w:sz w:val="22"/>
                <w:szCs w:val="22"/>
              </w:rPr>
            </w:pPr>
            <w:r w:rsidRPr="00797A5A">
              <w:rPr>
                <w:rFonts w:cs="Times New Roman"/>
                <w:sz w:val="22"/>
                <w:szCs w:val="22"/>
              </w:rPr>
              <w:t>analogiczny okres roku poprzedniego = 100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E3BF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Wskaźnik WT</w:t>
            </w:r>
          </w:p>
        </w:tc>
      </w:tr>
      <w:tr w:rsidR="00C432F1" w:rsidRPr="00797A5A" w14:paraId="630E35BF" w14:textId="77777777" w:rsidTr="00C62EC8">
        <w:trPr>
          <w:trHeight w:val="124"/>
        </w:trPr>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B3C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2021</w:t>
            </w:r>
          </w:p>
        </w:tc>
        <w:tc>
          <w:tcPr>
            <w:tcW w:w="3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8294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104,5</w:t>
            </w:r>
          </w:p>
        </w:tc>
        <w:tc>
          <w:tcPr>
            <w:tcW w:w="14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3DEF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4,50 %</w:t>
            </w:r>
          </w:p>
        </w:tc>
      </w:tr>
    </w:tbl>
    <w:p w14:paraId="3330D62D" w14:textId="77777777" w:rsidR="00C432F1" w:rsidRPr="00797A5A" w:rsidRDefault="00C432F1" w:rsidP="00C432F1">
      <w:pPr>
        <w:pStyle w:val="Textbody"/>
        <w:rPr>
          <w:rFonts w:cs="Times New Roman"/>
          <w:sz w:val="22"/>
          <w:szCs w:val="22"/>
        </w:rPr>
      </w:pPr>
    </w:p>
    <w:p w14:paraId="73954480" w14:textId="77777777" w:rsidR="00C432F1" w:rsidRPr="00797A5A" w:rsidRDefault="00C432F1" w:rsidP="008F108E">
      <w:pPr>
        <w:pStyle w:val="Textbody"/>
        <w:rPr>
          <w:rFonts w:cs="Times New Roman"/>
          <w:b/>
          <w:sz w:val="22"/>
          <w:szCs w:val="22"/>
        </w:rPr>
      </w:pPr>
      <w:r w:rsidRPr="00797A5A">
        <w:rPr>
          <w:rFonts w:cs="Times New Roman"/>
          <w:b/>
          <w:sz w:val="22"/>
          <w:szCs w:val="22"/>
        </w:rPr>
        <w:t>WW: 10,04 %</w:t>
      </w:r>
    </w:p>
    <w:tbl>
      <w:tblPr>
        <w:tblW w:w="9628" w:type="dxa"/>
        <w:tblCellMar>
          <w:left w:w="10" w:type="dxa"/>
          <w:right w:w="10" w:type="dxa"/>
        </w:tblCellMar>
        <w:tblLook w:val="04A0" w:firstRow="1" w:lastRow="0" w:firstColumn="1" w:lastColumn="0" w:noHBand="0" w:noVBand="1"/>
      </w:tblPr>
      <w:tblGrid>
        <w:gridCol w:w="1129"/>
        <w:gridCol w:w="3157"/>
        <w:gridCol w:w="2507"/>
        <w:gridCol w:w="2835"/>
      </w:tblGrid>
      <w:tr w:rsidR="00C432F1" w:rsidRPr="00797A5A" w14:paraId="16E0B1AD" w14:textId="77777777" w:rsidTr="00C62EC8">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71DFA1"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kwartał</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0A83" w14:textId="77777777" w:rsidR="00C432F1" w:rsidRPr="00797A5A" w:rsidRDefault="00C432F1" w:rsidP="00C62EC8">
            <w:pPr>
              <w:pStyle w:val="Textbody"/>
              <w:jc w:val="center"/>
              <w:rPr>
                <w:rFonts w:cs="Times New Roman"/>
                <w:sz w:val="22"/>
                <w:szCs w:val="22"/>
              </w:rPr>
            </w:pPr>
            <w:r w:rsidRPr="00797A5A">
              <w:rPr>
                <w:rFonts w:cs="Times New Roman"/>
                <w:sz w:val="22"/>
                <w:szCs w:val="22"/>
              </w:rPr>
              <w:t>przeciętne miesięczne wynagrodzenie w sektorze przedsiębiorstw bez wypłaty z nagród z zysku</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A93A6E"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analogiczny okres roku poprzedniego = 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3344BC"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Wskaźnik WW</w:t>
            </w:r>
          </w:p>
        </w:tc>
      </w:tr>
      <w:tr w:rsidR="00C432F1" w:rsidRPr="00797A5A" w14:paraId="78A2B942" w14:textId="77777777" w:rsidTr="00C62EC8">
        <w:trPr>
          <w:trHeight w:val="116"/>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E80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2020</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D440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5.247,12</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96CBC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577D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w:t>
            </w:r>
          </w:p>
        </w:tc>
      </w:tr>
      <w:tr w:rsidR="00C432F1" w:rsidRPr="00797A5A" w14:paraId="4F7F18A7" w14:textId="77777777" w:rsidTr="00C62EC8">
        <w:trPr>
          <w:trHeight w:val="116"/>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107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2021</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5A7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5.774,13</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662C8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110,04</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C7BBD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10,04%</w:t>
            </w:r>
          </w:p>
        </w:tc>
      </w:tr>
    </w:tbl>
    <w:p w14:paraId="59E192D0" w14:textId="77777777" w:rsidR="00C432F1" w:rsidRPr="00797A5A" w:rsidRDefault="00C432F1" w:rsidP="00C432F1">
      <w:pPr>
        <w:pStyle w:val="Textbody"/>
        <w:ind w:left="720"/>
        <w:rPr>
          <w:rFonts w:cs="Times New Roman"/>
          <w:sz w:val="22"/>
          <w:szCs w:val="22"/>
        </w:rPr>
      </w:pPr>
    </w:p>
    <w:p w14:paraId="4F5E2EC9" w14:textId="77777777" w:rsidR="00C432F1" w:rsidRPr="00797A5A" w:rsidRDefault="00C432F1" w:rsidP="008F108E">
      <w:pPr>
        <w:pStyle w:val="Textbody"/>
        <w:rPr>
          <w:rFonts w:cs="Times New Roman"/>
          <w:sz w:val="22"/>
          <w:szCs w:val="22"/>
        </w:rPr>
      </w:pPr>
      <w:r w:rsidRPr="00797A5A">
        <w:rPr>
          <w:rFonts w:cs="Times New Roman"/>
          <w:b/>
          <w:sz w:val="22"/>
          <w:szCs w:val="22"/>
        </w:rPr>
        <w:t xml:space="preserve">WP: 28,31 % </w:t>
      </w:r>
    </w:p>
    <w:tbl>
      <w:tblPr>
        <w:tblW w:w="6516" w:type="dxa"/>
        <w:tblLayout w:type="fixed"/>
        <w:tblCellMar>
          <w:left w:w="10" w:type="dxa"/>
          <w:right w:w="10" w:type="dxa"/>
        </w:tblCellMar>
        <w:tblLook w:val="04A0" w:firstRow="1" w:lastRow="0" w:firstColumn="1" w:lastColumn="0" w:noHBand="0" w:noVBand="1"/>
      </w:tblPr>
      <w:tblGrid>
        <w:gridCol w:w="1838"/>
        <w:gridCol w:w="1701"/>
        <w:gridCol w:w="1418"/>
        <w:gridCol w:w="1559"/>
      </w:tblGrid>
      <w:tr w:rsidR="00C432F1" w:rsidRPr="00797A5A" w14:paraId="21DA77FE" w14:textId="77777777" w:rsidTr="00797A5A">
        <w:trPr>
          <w:trHeight w:val="31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5C077"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II kwartał 2020</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258135"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II kwartał 2021</w:t>
            </w:r>
          </w:p>
        </w:tc>
      </w:tr>
      <w:tr w:rsidR="00C432F1" w:rsidRPr="00797A5A" w14:paraId="1017694B"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056B"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B1EA"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cena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C21E5"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D1765"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cena</w:t>
            </w:r>
          </w:p>
        </w:tc>
      </w:tr>
      <w:tr w:rsidR="00C432F1" w:rsidRPr="00797A5A" w14:paraId="50E8A2AB"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0F6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01.04.2020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B6B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3 181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2717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01.04.2021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79EE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4 029 zł/m</w:t>
            </w:r>
            <w:r w:rsidRPr="00797A5A">
              <w:rPr>
                <w:rFonts w:cs="Times New Roman"/>
                <w:sz w:val="22"/>
                <w:szCs w:val="22"/>
                <w:vertAlign w:val="superscript"/>
              </w:rPr>
              <w:t>3</w:t>
            </w:r>
          </w:p>
        </w:tc>
      </w:tr>
      <w:tr w:rsidR="00C432F1" w:rsidRPr="00797A5A" w14:paraId="40818FB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5594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02.04.2020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ECD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3 152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1754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02.04.2021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C4DC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4 020 zł/m</w:t>
            </w:r>
            <w:r w:rsidRPr="00797A5A">
              <w:rPr>
                <w:rFonts w:cs="Times New Roman"/>
                <w:sz w:val="22"/>
                <w:szCs w:val="22"/>
                <w:vertAlign w:val="superscript"/>
              </w:rPr>
              <w:t>3</w:t>
            </w:r>
          </w:p>
        </w:tc>
      </w:tr>
      <w:tr w:rsidR="00C432F1" w:rsidRPr="00797A5A" w14:paraId="678A198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3E61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03.04.2020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663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3 141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1F02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03.04.2021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5DDC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4 020 zł/m</w:t>
            </w:r>
            <w:r w:rsidRPr="00797A5A">
              <w:rPr>
                <w:rFonts w:cs="Times New Roman"/>
                <w:sz w:val="22"/>
                <w:szCs w:val="22"/>
                <w:vertAlign w:val="superscript"/>
              </w:rPr>
              <w:t>3</w:t>
            </w:r>
          </w:p>
        </w:tc>
      </w:tr>
      <w:tr w:rsidR="00C432F1" w:rsidRPr="00797A5A" w14:paraId="2DDC104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EC2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04.04.2020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3C6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3 163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A501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04.04.2021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FF73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4 020 zł/m</w:t>
            </w:r>
            <w:r w:rsidRPr="00797A5A">
              <w:rPr>
                <w:rFonts w:cs="Times New Roman"/>
                <w:sz w:val="22"/>
                <w:szCs w:val="22"/>
                <w:vertAlign w:val="superscript"/>
              </w:rPr>
              <w:t>3</w:t>
            </w:r>
          </w:p>
        </w:tc>
      </w:tr>
      <w:tr w:rsidR="00C432F1" w:rsidRPr="00797A5A" w14:paraId="3341129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A9E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lastRenderedPageBreak/>
              <w:t>05.04.2020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4C1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3 163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3500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05.04.2021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2A49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4 020 zł/m</w:t>
            </w:r>
            <w:r w:rsidRPr="00797A5A">
              <w:rPr>
                <w:rFonts w:cs="Times New Roman"/>
                <w:sz w:val="22"/>
                <w:szCs w:val="22"/>
                <w:vertAlign w:val="superscript"/>
              </w:rPr>
              <w:t>3</w:t>
            </w:r>
          </w:p>
        </w:tc>
      </w:tr>
      <w:tr w:rsidR="00C432F1" w:rsidRPr="00797A5A" w14:paraId="7B22DEED"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0D9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06.04.2020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02F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3 163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3DF9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06.04.2021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6AB3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4 020 zł/m</w:t>
            </w:r>
            <w:r w:rsidRPr="00797A5A">
              <w:rPr>
                <w:rFonts w:cs="Times New Roman"/>
                <w:sz w:val="22"/>
                <w:szCs w:val="22"/>
                <w:vertAlign w:val="superscript"/>
              </w:rPr>
              <w:t>3</w:t>
            </w:r>
          </w:p>
        </w:tc>
      </w:tr>
      <w:tr w:rsidR="00C432F1" w:rsidRPr="00797A5A" w14:paraId="14AFAC5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1FA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07.04.2020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701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3 187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EBFB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07.04.2021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E243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4 012 zł/m</w:t>
            </w:r>
            <w:r w:rsidRPr="00797A5A">
              <w:rPr>
                <w:rFonts w:cs="Times New Roman"/>
                <w:sz w:val="22"/>
                <w:szCs w:val="22"/>
                <w:vertAlign w:val="superscript"/>
              </w:rPr>
              <w:t>3</w:t>
            </w:r>
          </w:p>
        </w:tc>
      </w:tr>
      <w:tr w:rsidR="00C432F1" w:rsidRPr="00797A5A" w14:paraId="6FE42EB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464F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08.04.2020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66B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3 209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F3DC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08.04.2021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528C7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3 989 zł/m</w:t>
            </w:r>
            <w:r w:rsidRPr="00797A5A">
              <w:rPr>
                <w:rFonts w:cs="Times New Roman"/>
                <w:sz w:val="22"/>
                <w:szCs w:val="22"/>
                <w:vertAlign w:val="superscript"/>
              </w:rPr>
              <w:t>3</w:t>
            </w:r>
          </w:p>
        </w:tc>
      </w:tr>
      <w:tr w:rsidR="00C432F1" w:rsidRPr="00797A5A" w14:paraId="57B8DFE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E8D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09.04.2020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492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3 187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0878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09.04.2021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D2E6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3 980 zł/m</w:t>
            </w:r>
            <w:r w:rsidRPr="00797A5A">
              <w:rPr>
                <w:rFonts w:cs="Times New Roman"/>
                <w:sz w:val="22"/>
                <w:szCs w:val="22"/>
                <w:vertAlign w:val="superscript"/>
              </w:rPr>
              <w:t>3</w:t>
            </w:r>
          </w:p>
        </w:tc>
      </w:tr>
      <w:tr w:rsidR="00C432F1" w:rsidRPr="00797A5A" w14:paraId="58F172E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A89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10.04.2020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670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B4E4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6ED7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3 968 zł/m</w:t>
            </w:r>
            <w:r w:rsidRPr="00797A5A">
              <w:rPr>
                <w:rFonts w:cs="Times New Roman"/>
                <w:sz w:val="22"/>
                <w:szCs w:val="22"/>
                <w:vertAlign w:val="superscript"/>
              </w:rPr>
              <w:t>3</w:t>
            </w:r>
          </w:p>
        </w:tc>
      </w:tr>
      <w:tr w:rsidR="00C432F1" w:rsidRPr="00797A5A" w14:paraId="58B6769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055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11.04.2020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1AB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1FA8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11.04.2021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6012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3 968 zł/m</w:t>
            </w:r>
            <w:r w:rsidRPr="00797A5A">
              <w:rPr>
                <w:rFonts w:cs="Times New Roman"/>
                <w:sz w:val="22"/>
                <w:szCs w:val="22"/>
                <w:vertAlign w:val="superscript"/>
              </w:rPr>
              <w:t>3</w:t>
            </w:r>
          </w:p>
        </w:tc>
      </w:tr>
      <w:tr w:rsidR="00C432F1" w:rsidRPr="00797A5A" w14:paraId="54FD240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D87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12.04.2020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79D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ADA4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12.04.2021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510A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3 968 zł/m</w:t>
            </w:r>
            <w:r w:rsidRPr="00797A5A">
              <w:rPr>
                <w:rFonts w:cs="Times New Roman"/>
                <w:sz w:val="22"/>
                <w:szCs w:val="22"/>
                <w:vertAlign w:val="superscript"/>
              </w:rPr>
              <w:t>3</w:t>
            </w:r>
          </w:p>
        </w:tc>
      </w:tr>
      <w:tr w:rsidR="00C432F1" w:rsidRPr="00797A5A" w14:paraId="2F3DD717"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B57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13.04.2020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F05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356C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13.04.2021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5F9D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3 971 zł/m</w:t>
            </w:r>
            <w:r w:rsidRPr="00797A5A">
              <w:rPr>
                <w:rFonts w:cs="Times New Roman"/>
                <w:sz w:val="22"/>
                <w:szCs w:val="22"/>
                <w:vertAlign w:val="superscript"/>
              </w:rPr>
              <w:t>3</w:t>
            </w:r>
          </w:p>
        </w:tc>
      </w:tr>
      <w:tr w:rsidR="00C432F1" w:rsidRPr="00797A5A" w14:paraId="4ADA14F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531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14.04.2020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5D8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5A29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14.04.2021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B18F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3 961 zł/m</w:t>
            </w:r>
            <w:r w:rsidRPr="00797A5A">
              <w:rPr>
                <w:rFonts w:cs="Times New Roman"/>
                <w:sz w:val="22"/>
                <w:szCs w:val="22"/>
                <w:vertAlign w:val="superscript"/>
              </w:rPr>
              <w:t>3</w:t>
            </w:r>
          </w:p>
        </w:tc>
      </w:tr>
      <w:tr w:rsidR="00C432F1" w:rsidRPr="00797A5A" w14:paraId="74F2F21D"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77D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15.04.2020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F4A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3 136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1D02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15.04.2021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B582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3 981 zł/m</w:t>
            </w:r>
            <w:r w:rsidRPr="00797A5A">
              <w:rPr>
                <w:rFonts w:cs="Times New Roman"/>
                <w:sz w:val="22"/>
                <w:szCs w:val="22"/>
                <w:vertAlign w:val="superscript"/>
              </w:rPr>
              <w:t>3</w:t>
            </w:r>
          </w:p>
        </w:tc>
      </w:tr>
      <w:tr w:rsidR="00C432F1" w:rsidRPr="00797A5A" w14:paraId="2714471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F4A3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16.04.2020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917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3 086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CB93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16.04.2021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9EF7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3 997 zł/m</w:t>
            </w:r>
            <w:r w:rsidRPr="00797A5A">
              <w:rPr>
                <w:rFonts w:cs="Times New Roman"/>
                <w:sz w:val="22"/>
                <w:szCs w:val="22"/>
                <w:vertAlign w:val="superscript"/>
              </w:rPr>
              <w:t>3</w:t>
            </w:r>
          </w:p>
        </w:tc>
      </w:tr>
      <w:tr w:rsidR="00C432F1" w:rsidRPr="00797A5A" w14:paraId="02B9E84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83F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17.04.2020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6F0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3 080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D466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17.04.2021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1A5F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4 012 zł/m</w:t>
            </w:r>
            <w:r w:rsidRPr="00797A5A">
              <w:rPr>
                <w:rFonts w:cs="Times New Roman"/>
                <w:sz w:val="22"/>
                <w:szCs w:val="22"/>
                <w:vertAlign w:val="superscript"/>
              </w:rPr>
              <w:t>3</w:t>
            </w:r>
          </w:p>
        </w:tc>
      </w:tr>
      <w:tr w:rsidR="00C432F1" w:rsidRPr="00797A5A" w14:paraId="2FCA16D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1A27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18.04.2020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CC6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3 091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B65D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18.04.2021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F659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4 012 zł/m</w:t>
            </w:r>
            <w:r w:rsidRPr="00797A5A">
              <w:rPr>
                <w:rFonts w:cs="Times New Roman"/>
                <w:sz w:val="22"/>
                <w:szCs w:val="22"/>
                <w:vertAlign w:val="superscript"/>
              </w:rPr>
              <w:t>3</w:t>
            </w:r>
          </w:p>
        </w:tc>
      </w:tr>
      <w:tr w:rsidR="00C432F1" w:rsidRPr="00797A5A" w14:paraId="1F72AB1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478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19.04.2020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428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3 091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3426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19.04.2021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86CC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4 012 zł/m</w:t>
            </w:r>
            <w:r w:rsidRPr="00797A5A">
              <w:rPr>
                <w:rFonts w:cs="Times New Roman"/>
                <w:sz w:val="22"/>
                <w:szCs w:val="22"/>
                <w:vertAlign w:val="superscript"/>
              </w:rPr>
              <w:t>3</w:t>
            </w:r>
          </w:p>
        </w:tc>
      </w:tr>
      <w:tr w:rsidR="00C432F1" w:rsidRPr="00797A5A" w14:paraId="68C8DF0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A18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20.04.2020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3113"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3 091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E83D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20.04.2021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5869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4 001 zł/m</w:t>
            </w:r>
            <w:r w:rsidRPr="00797A5A">
              <w:rPr>
                <w:rFonts w:cs="Times New Roman"/>
                <w:sz w:val="22"/>
                <w:szCs w:val="22"/>
                <w:vertAlign w:val="superscript"/>
              </w:rPr>
              <w:t>3</w:t>
            </w:r>
          </w:p>
        </w:tc>
      </w:tr>
      <w:tr w:rsidR="00C432F1" w:rsidRPr="00797A5A" w14:paraId="5057448B"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657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21.04.2020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501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3 070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41FE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21.04.2021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8EA0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3 975 zł/m</w:t>
            </w:r>
            <w:r w:rsidRPr="00797A5A">
              <w:rPr>
                <w:rFonts w:cs="Times New Roman"/>
                <w:sz w:val="22"/>
                <w:szCs w:val="22"/>
                <w:vertAlign w:val="superscript"/>
              </w:rPr>
              <w:t>3</w:t>
            </w:r>
          </w:p>
        </w:tc>
      </w:tr>
      <w:tr w:rsidR="00C432F1" w:rsidRPr="00797A5A" w14:paraId="406A86A7"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6A3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22.04.2020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215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3 022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BAEE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22.04.2021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23C9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3 984 zł/m</w:t>
            </w:r>
            <w:r w:rsidRPr="00797A5A">
              <w:rPr>
                <w:rFonts w:cs="Times New Roman"/>
                <w:sz w:val="22"/>
                <w:szCs w:val="22"/>
                <w:vertAlign w:val="superscript"/>
              </w:rPr>
              <w:t>3</w:t>
            </w:r>
          </w:p>
        </w:tc>
      </w:tr>
      <w:tr w:rsidR="00C432F1" w:rsidRPr="00797A5A" w14:paraId="2FC3469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97C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23.04.2020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52D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2 949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FB56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23.04.2021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4E6D4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3 978 zł/m</w:t>
            </w:r>
            <w:r w:rsidRPr="00797A5A">
              <w:rPr>
                <w:rFonts w:cs="Times New Roman"/>
                <w:sz w:val="22"/>
                <w:szCs w:val="22"/>
                <w:vertAlign w:val="superscript"/>
              </w:rPr>
              <w:t>3</w:t>
            </w:r>
          </w:p>
        </w:tc>
      </w:tr>
      <w:tr w:rsidR="00C432F1" w:rsidRPr="00797A5A" w14:paraId="4BA08EF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C3C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24.04.2020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A61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2 954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9BE9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24.04.2021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242F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3 978 zł/m</w:t>
            </w:r>
            <w:r w:rsidRPr="00797A5A">
              <w:rPr>
                <w:rFonts w:cs="Times New Roman"/>
                <w:sz w:val="22"/>
                <w:szCs w:val="22"/>
                <w:vertAlign w:val="superscript"/>
              </w:rPr>
              <w:t>3</w:t>
            </w:r>
          </w:p>
        </w:tc>
      </w:tr>
      <w:tr w:rsidR="00C432F1" w:rsidRPr="00797A5A" w14:paraId="2BC18A2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911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25.04.2020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CD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2 921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B71D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25.04.2021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A823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3 978 zł/m</w:t>
            </w:r>
            <w:r w:rsidRPr="00797A5A">
              <w:rPr>
                <w:rFonts w:cs="Times New Roman"/>
                <w:sz w:val="22"/>
                <w:szCs w:val="22"/>
                <w:vertAlign w:val="superscript"/>
              </w:rPr>
              <w:t>3</w:t>
            </w:r>
          </w:p>
        </w:tc>
      </w:tr>
      <w:tr w:rsidR="00C432F1" w:rsidRPr="00797A5A" w14:paraId="5FC7197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2FC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26.04.2020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3DE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2 921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8CC1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26.04.2021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B332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3 978 zł/m</w:t>
            </w:r>
            <w:r w:rsidRPr="00797A5A">
              <w:rPr>
                <w:rFonts w:cs="Times New Roman"/>
                <w:sz w:val="22"/>
                <w:szCs w:val="22"/>
                <w:vertAlign w:val="superscript"/>
              </w:rPr>
              <w:t>3</w:t>
            </w:r>
          </w:p>
        </w:tc>
      </w:tr>
      <w:tr w:rsidR="00C432F1" w:rsidRPr="00797A5A" w14:paraId="1625B87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CFE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27.04.2020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09E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2 921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6883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27.04.2021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404B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3 971 zł/m</w:t>
            </w:r>
            <w:r w:rsidRPr="00797A5A">
              <w:rPr>
                <w:rFonts w:cs="Times New Roman"/>
                <w:sz w:val="22"/>
                <w:szCs w:val="22"/>
                <w:vertAlign w:val="superscript"/>
              </w:rPr>
              <w:t>3</w:t>
            </w:r>
          </w:p>
        </w:tc>
      </w:tr>
      <w:tr w:rsidR="00C432F1" w:rsidRPr="00797A5A" w14:paraId="0421B0D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D0D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28.04.2020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C9B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2 905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8EDE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28.04.2021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C01E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3 980 zł/m</w:t>
            </w:r>
            <w:r w:rsidRPr="00797A5A">
              <w:rPr>
                <w:rFonts w:cs="Times New Roman"/>
                <w:sz w:val="22"/>
                <w:szCs w:val="22"/>
                <w:vertAlign w:val="superscript"/>
              </w:rPr>
              <w:t>3</w:t>
            </w:r>
          </w:p>
        </w:tc>
      </w:tr>
      <w:tr w:rsidR="00C432F1" w:rsidRPr="00797A5A" w14:paraId="6F71346B"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061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29.04.2020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19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2 876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29E24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29.04.2021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A155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3 994 zł/m</w:t>
            </w:r>
            <w:r w:rsidRPr="00797A5A">
              <w:rPr>
                <w:rFonts w:cs="Times New Roman"/>
                <w:sz w:val="22"/>
                <w:szCs w:val="22"/>
                <w:vertAlign w:val="superscript"/>
              </w:rPr>
              <w:t>3</w:t>
            </w:r>
          </w:p>
        </w:tc>
      </w:tr>
      <w:tr w:rsidR="00C432F1" w:rsidRPr="00797A5A" w14:paraId="5A2CCAF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E53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lastRenderedPageBreak/>
              <w:t>30.04.2020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F14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2 897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B090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30.04.2021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5A37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4 010 zł/m</w:t>
            </w:r>
            <w:r w:rsidRPr="00797A5A">
              <w:rPr>
                <w:rFonts w:cs="Times New Roman"/>
                <w:sz w:val="22"/>
                <w:szCs w:val="22"/>
                <w:vertAlign w:val="superscript"/>
              </w:rPr>
              <w:t>3</w:t>
            </w:r>
          </w:p>
        </w:tc>
      </w:tr>
      <w:tr w:rsidR="00C432F1" w:rsidRPr="00797A5A" w14:paraId="6A2466E7"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811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01.05.2020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9E7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2 937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ECA7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01.05.2021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A9260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4 017 zł/m</w:t>
            </w:r>
            <w:r w:rsidRPr="00797A5A">
              <w:rPr>
                <w:rFonts w:cs="Times New Roman"/>
                <w:sz w:val="22"/>
                <w:szCs w:val="22"/>
                <w:vertAlign w:val="superscript"/>
              </w:rPr>
              <w:t>3</w:t>
            </w:r>
          </w:p>
        </w:tc>
      </w:tr>
      <w:tr w:rsidR="00C432F1" w:rsidRPr="00797A5A" w14:paraId="2C0185F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AB13"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02.05.2020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B4B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2 937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1C9B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02.05.2021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56D5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4 017 zł/m</w:t>
            </w:r>
            <w:r w:rsidRPr="00797A5A">
              <w:rPr>
                <w:rFonts w:cs="Times New Roman"/>
                <w:sz w:val="22"/>
                <w:szCs w:val="22"/>
                <w:vertAlign w:val="superscript"/>
              </w:rPr>
              <w:t>3</w:t>
            </w:r>
          </w:p>
        </w:tc>
      </w:tr>
      <w:tr w:rsidR="00C432F1" w:rsidRPr="00797A5A" w14:paraId="445D1EF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28C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03.05.2020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58E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2 937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5086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03.05.2021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1497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4 017 zł/m</w:t>
            </w:r>
            <w:r w:rsidRPr="00797A5A">
              <w:rPr>
                <w:rFonts w:cs="Times New Roman"/>
                <w:sz w:val="22"/>
                <w:szCs w:val="22"/>
                <w:vertAlign w:val="superscript"/>
              </w:rPr>
              <w:t>3</w:t>
            </w:r>
          </w:p>
        </w:tc>
      </w:tr>
      <w:tr w:rsidR="00C432F1" w:rsidRPr="00797A5A" w14:paraId="7CC0681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F2E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04.05.2020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937F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2 937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954F6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04.05.2021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41D9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4 017 zł/m</w:t>
            </w:r>
            <w:r w:rsidRPr="00797A5A">
              <w:rPr>
                <w:rFonts w:cs="Times New Roman"/>
                <w:sz w:val="22"/>
                <w:szCs w:val="22"/>
                <w:vertAlign w:val="superscript"/>
              </w:rPr>
              <w:t>3</w:t>
            </w:r>
          </w:p>
        </w:tc>
      </w:tr>
      <w:tr w:rsidR="00C432F1" w:rsidRPr="00797A5A" w14:paraId="024EC0C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81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05.05.2020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031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2 936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3779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05.05.2021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0DD8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4 043 zł/m</w:t>
            </w:r>
            <w:r w:rsidRPr="00797A5A">
              <w:rPr>
                <w:rFonts w:cs="Times New Roman"/>
                <w:sz w:val="22"/>
                <w:szCs w:val="22"/>
                <w:vertAlign w:val="superscript"/>
              </w:rPr>
              <w:t>3</w:t>
            </w:r>
          </w:p>
        </w:tc>
      </w:tr>
      <w:tr w:rsidR="00C432F1" w:rsidRPr="00797A5A" w14:paraId="2C2AC4D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A7F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06.05.2020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B89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2 991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BBED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06.05.2021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42DB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4 069 zł/m</w:t>
            </w:r>
            <w:r w:rsidRPr="00797A5A">
              <w:rPr>
                <w:rFonts w:cs="Times New Roman"/>
                <w:sz w:val="22"/>
                <w:szCs w:val="22"/>
                <w:vertAlign w:val="superscript"/>
              </w:rPr>
              <w:t>3</w:t>
            </w:r>
          </w:p>
        </w:tc>
      </w:tr>
      <w:tr w:rsidR="00C432F1" w:rsidRPr="00797A5A" w14:paraId="363B6FD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EFDA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07.05.2020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697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3 005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95DF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07.05.2021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59A4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4 081 zł/m</w:t>
            </w:r>
            <w:r w:rsidRPr="00797A5A">
              <w:rPr>
                <w:rFonts w:cs="Times New Roman"/>
                <w:sz w:val="22"/>
                <w:szCs w:val="22"/>
                <w:vertAlign w:val="superscript"/>
              </w:rPr>
              <w:t>3</w:t>
            </w:r>
          </w:p>
        </w:tc>
      </w:tr>
      <w:tr w:rsidR="00C432F1" w:rsidRPr="00797A5A" w14:paraId="73A6036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E50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08.05.2020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A65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3 039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2658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08.05.2021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DD7A3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4 090 zł/m</w:t>
            </w:r>
            <w:r w:rsidRPr="00797A5A">
              <w:rPr>
                <w:rFonts w:cs="Times New Roman"/>
                <w:sz w:val="22"/>
                <w:szCs w:val="22"/>
                <w:vertAlign w:val="superscript"/>
              </w:rPr>
              <w:t>3</w:t>
            </w:r>
          </w:p>
        </w:tc>
      </w:tr>
      <w:tr w:rsidR="00C432F1" w:rsidRPr="00797A5A" w14:paraId="4C1B2F8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FFC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09.05.2020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3C4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3 039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1F76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09.05.2021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C919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4 090 zł/m</w:t>
            </w:r>
            <w:r w:rsidRPr="00797A5A">
              <w:rPr>
                <w:rFonts w:cs="Times New Roman"/>
                <w:sz w:val="22"/>
                <w:szCs w:val="22"/>
                <w:vertAlign w:val="superscript"/>
              </w:rPr>
              <w:t>3</w:t>
            </w:r>
          </w:p>
        </w:tc>
      </w:tr>
      <w:tr w:rsidR="00C432F1" w:rsidRPr="00797A5A" w14:paraId="7A33A65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C1F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10.05.2020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8AA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3 039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42C0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97F4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4 090 zł/m</w:t>
            </w:r>
            <w:r w:rsidRPr="00797A5A">
              <w:rPr>
                <w:rFonts w:cs="Times New Roman"/>
                <w:sz w:val="22"/>
                <w:szCs w:val="22"/>
                <w:vertAlign w:val="superscript"/>
              </w:rPr>
              <w:t>3</w:t>
            </w:r>
          </w:p>
        </w:tc>
      </w:tr>
      <w:tr w:rsidR="00C432F1" w:rsidRPr="00797A5A" w14:paraId="69E3DF0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688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11.05.2020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19B33"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3 039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BD34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11.05.2021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5769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4 089 zł/m</w:t>
            </w:r>
            <w:r w:rsidRPr="00797A5A">
              <w:rPr>
                <w:rFonts w:cs="Times New Roman"/>
                <w:sz w:val="22"/>
                <w:szCs w:val="22"/>
                <w:vertAlign w:val="superscript"/>
              </w:rPr>
              <w:t>3</w:t>
            </w:r>
          </w:p>
        </w:tc>
      </w:tr>
      <w:tr w:rsidR="00C432F1" w:rsidRPr="00797A5A" w14:paraId="692E650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6E7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12.05.2020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409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3 056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CC2A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12.05.2021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3C2A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4 096 zł/m</w:t>
            </w:r>
            <w:r w:rsidRPr="00797A5A">
              <w:rPr>
                <w:rFonts w:cs="Times New Roman"/>
                <w:sz w:val="22"/>
                <w:szCs w:val="22"/>
                <w:vertAlign w:val="superscript"/>
              </w:rPr>
              <w:t>3</w:t>
            </w:r>
          </w:p>
        </w:tc>
      </w:tr>
      <w:tr w:rsidR="00C432F1" w:rsidRPr="00797A5A" w14:paraId="0E6605D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269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13.05.2020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852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3 061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337E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13.05.2021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373F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4 108 zł/m</w:t>
            </w:r>
            <w:r w:rsidRPr="00797A5A">
              <w:rPr>
                <w:rFonts w:cs="Times New Roman"/>
                <w:sz w:val="22"/>
                <w:szCs w:val="22"/>
                <w:vertAlign w:val="superscript"/>
              </w:rPr>
              <w:t>3</w:t>
            </w:r>
          </w:p>
        </w:tc>
      </w:tr>
      <w:tr w:rsidR="00C432F1" w:rsidRPr="00797A5A" w14:paraId="63E0528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851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14.05.2020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97B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3 055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2826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14.05.2021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270D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4 095 zł/m</w:t>
            </w:r>
            <w:r w:rsidRPr="00797A5A">
              <w:rPr>
                <w:rFonts w:cs="Times New Roman"/>
                <w:sz w:val="22"/>
                <w:szCs w:val="22"/>
                <w:vertAlign w:val="superscript"/>
              </w:rPr>
              <w:t>3</w:t>
            </w:r>
          </w:p>
        </w:tc>
      </w:tr>
      <w:tr w:rsidR="00C432F1" w:rsidRPr="00797A5A" w14:paraId="3D60A37A"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F8F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15.05.2020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CED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3 067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BBCA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15.05.2021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1B16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4 100 zł/m</w:t>
            </w:r>
            <w:r w:rsidRPr="00797A5A">
              <w:rPr>
                <w:rFonts w:cs="Times New Roman"/>
                <w:sz w:val="22"/>
                <w:szCs w:val="22"/>
                <w:vertAlign w:val="superscript"/>
              </w:rPr>
              <w:t>3</w:t>
            </w:r>
          </w:p>
        </w:tc>
      </w:tr>
      <w:tr w:rsidR="00C432F1" w:rsidRPr="00797A5A" w14:paraId="674F92F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42F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16.05.2020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271D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3 105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6636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16.05.2021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1456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4 100 zł/m</w:t>
            </w:r>
            <w:r w:rsidRPr="00797A5A">
              <w:rPr>
                <w:rFonts w:cs="Times New Roman"/>
                <w:sz w:val="22"/>
                <w:szCs w:val="22"/>
                <w:vertAlign w:val="superscript"/>
              </w:rPr>
              <w:t>3</w:t>
            </w:r>
          </w:p>
        </w:tc>
      </w:tr>
      <w:tr w:rsidR="00C432F1" w:rsidRPr="00797A5A" w14:paraId="479B32DD"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53FA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17.05.2020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DF8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3 105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7339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17.05.2021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39AE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4 100 zł/m</w:t>
            </w:r>
            <w:r w:rsidRPr="00797A5A">
              <w:rPr>
                <w:rFonts w:cs="Times New Roman"/>
                <w:sz w:val="22"/>
                <w:szCs w:val="22"/>
                <w:vertAlign w:val="superscript"/>
              </w:rPr>
              <w:t>3</w:t>
            </w:r>
          </w:p>
        </w:tc>
      </w:tr>
      <w:tr w:rsidR="00C432F1" w:rsidRPr="00797A5A" w14:paraId="40FBCE7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2E0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18.05.2020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02B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3 105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FBC9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18.05.2021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3B67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4 107 zł/m</w:t>
            </w:r>
            <w:r w:rsidRPr="00797A5A">
              <w:rPr>
                <w:rFonts w:cs="Times New Roman"/>
                <w:sz w:val="22"/>
                <w:szCs w:val="22"/>
                <w:vertAlign w:val="superscript"/>
              </w:rPr>
              <w:t>3</w:t>
            </w:r>
          </w:p>
        </w:tc>
      </w:tr>
      <w:tr w:rsidR="00C432F1" w:rsidRPr="00797A5A" w14:paraId="5226ACA1"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9AE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19.05.2020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75A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3 196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B149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19.05.2021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194C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4 109 zł/m</w:t>
            </w:r>
            <w:r w:rsidRPr="00797A5A">
              <w:rPr>
                <w:rFonts w:cs="Times New Roman"/>
                <w:sz w:val="22"/>
                <w:szCs w:val="22"/>
                <w:vertAlign w:val="superscript"/>
              </w:rPr>
              <w:t>3</w:t>
            </w:r>
          </w:p>
        </w:tc>
      </w:tr>
      <w:tr w:rsidR="00C432F1" w:rsidRPr="00797A5A" w14:paraId="58C9B14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77C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20.05.2020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E3B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3 246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454C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20.05.2021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41F1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4 041 zł/m</w:t>
            </w:r>
            <w:r w:rsidRPr="00797A5A">
              <w:rPr>
                <w:rFonts w:cs="Times New Roman"/>
                <w:sz w:val="22"/>
                <w:szCs w:val="22"/>
                <w:vertAlign w:val="superscript"/>
              </w:rPr>
              <w:t>3</w:t>
            </w:r>
          </w:p>
        </w:tc>
      </w:tr>
      <w:tr w:rsidR="00C432F1" w:rsidRPr="00797A5A" w14:paraId="48DB28B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27F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21.05.2020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1963"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4A3D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21.05.2021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E1D6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4 046 zł/m</w:t>
            </w:r>
            <w:r w:rsidRPr="00797A5A">
              <w:rPr>
                <w:rFonts w:cs="Times New Roman"/>
                <w:sz w:val="22"/>
                <w:szCs w:val="22"/>
                <w:vertAlign w:val="superscript"/>
              </w:rPr>
              <w:t>3</w:t>
            </w:r>
          </w:p>
        </w:tc>
      </w:tr>
      <w:tr w:rsidR="00C432F1" w:rsidRPr="00797A5A" w14:paraId="0A2EAE3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2A6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22.05.2020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5B28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E70E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22.05.2021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D5C6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4 032 zł/m</w:t>
            </w:r>
            <w:r w:rsidRPr="00797A5A">
              <w:rPr>
                <w:rFonts w:cs="Times New Roman"/>
                <w:sz w:val="22"/>
                <w:szCs w:val="22"/>
                <w:vertAlign w:val="superscript"/>
              </w:rPr>
              <w:t>3</w:t>
            </w:r>
          </w:p>
        </w:tc>
      </w:tr>
      <w:tr w:rsidR="00C432F1" w:rsidRPr="00797A5A" w14:paraId="7705A9E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42C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23.05.2020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B5F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2E2D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23.05.2021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4C2E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4 032 zł/m</w:t>
            </w:r>
            <w:r w:rsidRPr="00797A5A">
              <w:rPr>
                <w:rFonts w:cs="Times New Roman"/>
                <w:sz w:val="22"/>
                <w:szCs w:val="22"/>
                <w:vertAlign w:val="superscript"/>
              </w:rPr>
              <w:t>3</w:t>
            </w:r>
          </w:p>
        </w:tc>
      </w:tr>
      <w:tr w:rsidR="00C432F1" w:rsidRPr="00797A5A" w14:paraId="4B7AEA88"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CD2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24.05.2020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EB2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32F1C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24.05.2021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35B1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4 032 zł/m</w:t>
            </w:r>
            <w:r w:rsidRPr="00797A5A">
              <w:rPr>
                <w:rFonts w:cs="Times New Roman"/>
                <w:sz w:val="22"/>
                <w:szCs w:val="22"/>
                <w:vertAlign w:val="superscript"/>
              </w:rPr>
              <w:t>3</w:t>
            </w:r>
          </w:p>
        </w:tc>
      </w:tr>
      <w:tr w:rsidR="00C432F1" w:rsidRPr="00797A5A" w14:paraId="4AC3F22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476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lastRenderedPageBreak/>
              <w:t>25.05.2020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59F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9677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25.05.2021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3417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4 049 zł/m</w:t>
            </w:r>
            <w:r w:rsidRPr="00797A5A">
              <w:rPr>
                <w:rFonts w:cs="Times New Roman"/>
                <w:sz w:val="22"/>
                <w:szCs w:val="22"/>
                <w:vertAlign w:val="superscript"/>
              </w:rPr>
              <w:t>3</w:t>
            </w:r>
          </w:p>
        </w:tc>
      </w:tr>
      <w:tr w:rsidR="00C432F1" w:rsidRPr="00797A5A" w14:paraId="43DC053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E17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26.05.2020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989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4597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26.05.2021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89C87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4 049 zł/m</w:t>
            </w:r>
            <w:r w:rsidRPr="00797A5A">
              <w:rPr>
                <w:rFonts w:cs="Times New Roman"/>
                <w:sz w:val="22"/>
                <w:szCs w:val="22"/>
                <w:vertAlign w:val="superscript"/>
              </w:rPr>
              <w:t>3</w:t>
            </w:r>
          </w:p>
        </w:tc>
      </w:tr>
      <w:tr w:rsidR="00C432F1" w:rsidRPr="00797A5A" w14:paraId="6C5062D5"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2C6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27.05.2020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836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3 262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0E18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27.05.2021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8F37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4 061 zł/m</w:t>
            </w:r>
            <w:r w:rsidRPr="00797A5A">
              <w:rPr>
                <w:rFonts w:cs="Times New Roman"/>
                <w:sz w:val="22"/>
                <w:szCs w:val="22"/>
                <w:vertAlign w:val="superscript"/>
              </w:rPr>
              <w:t>3</w:t>
            </w:r>
          </w:p>
        </w:tc>
      </w:tr>
      <w:tr w:rsidR="00C432F1" w:rsidRPr="00797A5A" w14:paraId="359DBCB7"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8056"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28.05.2020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3FE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3 247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55B6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28.05.2021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FBB3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4 067 zł/m</w:t>
            </w:r>
            <w:r w:rsidRPr="00797A5A">
              <w:rPr>
                <w:rFonts w:cs="Times New Roman"/>
                <w:sz w:val="22"/>
                <w:szCs w:val="22"/>
                <w:vertAlign w:val="superscript"/>
              </w:rPr>
              <w:t>3</w:t>
            </w:r>
          </w:p>
        </w:tc>
      </w:tr>
      <w:tr w:rsidR="00C432F1" w:rsidRPr="00797A5A" w14:paraId="4F5602F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97D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29.05.2020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DBE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3 237  zł/m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B952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29.05.2021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6563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4 079 zł/m</w:t>
            </w:r>
            <w:r w:rsidRPr="00797A5A">
              <w:rPr>
                <w:rFonts w:cs="Times New Roman"/>
                <w:sz w:val="22"/>
                <w:szCs w:val="22"/>
                <w:vertAlign w:val="superscript"/>
              </w:rPr>
              <w:t>3</w:t>
            </w:r>
          </w:p>
        </w:tc>
      </w:tr>
      <w:tr w:rsidR="00C432F1" w:rsidRPr="00797A5A" w14:paraId="143E91E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F9F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30.05.2020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7DB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3 227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C787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30.05.2021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56708"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4 079 zł/m</w:t>
            </w:r>
            <w:r w:rsidRPr="00797A5A">
              <w:rPr>
                <w:rFonts w:cs="Times New Roman"/>
                <w:sz w:val="22"/>
                <w:szCs w:val="22"/>
                <w:vertAlign w:val="superscript"/>
              </w:rPr>
              <w:t>3</w:t>
            </w:r>
          </w:p>
        </w:tc>
      </w:tr>
      <w:tr w:rsidR="00C432F1" w:rsidRPr="00797A5A" w14:paraId="115C4B2E"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DEE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31.05.2020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7F0A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3 227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9211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31.05.2021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7866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4 079 zł/m</w:t>
            </w:r>
            <w:r w:rsidRPr="00797A5A">
              <w:rPr>
                <w:rFonts w:cs="Times New Roman"/>
                <w:sz w:val="22"/>
                <w:szCs w:val="22"/>
                <w:vertAlign w:val="superscript"/>
              </w:rPr>
              <w:t>3</w:t>
            </w:r>
          </w:p>
        </w:tc>
      </w:tr>
      <w:tr w:rsidR="00C432F1" w:rsidRPr="00797A5A" w14:paraId="09550C5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DFC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01.06.2020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AF3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3 227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982F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01.06.2021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2F6D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4 079 zł/m</w:t>
            </w:r>
            <w:r w:rsidRPr="00797A5A">
              <w:rPr>
                <w:rFonts w:cs="Times New Roman"/>
                <w:sz w:val="22"/>
                <w:szCs w:val="22"/>
                <w:vertAlign w:val="superscript"/>
              </w:rPr>
              <w:t>3</w:t>
            </w:r>
          </w:p>
        </w:tc>
      </w:tr>
      <w:tr w:rsidR="00C432F1" w:rsidRPr="00797A5A" w14:paraId="44E4C1E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7AA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02.06.2020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5DB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3 238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0527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02.06.2021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9D45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4 095 zł/m</w:t>
            </w:r>
            <w:r w:rsidRPr="00797A5A">
              <w:rPr>
                <w:rFonts w:cs="Times New Roman"/>
                <w:sz w:val="22"/>
                <w:szCs w:val="22"/>
                <w:vertAlign w:val="superscript"/>
              </w:rPr>
              <w:t>3</w:t>
            </w:r>
          </w:p>
        </w:tc>
      </w:tr>
      <w:tr w:rsidR="00C432F1" w:rsidRPr="00797A5A" w14:paraId="709F0CB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D8F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03.06.2020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988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3 261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9601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03.06.2021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850C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4 113 zł/m</w:t>
            </w:r>
            <w:r w:rsidRPr="00797A5A">
              <w:rPr>
                <w:rFonts w:cs="Times New Roman"/>
                <w:sz w:val="22"/>
                <w:szCs w:val="22"/>
                <w:vertAlign w:val="superscript"/>
              </w:rPr>
              <w:t>3</w:t>
            </w:r>
          </w:p>
        </w:tc>
      </w:tr>
      <w:tr w:rsidR="00C432F1" w:rsidRPr="00797A5A" w14:paraId="64AC94B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04C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04.06.2020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0B9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3 280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5ED7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04.06.2021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38B8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4 113 zł/m</w:t>
            </w:r>
            <w:r w:rsidRPr="00797A5A">
              <w:rPr>
                <w:rFonts w:cs="Times New Roman"/>
                <w:sz w:val="22"/>
                <w:szCs w:val="22"/>
                <w:vertAlign w:val="superscript"/>
              </w:rPr>
              <w:t>3</w:t>
            </w:r>
          </w:p>
        </w:tc>
      </w:tr>
      <w:tr w:rsidR="00C432F1" w:rsidRPr="00797A5A" w14:paraId="5CFD63F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B58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05.06.2020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CFD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3 279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EF50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05.06.2021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AD9A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4 113 zł/m</w:t>
            </w:r>
            <w:r w:rsidRPr="00797A5A">
              <w:rPr>
                <w:rFonts w:cs="Times New Roman"/>
                <w:sz w:val="22"/>
                <w:szCs w:val="22"/>
                <w:vertAlign w:val="superscript"/>
              </w:rPr>
              <w:t>3</w:t>
            </w:r>
          </w:p>
        </w:tc>
      </w:tr>
      <w:tr w:rsidR="00C432F1" w:rsidRPr="00797A5A" w14:paraId="392E4E71"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E0D3"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06.06.2020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FB6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3 309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9AF4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06.06.2021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52EB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4 113 zł/m</w:t>
            </w:r>
            <w:r w:rsidRPr="00797A5A">
              <w:rPr>
                <w:rFonts w:cs="Times New Roman"/>
                <w:sz w:val="22"/>
                <w:szCs w:val="22"/>
                <w:vertAlign w:val="superscript"/>
              </w:rPr>
              <w:t>3</w:t>
            </w:r>
          </w:p>
        </w:tc>
      </w:tr>
      <w:tr w:rsidR="00C432F1" w:rsidRPr="00797A5A" w14:paraId="59C5366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19B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07.06.2020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B8B6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3 309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0976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07.06.2021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E581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4 113 zł/m</w:t>
            </w:r>
            <w:r w:rsidRPr="00797A5A">
              <w:rPr>
                <w:rFonts w:cs="Times New Roman"/>
                <w:sz w:val="22"/>
                <w:szCs w:val="22"/>
                <w:vertAlign w:val="superscript"/>
              </w:rPr>
              <w:t>3</w:t>
            </w:r>
          </w:p>
        </w:tc>
      </w:tr>
      <w:tr w:rsidR="00C432F1" w:rsidRPr="00797A5A" w14:paraId="3986AD3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F58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08.06.2020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F81D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3 309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5766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08.06.2021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CA1C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4 146 zł/m</w:t>
            </w:r>
            <w:r w:rsidRPr="00797A5A">
              <w:rPr>
                <w:rFonts w:cs="Times New Roman"/>
                <w:sz w:val="22"/>
                <w:szCs w:val="22"/>
                <w:vertAlign w:val="superscript"/>
              </w:rPr>
              <w:t>3</w:t>
            </w:r>
          </w:p>
        </w:tc>
      </w:tr>
      <w:tr w:rsidR="00C432F1" w:rsidRPr="00797A5A" w14:paraId="2260241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64E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09.06.2020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CB6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3 336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B69F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09.06.2021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CF50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4 148 zł/m</w:t>
            </w:r>
            <w:r w:rsidRPr="00797A5A">
              <w:rPr>
                <w:rFonts w:cs="Times New Roman"/>
                <w:sz w:val="22"/>
                <w:szCs w:val="22"/>
                <w:vertAlign w:val="superscript"/>
              </w:rPr>
              <w:t>3</w:t>
            </w:r>
          </w:p>
        </w:tc>
      </w:tr>
      <w:tr w:rsidR="00C432F1" w:rsidRPr="00797A5A" w14:paraId="009D0CA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7D4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10.06.2020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A3C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3 346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3E01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10.06.2021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9401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4 145 zł/m</w:t>
            </w:r>
            <w:r w:rsidRPr="00797A5A">
              <w:rPr>
                <w:rFonts w:cs="Times New Roman"/>
                <w:sz w:val="22"/>
                <w:szCs w:val="22"/>
                <w:vertAlign w:val="superscript"/>
              </w:rPr>
              <w:t>3</w:t>
            </w:r>
          </w:p>
        </w:tc>
      </w:tr>
      <w:tr w:rsidR="00C432F1" w:rsidRPr="00797A5A" w14:paraId="764EB42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A0E2D"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11.06.2020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99B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3 365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C42E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11.06.2021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FA7A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4 155 zł/m</w:t>
            </w:r>
            <w:r w:rsidRPr="00797A5A">
              <w:rPr>
                <w:rFonts w:cs="Times New Roman"/>
                <w:sz w:val="22"/>
                <w:szCs w:val="22"/>
                <w:vertAlign w:val="superscript"/>
              </w:rPr>
              <w:t>3</w:t>
            </w:r>
          </w:p>
        </w:tc>
      </w:tr>
      <w:tr w:rsidR="00C432F1" w:rsidRPr="00797A5A" w14:paraId="4F94F1B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7F9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12.06.2020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5D4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3 365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7768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12.06.2021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AC0DA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4 164 zł/m</w:t>
            </w:r>
            <w:r w:rsidRPr="00797A5A">
              <w:rPr>
                <w:rFonts w:cs="Times New Roman"/>
                <w:sz w:val="22"/>
                <w:szCs w:val="22"/>
                <w:vertAlign w:val="superscript"/>
              </w:rPr>
              <w:t>3</w:t>
            </w:r>
          </w:p>
        </w:tc>
      </w:tr>
      <w:tr w:rsidR="00C432F1" w:rsidRPr="00797A5A" w14:paraId="612F273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29A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13.06.2020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E74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3 340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489C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13.06.2021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72123"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4 164 zł/m</w:t>
            </w:r>
            <w:r w:rsidRPr="00797A5A">
              <w:rPr>
                <w:rFonts w:cs="Times New Roman"/>
                <w:sz w:val="22"/>
                <w:szCs w:val="22"/>
                <w:vertAlign w:val="superscript"/>
              </w:rPr>
              <w:t>3</w:t>
            </w:r>
          </w:p>
        </w:tc>
      </w:tr>
      <w:tr w:rsidR="00C432F1" w:rsidRPr="00797A5A" w14:paraId="6331B6C1"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1BC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14.06.2020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CD6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3 340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9F11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14.06.2021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3E4E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4 164 zł/m</w:t>
            </w:r>
            <w:r w:rsidRPr="00797A5A">
              <w:rPr>
                <w:rFonts w:cs="Times New Roman"/>
                <w:sz w:val="22"/>
                <w:szCs w:val="22"/>
                <w:vertAlign w:val="superscript"/>
              </w:rPr>
              <w:t>3</w:t>
            </w:r>
          </w:p>
        </w:tc>
      </w:tr>
      <w:tr w:rsidR="00C432F1" w:rsidRPr="00797A5A" w14:paraId="7FEAC60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CEA7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15.06.2020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EE11"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3 340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8A7F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15.06.2021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F910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4 177 zł/m</w:t>
            </w:r>
            <w:r w:rsidRPr="00797A5A">
              <w:rPr>
                <w:rFonts w:cs="Times New Roman"/>
                <w:sz w:val="22"/>
                <w:szCs w:val="22"/>
                <w:vertAlign w:val="superscript"/>
              </w:rPr>
              <w:t>3</w:t>
            </w:r>
          </w:p>
        </w:tc>
      </w:tr>
      <w:tr w:rsidR="00C432F1" w:rsidRPr="00797A5A" w14:paraId="2935692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EAE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16.06.2020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985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3 343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AA47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16.06.2021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4037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4 186 zł/m</w:t>
            </w:r>
            <w:r w:rsidRPr="00797A5A">
              <w:rPr>
                <w:rFonts w:cs="Times New Roman"/>
                <w:sz w:val="22"/>
                <w:szCs w:val="22"/>
                <w:vertAlign w:val="superscript"/>
              </w:rPr>
              <w:t>3</w:t>
            </w:r>
          </w:p>
        </w:tc>
      </w:tr>
      <w:tr w:rsidR="00C432F1" w:rsidRPr="00797A5A" w14:paraId="063943E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129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17.06.2020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729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3 350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9AE8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17.06.2021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91B4D"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4 206 zł/m</w:t>
            </w:r>
            <w:r w:rsidRPr="00797A5A">
              <w:rPr>
                <w:rFonts w:cs="Times New Roman"/>
                <w:sz w:val="22"/>
                <w:szCs w:val="22"/>
                <w:vertAlign w:val="superscript"/>
              </w:rPr>
              <w:t>3</w:t>
            </w:r>
          </w:p>
        </w:tc>
      </w:tr>
      <w:tr w:rsidR="00C432F1" w:rsidRPr="00797A5A" w14:paraId="7614563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89B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18.06.2020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514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3 365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6527E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18.06.2021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84AA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4 219 zł/m</w:t>
            </w:r>
            <w:r w:rsidRPr="00797A5A">
              <w:rPr>
                <w:rFonts w:cs="Times New Roman"/>
                <w:sz w:val="22"/>
                <w:szCs w:val="22"/>
                <w:vertAlign w:val="superscript"/>
              </w:rPr>
              <w:t>3</w:t>
            </w:r>
          </w:p>
        </w:tc>
      </w:tr>
      <w:tr w:rsidR="00C432F1" w:rsidRPr="00797A5A" w14:paraId="7DDC27C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D21C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lastRenderedPageBreak/>
              <w:t>19.06.2020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B04"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3 381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2C30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19.06.2021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02A8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4 226 zł/m</w:t>
            </w:r>
            <w:r w:rsidRPr="00797A5A">
              <w:rPr>
                <w:rFonts w:cs="Times New Roman"/>
                <w:sz w:val="22"/>
                <w:szCs w:val="22"/>
                <w:vertAlign w:val="superscript"/>
              </w:rPr>
              <w:t>3</w:t>
            </w:r>
          </w:p>
        </w:tc>
      </w:tr>
      <w:tr w:rsidR="00C432F1" w:rsidRPr="00797A5A" w14:paraId="453EC094"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DF2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20.06.2020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712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3 397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34E5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20.06.2021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1810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4 226 zł/m</w:t>
            </w:r>
            <w:r w:rsidRPr="00797A5A">
              <w:rPr>
                <w:rFonts w:cs="Times New Roman"/>
                <w:sz w:val="22"/>
                <w:szCs w:val="22"/>
                <w:vertAlign w:val="superscript"/>
              </w:rPr>
              <w:t>3</w:t>
            </w:r>
          </w:p>
        </w:tc>
      </w:tr>
      <w:tr w:rsidR="00C432F1" w:rsidRPr="00797A5A" w14:paraId="27C117E3"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D6F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21.06.2020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9C7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3 397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4802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21.06.2021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5733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4 226 zł/m</w:t>
            </w:r>
            <w:r w:rsidRPr="00797A5A">
              <w:rPr>
                <w:rFonts w:cs="Times New Roman"/>
                <w:sz w:val="22"/>
                <w:szCs w:val="22"/>
                <w:vertAlign w:val="superscript"/>
              </w:rPr>
              <w:t>3</w:t>
            </w:r>
          </w:p>
        </w:tc>
      </w:tr>
      <w:tr w:rsidR="00C432F1" w:rsidRPr="00797A5A" w14:paraId="73A590D1"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275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22.06.2020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7560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3 397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ACDB5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22.06.2021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8197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4 232 zł/m</w:t>
            </w:r>
            <w:r w:rsidRPr="00797A5A">
              <w:rPr>
                <w:rFonts w:cs="Times New Roman"/>
                <w:sz w:val="22"/>
                <w:szCs w:val="22"/>
                <w:vertAlign w:val="superscript"/>
              </w:rPr>
              <w:t>3</w:t>
            </w:r>
          </w:p>
        </w:tc>
      </w:tr>
      <w:tr w:rsidR="00C432F1" w:rsidRPr="00797A5A" w14:paraId="15698E1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90AC"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23.06.2020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DBF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3 442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D950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23.06.2021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9A02C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4 249 zł/m</w:t>
            </w:r>
            <w:r w:rsidRPr="00797A5A">
              <w:rPr>
                <w:rFonts w:cs="Times New Roman"/>
                <w:sz w:val="22"/>
                <w:szCs w:val="22"/>
                <w:vertAlign w:val="superscript"/>
              </w:rPr>
              <w:t>3</w:t>
            </w:r>
          </w:p>
        </w:tc>
      </w:tr>
      <w:tr w:rsidR="00C432F1" w:rsidRPr="00797A5A" w14:paraId="60F8A77C"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131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24.06.2020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54F4A"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3 446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FC65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24.06.2021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8C634"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4 259 zł/m</w:t>
            </w:r>
            <w:r w:rsidRPr="00797A5A">
              <w:rPr>
                <w:rFonts w:cs="Times New Roman"/>
                <w:sz w:val="22"/>
                <w:szCs w:val="22"/>
                <w:vertAlign w:val="superscript"/>
              </w:rPr>
              <w:t>3</w:t>
            </w:r>
          </w:p>
        </w:tc>
      </w:tr>
      <w:tr w:rsidR="00C432F1" w:rsidRPr="00797A5A" w14:paraId="3C006515"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1DC8"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25.06.2020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646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3 420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DF96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25.06.2021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65FA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4 264 zł/m</w:t>
            </w:r>
            <w:r w:rsidRPr="00797A5A">
              <w:rPr>
                <w:rFonts w:cs="Times New Roman"/>
                <w:sz w:val="22"/>
                <w:szCs w:val="22"/>
                <w:vertAlign w:val="superscript"/>
              </w:rPr>
              <w:t>3</w:t>
            </w:r>
          </w:p>
        </w:tc>
      </w:tr>
      <w:tr w:rsidR="00C432F1" w:rsidRPr="00797A5A" w14:paraId="2417DD2D"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A12E"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26.06.2020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57A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3 387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5518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26.06.2021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6445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4 263 zł/m</w:t>
            </w:r>
            <w:r w:rsidRPr="00797A5A">
              <w:rPr>
                <w:rFonts w:cs="Times New Roman"/>
                <w:sz w:val="22"/>
                <w:szCs w:val="22"/>
                <w:vertAlign w:val="superscript"/>
              </w:rPr>
              <w:t>3</w:t>
            </w:r>
          </w:p>
        </w:tc>
      </w:tr>
      <w:tr w:rsidR="00C432F1" w:rsidRPr="00797A5A" w14:paraId="27C62822"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CC397"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27.06.2020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5332"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3 368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C68B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27.06.2021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B617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4 263 zł/m</w:t>
            </w:r>
            <w:r w:rsidRPr="00797A5A">
              <w:rPr>
                <w:rFonts w:cs="Times New Roman"/>
                <w:sz w:val="22"/>
                <w:szCs w:val="22"/>
                <w:vertAlign w:val="superscript"/>
              </w:rPr>
              <w:t>3</w:t>
            </w:r>
          </w:p>
        </w:tc>
      </w:tr>
      <w:tr w:rsidR="00C432F1" w:rsidRPr="00797A5A" w14:paraId="1C17FCFB"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726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28.06.2020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788EB"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3 368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CA5DE"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28.06.2021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4114A"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4 263 zł/m</w:t>
            </w:r>
            <w:r w:rsidRPr="00797A5A">
              <w:rPr>
                <w:rFonts w:cs="Times New Roman"/>
                <w:sz w:val="22"/>
                <w:szCs w:val="22"/>
                <w:vertAlign w:val="superscript"/>
              </w:rPr>
              <w:t>3</w:t>
            </w:r>
          </w:p>
        </w:tc>
      </w:tr>
      <w:tr w:rsidR="00C432F1" w:rsidRPr="00797A5A" w14:paraId="2BB11F2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EC65"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29.06.2020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B5E9"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3 368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46F9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29.06.2021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A5D7B"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4 256 zł/m</w:t>
            </w:r>
            <w:r w:rsidRPr="00797A5A">
              <w:rPr>
                <w:rFonts w:cs="Times New Roman"/>
                <w:sz w:val="22"/>
                <w:szCs w:val="22"/>
                <w:vertAlign w:val="superscript"/>
              </w:rPr>
              <w:t>3</w:t>
            </w:r>
          </w:p>
        </w:tc>
      </w:tr>
      <w:tr w:rsidR="00C432F1" w:rsidRPr="00797A5A" w14:paraId="40F4E6C6"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3BD0"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30.06.2020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852F" w14:textId="77777777" w:rsidR="00C432F1" w:rsidRPr="00797A5A" w:rsidRDefault="00C432F1" w:rsidP="00C62EC8">
            <w:pPr>
              <w:rPr>
                <w:rFonts w:ascii="Times New Roman" w:hAnsi="Times New Roman" w:cs="Times New Roman"/>
                <w:sz w:val="22"/>
              </w:rPr>
            </w:pPr>
            <w:r w:rsidRPr="00797A5A">
              <w:rPr>
                <w:rFonts w:ascii="Times New Roman" w:hAnsi="Times New Roman" w:cs="Times New Roman"/>
                <w:sz w:val="22"/>
              </w:rPr>
              <w:t>3 360 zł/ m</w:t>
            </w:r>
            <w:r w:rsidRPr="00797A5A">
              <w:rPr>
                <w:rFonts w:ascii="Times New Roman" w:hAnsi="Times New Roman" w:cs="Times New Roman"/>
                <w:sz w:val="22"/>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64820"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30.06.2021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9A46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4 255 zł/m</w:t>
            </w:r>
            <w:r w:rsidRPr="00797A5A">
              <w:rPr>
                <w:rFonts w:cs="Times New Roman"/>
                <w:sz w:val="22"/>
                <w:szCs w:val="22"/>
                <w:vertAlign w:val="superscript"/>
              </w:rPr>
              <w:t>3</w:t>
            </w:r>
          </w:p>
        </w:tc>
      </w:tr>
      <w:tr w:rsidR="00C432F1" w:rsidRPr="00797A5A" w14:paraId="62207439"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0E3A" w14:textId="77777777" w:rsidR="00C432F1" w:rsidRPr="00797A5A" w:rsidRDefault="00C432F1" w:rsidP="00C62EC8">
            <w:pPr>
              <w:pStyle w:val="Textbody"/>
              <w:spacing w:after="0"/>
              <w:jc w:val="right"/>
              <w:rPr>
                <w:rFonts w:cs="Times New Roman"/>
                <w:sz w:val="22"/>
                <w:szCs w:val="22"/>
              </w:rPr>
            </w:pPr>
            <w:r w:rsidRPr="00797A5A">
              <w:rPr>
                <w:rFonts w:cs="Times New Roman"/>
                <w:sz w:val="22"/>
                <w:szCs w:val="22"/>
              </w:rPr>
              <w:t>średnia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87CF"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3 181,36 zł/m3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2E7A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średnia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D5771"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4 082,01 zł/m</w:t>
            </w:r>
            <w:r w:rsidRPr="00797A5A">
              <w:rPr>
                <w:rFonts w:cs="Times New Roman"/>
                <w:sz w:val="22"/>
                <w:szCs w:val="22"/>
                <w:vertAlign w:val="superscript"/>
              </w:rPr>
              <w:t>3</w:t>
            </w:r>
          </w:p>
        </w:tc>
      </w:tr>
    </w:tbl>
    <w:p w14:paraId="1217A506" w14:textId="77777777" w:rsidR="00C432F1" w:rsidRPr="00797A5A" w:rsidRDefault="00C432F1" w:rsidP="00C432F1">
      <w:pPr>
        <w:pStyle w:val="Textbody"/>
        <w:rPr>
          <w:rFonts w:cs="Times New Roman"/>
          <w:sz w:val="22"/>
          <w:szCs w:val="22"/>
        </w:rPr>
      </w:pPr>
    </w:p>
    <w:tbl>
      <w:tblPr>
        <w:tblW w:w="9628" w:type="dxa"/>
        <w:tblCellMar>
          <w:left w:w="10" w:type="dxa"/>
          <w:right w:w="10" w:type="dxa"/>
        </w:tblCellMar>
        <w:tblLook w:val="04A0" w:firstRow="1" w:lastRow="0" w:firstColumn="1" w:lastColumn="0" w:noHBand="0" w:noVBand="1"/>
      </w:tblPr>
      <w:tblGrid>
        <w:gridCol w:w="1838"/>
        <w:gridCol w:w="2448"/>
        <w:gridCol w:w="2507"/>
        <w:gridCol w:w="2835"/>
      </w:tblGrid>
      <w:tr w:rsidR="00C432F1" w:rsidRPr="00797A5A" w14:paraId="385F7F10"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228364"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kwartał</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74D40" w14:textId="77777777" w:rsidR="00C432F1" w:rsidRPr="00797A5A" w:rsidRDefault="00C432F1" w:rsidP="00C62EC8">
            <w:pPr>
              <w:pStyle w:val="Textbody"/>
              <w:jc w:val="center"/>
              <w:rPr>
                <w:rFonts w:cs="Times New Roman"/>
                <w:sz w:val="22"/>
                <w:szCs w:val="22"/>
              </w:rPr>
            </w:pPr>
            <w:r w:rsidRPr="00797A5A">
              <w:rPr>
                <w:rFonts w:eastAsia="Times New Roman" w:cs="Times New Roman"/>
                <w:color w:val="000000"/>
                <w:kern w:val="0"/>
                <w:sz w:val="22"/>
                <w:szCs w:val="22"/>
                <w:lang w:eastAsia="pl-PL" w:bidi="ar-SA"/>
              </w:rPr>
              <w:t>średniej arytmetyczna ceny hurtowej Oleju Napędowego Ekodiesel według PKN Orlen</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FB5364"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analogiczny okres roku poprzedniego = 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BACD37"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Wskaźnik WP</w:t>
            </w:r>
          </w:p>
        </w:tc>
      </w:tr>
      <w:tr w:rsidR="00C432F1" w:rsidRPr="00797A5A" w14:paraId="763F4E97" w14:textId="77777777" w:rsidTr="00797A5A">
        <w:trPr>
          <w:trHeight w:val="1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589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43A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3 181,36 zł/m3</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EDFA5"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6A5B1"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w:t>
            </w:r>
          </w:p>
        </w:tc>
      </w:tr>
      <w:tr w:rsidR="00C432F1" w:rsidRPr="00797A5A" w14:paraId="70BA0A67" w14:textId="77777777" w:rsidTr="00797A5A">
        <w:trPr>
          <w:trHeight w:val="1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E825"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C5DC"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4 082,01 zł/m3</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574A7C"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128,31</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14E69" w14:textId="77777777" w:rsidR="00C432F1" w:rsidRPr="00797A5A" w:rsidRDefault="00C432F1" w:rsidP="00C62EC8">
            <w:pPr>
              <w:pStyle w:val="Textbody"/>
              <w:spacing w:after="0"/>
              <w:jc w:val="center"/>
              <w:rPr>
                <w:rFonts w:cs="Times New Roman"/>
                <w:b/>
                <w:sz w:val="22"/>
                <w:szCs w:val="22"/>
              </w:rPr>
            </w:pPr>
            <w:r w:rsidRPr="00797A5A">
              <w:rPr>
                <w:rFonts w:cs="Times New Roman"/>
                <w:b/>
                <w:sz w:val="22"/>
                <w:szCs w:val="22"/>
              </w:rPr>
              <w:t>28,31%</w:t>
            </w:r>
          </w:p>
        </w:tc>
      </w:tr>
    </w:tbl>
    <w:p w14:paraId="2C2DFFB7" w14:textId="77777777" w:rsidR="00C432F1" w:rsidRPr="00797A5A" w:rsidRDefault="00C432F1" w:rsidP="00C432F1">
      <w:pPr>
        <w:pStyle w:val="Textbody"/>
        <w:ind w:left="720"/>
        <w:rPr>
          <w:rFonts w:cs="Times New Roman"/>
          <w:b/>
          <w:sz w:val="22"/>
          <w:szCs w:val="22"/>
        </w:rPr>
      </w:pPr>
    </w:p>
    <w:p w14:paraId="55E6E9D8" w14:textId="77777777" w:rsidR="00C432F1" w:rsidRPr="00797A5A" w:rsidRDefault="00C432F1" w:rsidP="00C432F1">
      <w:pPr>
        <w:pStyle w:val="Textbody"/>
        <w:ind w:left="720"/>
        <w:rPr>
          <w:rFonts w:cs="Times New Roman"/>
          <w:b/>
          <w:sz w:val="22"/>
          <w:szCs w:val="22"/>
        </w:rPr>
      </w:pPr>
      <w:r w:rsidRPr="00797A5A">
        <w:rPr>
          <w:rFonts w:cs="Times New Roman"/>
          <w:b/>
          <w:sz w:val="22"/>
          <w:szCs w:val="22"/>
        </w:rPr>
        <w:t>WE: 4,33 %</w:t>
      </w:r>
    </w:p>
    <w:tbl>
      <w:tblPr>
        <w:tblW w:w="9628" w:type="dxa"/>
        <w:tblCellMar>
          <w:left w:w="10" w:type="dxa"/>
          <w:right w:w="10" w:type="dxa"/>
        </w:tblCellMar>
        <w:tblLook w:val="04A0" w:firstRow="1" w:lastRow="0" w:firstColumn="1" w:lastColumn="0" w:noHBand="0" w:noVBand="1"/>
      </w:tblPr>
      <w:tblGrid>
        <w:gridCol w:w="1838"/>
        <w:gridCol w:w="2448"/>
        <w:gridCol w:w="2507"/>
        <w:gridCol w:w="2835"/>
      </w:tblGrid>
      <w:tr w:rsidR="00C432F1" w:rsidRPr="00797A5A" w14:paraId="7149CE6F" w14:textId="77777777" w:rsidTr="00797A5A">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5EB6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kwartał</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590E" w14:textId="77777777" w:rsidR="00C432F1" w:rsidRPr="00797A5A" w:rsidRDefault="00C432F1" w:rsidP="00C62EC8">
            <w:pPr>
              <w:pStyle w:val="Textbody"/>
              <w:rPr>
                <w:rFonts w:cs="Times New Roman"/>
                <w:sz w:val="22"/>
                <w:szCs w:val="22"/>
              </w:rPr>
            </w:pPr>
            <w:r w:rsidRPr="00797A5A">
              <w:rPr>
                <w:rFonts w:eastAsia="Times New Roman" w:cs="Times New Roman"/>
                <w:color w:val="000000"/>
                <w:kern w:val="0"/>
                <w:sz w:val="22"/>
                <w:szCs w:val="22"/>
                <w:lang w:eastAsia="pl-PL" w:bidi="ar-SA"/>
              </w:rPr>
              <w:t>średnia kwartalna cena sprzedaży energii elektrycznej na rynku konkurencyjnym [zł/MWh]</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196659"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analogiczny okres roku poprzedniego = 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82C56"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Wskaźnik WE</w:t>
            </w:r>
          </w:p>
        </w:tc>
      </w:tr>
      <w:tr w:rsidR="00C432F1" w:rsidRPr="00797A5A" w14:paraId="20F845BA" w14:textId="77777777" w:rsidTr="00797A5A">
        <w:trPr>
          <w:trHeight w:val="1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6772"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4246"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245,36</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D6AAB"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20A0C"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w:t>
            </w:r>
          </w:p>
        </w:tc>
      </w:tr>
      <w:tr w:rsidR="00C432F1" w:rsidRPr="00797A5A" w14:paraId="68B7A074" w14:textId="77777777" w:rsidTr="00797A5A">
        <w:trPr>
          <w:trHeight w:val="11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C277" w14:textId="77777777" w:rsidR="00C432F1" w:rsidRPr="00797A5A" w:rsidRDefault="00C432F1" w:rsidP="00C62EC8">
            <w:pPr>
              <w:pStyle w:val="Textbody"/>
              <w:spacing w:after="0"/>
              <w:rPr>
                <w:rFonts w:cs="Times New Roman"/>
                <w:sz w:val="22"/>
                <w:szCs w:val="22"/>
              </w:rPr>
            </w:pPr>
            <w:r w:rsidRPr="00797A5A">
              <w:rPr>
                <w:rFonts w:cs="Times New Roman"/>
                <w:sz w:val="22"/>
                <w:szCs w:val="22"/>
              </w:rPr>
              <w:t>II kw. 2021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3D87"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255,99</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A125E7"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104,33</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80227" w14:textId="77777777" w:rsidR="00C432F1" w:rsidRPr="00797A5A" w:rsidRDefault="00C432F1" w:rsidP="00C62EC8">
            <w:pPr>
              <w:pStyle w:val="Textbody"/>
              <w:spacing w:after="0"/>
              <w:jc w:val="center"/>
              <w:rPr>
                <w:rFonts w:cs="Times New Roman"/>
                <w:sz w:val="22"/>
                <w:szCs w:val="22"/>
              </w:rPr>
            </w:pPr>
            <w:r w:rsidRPr="00797A5A">
              <w:rPr>
                <w:rFonts w:cs="Times New Roman"/>
                <w:sz w:val="22"/>
                <w:szCs w:val="22"/>
              </w:rPr>
              <w:t>4,33%</w:t>
            </w:r>
          </w:p>
        </w:tc>
      </w:tr>
    </w:tbl>
    <w:p w14:paraId="67937FF1" w14:textId="77777777" w:rsidR="00C432F1" w:rsidRPr="00797A5A" w:rsidRDefault="00C432F1" w:rsidP="00C432F1">
      <w:pPr>
        <w:pStyle w:val="Textbody"/>
        <w:rPr>
          <w:rFonts w:cs="Times New Roman"/>
          <w:b/>
          <w:sz w:val="22"/>
          <w:szCs w:val="22"/>
        </w:rPr>
      </w:pPr>
    </w:p>
    <w:p w14:paraId="20A03FC8" w14:textId="77777777" w:rsidR="00C432F1" w:rsidRPr="00797A5A" w:rsidRDefault="00C432F1" w:rsidP="00C432F1">
      <w:pPr>
        <w:pStyle w:val="Textbody"/>
        <w:rPr>
          <w:rFonts w:cs="Times New Roman"/>
          <w:b/>
          <w:sz w:val="22"/>
          <w:szCs w:val="22"/>
        </w:rPr>
      </w:pPr>
      <w:r w:rsidRPr="00797A5A">
        <w:rPr>
          <w:rFonts w:cs="Times New Roman"/>
          <w:b/>
          <w:sz w:val="22"/>
          <w:szCs w:val="22"/>
        </w:rPr>
        <w:t>Podsumowanie:</w:t>
      </w:r>
    </w:p>
    <w:p w14:paraId="3EBB9F77" w14:textId="4D98AA15" w:rsidR="00C432F1" w:rsidRPr="00797A5A" w:rsidRDefault="008F108E" w:rsidP="00C432F1">
      <w:pPr>
        <w:pStyle w:val="Textbody"/>
        <w:ind w:left="720"/>
        <w:rPr>
          <w:rFonts w:cs="Times New Roman"/>
          <w:sz w:val="22"/>
          <w:szCs w:val="22"/>
        </w:rPr>
      </w:pPr>
      <w:r w:rsidRPr="00797A5A">
        <w:rPr>
          <w:rFonts w:cs="Times New Roman"/>
          <w:sz w:val="22"/>
          <w:szCs w:val="22"/>
        </w:rPr>
        <w:t>Dla obsługi taborem spalinowym</w:t>
      </w:r>
    </w:p>
    <w:p w14:paraId="3EE180D5" w14:textId="3CD13532" w:rsidR="00C432F1" w:rsidRPr="00797A5A" w:rsidRDefault="00C432F1" w:rsidP="00C432F1">
      <w:pPr>
        <w:pStyle w:val="Textbody"/>
        <w:ind w:left="720"/>
        <w:rPr>
          <w:rFonts w:cs="Times New Roman"/>
          <w:sz w:val="22"/>
          <w:szCs w:val="22"/>
        </w:rPr>
      </w:pPr>
      <w:r w:rsidRPr="00797A5A">
        <w:rPr>
          <w:rFonts w:cs="Times New Roman"/>
          <w:sz w:val="22"/>
          <w:szCs w:val="22"/>
        </w:rPr>
        <w:t>W</w:t>
      </w:r>
      <w:r w:rsidR="00797A5A">
        <w:rPr>
          <w:rFonts w:cs="Times New Roman"/>
          <w:sz w:val="22"/>
          <w:szCs w:val="22"/>
        </w:rPr>
        <w:t>2</w:t>
      </w:r>
      <w:r w:rsidRPr="00797A5A">
        <w:rPr>
          <w:rFonts w:cs="Times New Roman"/>
          <w:sz w:val="22"/>
          <w:szCs w:val="22"/>
        </w:rPr>
        <w:t xml:space="preserve"> = 0,40 x WT + 0,30 x WW + 0,30 x WP</w:t>
      </w:r>
    </w:p>
    <w:tbl>
      <w:tblPr>
        <w:tblW w:w="4400" w:type="dxa"/>
        <w:jc w:val="center"/>
        <w:tblCellMar>
          <w:left w:w="10" w:type="dxa"/>
          <w:right w:w="10" w:type="dxa"/>
        </w:tblCellMar>
        <w:tblLook w:val="04A0" w:firstRow="1" w:lastRow="0" w:firstColumn="1" w:lastColumn="0" w:noHBand="0" w:noVBand="1"/>
      </w:tblPr>
      <w:tblGrid>
        <w:gridCol w:w="1336"/>
        <w:gridCol w:w="1190"/>
        <w:gridCol w:w="970"/>
        <w:gridCol w:w="1520"/>
      </w:tblGrid>
      <w:tr w:rsidR="00C432F1" w:rsidRPr="00797A5A" w14:paraId="5154F7E4" w14:textId="77777777" w:rsidTr="00C62EC8">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1834BB"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lastRenderedPageBreak/>
              <w:t>wskaźnik</w:t>
            </w:r>
          </w:p>
        </w:tc>
        <w:tc>
          <w:tcPr>
            <w:tcW w:w="9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ABE377"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wartość</w:t>
            </w:r>
          </w:p>
        </w:tc>
        <w:tc>
          <w:tcPr>
            <w:tcW w:w="9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423E0D"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waga</w:t>
            </w:r>
          </w:p>
        </w:tc>
        <w:tc>
          <w:tcPr>
            <w:tcW w:w="15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5328E7"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wartość x waga</w:t>
            </w:r>
          </w:p>
        </w:tc>
      </w:tr>
      <w:tr w:rsidR="00C432F1" w:rsidRPr="00797A5A" w14:paraId="7AC9C26D"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B6B4BA"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027AC"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4,50%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3EE519"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0,4</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E7D457"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1,80%</w:t>
            </w:r>
          </w:p>
        </w:tc>
      </w:tr>
      <w:tr w:rsidR="00C432F1" w:rsidRPr="00797A5A" w14:paraId="5C65D5C3"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34D1F9"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WW</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81964"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10,04%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A30CA9"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0,3</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29887C"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3,01%</w:t>
            </w:r>
          </w:p>
        </w:tc>
      </w:tr>
      <w:tr w:rsidR="00C432F1" w:rsidRPr="00797A5A" w14:paraId="24BEAD90"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C67614"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WP</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ACA7BE"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28,31%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AC12FE"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0,3</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61747D"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8,49%</w:t>
            </w:r>
          </w:p>
        </w:tc>
      </w:tr>
      <w:tr w:rsidR="00C432F1" w:rsidRPr="00797A5A" w14:paraId="7D27AFD9" w14:textId="77777777" w:rsidTr="00C62EC8">
        <w:trPr>
          <w:trHeight w:val="300"/>
          <w:jc w:val="center"/>
        </w:trPr>
        <w:tc>
          <w:tcPr>
            <w:tcW w:w="960" w:type="dxa"/>
            <w:shd w:val="clear" w:color="auto" w:fill="auto"/>
            <w:noWrap/>
            <w:tcMar>
              <w:top w:w="0" w:type="dxa"/>
              <w:left w:w="70" w:type="dxa"/>
              <w:bottom w:w="0" w:type="dxa"/>
              <w:right w:w="70" w:type="dxa"/>
            </w:tcMar>
            <w:vAlign w:val="bottom"/>
          </w:tcPr>
          <w:p w14:paraId="42153219" w14:textId="77777777" w:rsidR="00C432F1" w:rsidRPr="00797A5A" w:rsidRDefault="00C432F1" w:rsidP="00C62EC8">
            <w:pPr>
              <w:jc w:val="right"/>
              <w:rPr>
                <w:rFonts w:ascii="Times New Roman" w:eastAsia="Times New Roman" w:hAnsi="Times New Roman" w:cs="Times New Roman"/>
                <w:sz w:val="22"/>
              </w:rPr>
            </w:pPr>
          </w:p>
        </w:tc>
        <w:tc>
          <w:tcPr>
            <w:tcW w:w="960" w:type="dxa"/>
            <w:shd w:val="clear" w:color="auto" w:fill="auto"/>
            <w:noWrap/>
            <w:tcMar>
              <w:top w:w="0" w:type="dxa"/>
              <w:left w:w="70" w:type="dxa"/>
              <w:bottom w:w="0" w:type="dxa"/>
              <w:right w:w="70" w:type="dxa"/>
            </w:tcMar>
            <w:vAlign w:val="bottom"/>
          </w:tcPr>
          <w:p w14:paraId="422FB92E" w14:textId="77777777" w:rsidR="00C432F1" w:rsidRPr="00797A5A" w:rsidRDefault="00C432F1" w:rsidP="00C62EC8">
            <w:pPr>
              <w:rPr>
                <w:rFonts w:ascii="Times New Roman" w:eastAsia="Times New Roman" w:hAnsi="Times New Roman" w:cs="Times New Roman"/>
                <w:sz w:val="22"/>
              </w:rPr>
            </w:pPr>
          </w:p>
        </w:tc>
        <w:tc>
          <w:tcPr>
            <w:tcW w:w="960" w:type="dxa"/>
            <w:shd w:val="clear" w:color="auto" w:fill="auto"/>
            <w:noWrap/>
            <w:tcMar>
              <w:top w:w="0" w:type="dxa"/>
              <w:left w:w="70" w:type="dxa"/>
              <w:bottom w:w="0" w:type="dxa"/>
              <w:right w:w="70" w:type="dxa"/>
            </w:tcMar>
            <w:vAlign w:val="bottom"/>
          </w:tcPr>
          <w:p w14:paraId="3BDFFA38" w14:textId="77777777" w:rsidR="00C432F1" w:rsidRPr="00797A5A" w:rsidRDefault="00C432F1" w:rsidP="00C62EC8">
            <w:pPr>
              <w:jc w:val="right"/>
              <w:rPr>
                <w:rFonts w:ascii="Times New Roman" w:eastAsia="Times New Roman" w:hAnsi="Times New Roman" w:cs="Times New Roman"/>
                <w:b/>
                <w:sz w:val="22"/>
              </w:rPr>
            </w:pPr>
            <w:r w:rsidRPr="00797A5A">
              <w:rPr>
                <w:rFonts w:ascii="Times New Roman" w:eastAsia="Times New Roman" w:hAnsi="Times New Roman" w:cs="Times New Roman"/>
                <w:b/>
                <w:sz w:val="22"/>
              </w:rPr>
              <w:t>W</w:t>
            </w:r>
          </w:p>
        </w:tc>
        <w:tc>
          <w:tcPr>
            <w:tcW w:w="15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8F0E63"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13,31%</w:t>
            </w:r>
          </w:p>
        </w:tc>
      </w:tr>
    </w:tbl>
    <w:p w14:paraId="76920766" w14:textId="77777777" w:rsidR="00C432F1" w:rsidRPr="00797A5A" w:rsidRDefault="00C432F1" w:rsidP="00C432F1">
      <w:pPr>
        <w:pStyle w:val="Textbody"/>
        <w:rPr>
          <w:rFonts w:cs="Times New Roman"/>
          <w:sz w:val="22"/>
          <w:szCs w:val="22"/>
        </w:rPr>
      </w:pPr>
    </w:p>
    <w:p w14:paraId="5B32BFBA" w14:textId="389828C7" w:rsidR="00C432F1" w:rsidRPr="00797A5A" w:rsidRDefault="00C432F1" w:rsidP="00C432F1">
      <w:pPr>
        <w:pStyle w:val="Textbody"/>
        <w:ind w:left="720"/>
        <w:rPr>
          <w:rFonts w:cs="Times New Roman"/>
          <w:b/>
          <w:sz w:val="22"/>
          <w:szCs w:val="22"/>
        </w:rPr>
      </w:pPr>
      <w:r w:rsidRPr="00797A5A">
        <w:rPr>
          <w:rFonts w:cs="Times New Roman"/>
          <w:b/>
          <w:sz w:val="22"/>
          <w:szCs w:val="22"/>
        </w:rPr>
        <w:t xml:space="preserve">Stawka Rekompensaty na pociągokilometr w okresie rozliczeniowym 2 dla </w:t>
      </w:r>
      <w:r w:rsidR="00797A5A">
        <w:rPr>
          <w:rFonts w:cs="Times New Roman"/>
          <w:b/>
          <w:sz w:val="22"/>
          <w:szCs w:val="22"/>
        </w:rPr>
        <w:t xml:space="preserve">obsługi </w:t>
      </w:r>
      <w:r w:rsidRPr="00797A5A">
        <w:rPr>
          <w:rFonts w:cs="Times New Roman"/>
          <w:b/>
          <w:sz w:val="22"/>
          <w:szCs w:val="22"/>
        </w:rPr>
        <w:t>spalinowej:</w:t>
      </w:r>
      <w:r w:rsidRPr="00797A5A">
        <w:rPr>
          <w:rFonts w:cs="Times New Roman"/>
          <w:b/>
          <w:sz w:val="22"/>
          <w:szCs w:val="22"/>
        </w:rPr>
        <w:br/>
        <w:t>20 zł + 20 zł/pockm x 13,31% = 22,66 zł</w:t>
      </w:r>
    </w:p>
    <w:p w14:paraId="44F21D29" w14:textId="77777777" w:rsidR="00C432F1" w:rsidRPr="00797A5A" w:rsidRDefault="00C432F1" w:rsidP="00C432F1">
      <w:pPr>
        <w:pStyle w:val="Textbody"/>
        <w:ind w:left="720"/>
        <w:rPr>
          <w:rFonts w:cs="Times New Roman"/>
          <w:sz w:val="22"/>
          <w:szCs w:val="22"/>
        </w:rPr>
      </w:pPr>
    </w:p>
    <w:p w14:paraId="17557887" w14:textId="1CD51A64" w:rsidR="00C432F1" w:rsidRPr="00797A5A" w:rsidRDefault="008F108E" w:rsidP="00C432F1">
      <w:pPr>
        <w:pStyle w:val="Textbody"/>
        <w:ind w:left="720"/>
        <w:rPr>
          <w:rFonts w:cs="Times New Roman"/>
          <w:sz w:val="22"/>
          <w:szCs w:val="22"/>
        </w:rPr>
      </w:pPr>
      <w:r w:rsidRPr="00797A5A">
        <w:rPr>
          <w:rFonts w:cs="Times New Roman"/>
          <w:sz w:val="22"/>
          <w:szCs w:val="22"/>
        </w:rPr>
        <w:t>Dla obsługi taborem elektrycznym</w:t>
      </w:r>
    </w:p>
    <w:p w14:paraId="44FD8339" w14:textId="6176AEC3" w:rsidR="00C432F1" w:rsidRDefault="00C432F1" w:rsidP="00C432F1">
      <w:pPr>
        <w:pStyle w:val="Textbody"/>
        <w:ind w:left="720"/>
        <w:rPr>
          <w:rFonts w:cs="Times New Roman"/>
          <w:sz w:val="22"/>
          <w:szCs w:val="22"/>
        </w:rPr>
      </w:pPr>
      <w:r w:rsidRPr="00797A5A">
        <w:rPr>
          <w:rFonts w:cs="Times New Roman"/>
          <w:sz w:val="22"/>
          <w:szCs w:val="22"/>
        </w:rPr>
        <w:t>W</w:t>
      </w:r>
      <w:r w:rsidR="00797A5A">
        <w:rPr>
          <w:rFonts w:cs="Times New Roman"/>
          <w:sz w:val="22"/>
          <w:szCs w:val="22"/>
        </w:rPr>
        <w:t>2</w:t>
      </w:r>
      <w:r w:rsidRPr="00797A5A">
        <w:rPr>
          <w:rFonts w:cs="Times New Roman"/>
          <w:sz w:val="22"/>
          <w:szCs w:val="22"/>
        </w:rPr>
        <w:t xml:space="preserve"> = 0,30 x WT + 0,30 x WW + 0,40 x WE</w:t>
      </w:r>
    </w:p>
    <w:p w14:paraId="211B4E3A" w14:textId="77777777" w:rsidR="00797A5A" w:rsidRPr="00797A5A" w:rsidRDefault="00797A5A" w:rsidP="00C432F1">
      <w:pPr>
        <w:pStyle w:val="Textbody"/>
        <w:ind w:left="720"/>
        <w:rPr>
          <w:rFonts w:cs="Times New Roman"/>
          <w:sz w:val="22"/>
          <w:szCs w:val="22"/>
        </w:rPr>
      </w:pPr>
    </w:p>
    <w:tbl>
      <w:tblPr>
        <w:tblW w:w="4400" w:type="dxa"/>
        <w:jc w:val="center"/>
        <w:tblCellMar>
          <w:left w:w="10" w:type="dxa"/>
          <w:right w:w="10" w:type="dxa"/>
        </w:tblCellMar>
        <w:tblLook w:val="04A0" w:firstRow="1" w:lastRow="0" w:firstColumn="1" w:lastColumn="0" w:noHBand="0" w:noVBand="1"/>
      </w:tblPr>
      <w:tblGrid>
        <w:gridCol w:w="1336"/>
        <w:gridCol w:w="1190"/>
        <w:gridCol w:w="970"/>
        <w:gridCol w:w="1520"/>
      </w:tblGrid>
      <w:tr w:rsidR="00C432F1" w:rsidRPr="00797A5A" w14:paraId="2CADAA40" w14:textId="77777777" w:rsidTr="00C62EC8">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9FF3AE"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wskaźnik</w:t>
            </w:r>
          </w:p>
        </w:tc>
        <w:tc>
          <w:tcPr>
            <w:tcW w:w="9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54291D"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wartość</w:t>
            </w:r>
          </w:p>
        </w:tc>
        <w:tc>
          <w:tcPr>
            <w:tcW w:w="9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B9FB47"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waga</w:t>
            </w:r>
          </w:p>
        </w:tc>
        <w:tc>
          <w:tcPr>
            <w:tcW w:w="15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E9A00B"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wartość x waga</w:t>
            </w:r>
          </w:p>
        </w:tc>
      </w:tr>
      <w:tr w:rsidR="00C432F1" w:rsidRPr="00797A5A" w14:paraId="04746A1F"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93471"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0D88B3"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4,50%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4216F6"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0,3</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7D6B4"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1,35%</w:t>
            </w:r>
          </w:p>
        </w:tc>
      </w:tr>
      <w:tr w:rsidR="00C432F1" w:rsidRPr="00797A5A" w14:paraId="2A3C8BA7"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17D99E"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WW</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43847"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10,04%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EF9FE9"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0,3</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D681C0"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3,01%</w:t>
            </w:r>
          </w:p>
        </w:tc>
      </w:tr>
      <w:tr w:rsidR="00C432F1" w:rsidRPr="00797A5A" w14:paraId="1D538CC7" w14:textId="77777777" w:rsidTr="00C62EC8">
        <w:trPr>
          <w:trHeight w:val="300"/>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C64488" w14:textId="77777777" w:rsidR="00C432F1" w:rsidRPr="00797A5A" w:rsidRDefault="00C432F1" w:rsidP="00C62EC8">
            <w:pPr>
              <w:rPr>
                <w:rFonts w:ascii="Times New Roman" w:eastAsia="Times New Roman" w:hAnsi="Times New Roman" w:cs="Times New Roman"/>
                <w:sz w:val="22"/>
              </w:rPr>
            </w:pPr>
            <w:r w:rsidRPr="00797A5A">
              <w:rPr>
                <w:rFonts w:ascii="Times New Roman" w:eastAsia="Times New Roman" w:hAnsi="Times New Roman" w:cs="Times New Roman"/>
                <w:sz w:val="22"/>
              </w:rPr>
              <w:t>WE</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3FFE75"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4,33%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119B75"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0,4</w:t>
            </w:r>
          </w:p>
        </w:tc>
        <w:tc>
          <w:tcPr>
            <w:tcW w:w="15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59FE3"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1,73%</w:t>
            </w:r>
          </w:p>
        </w:tc>
      </w:tr>
      <w:tr w:rsidR="00C432F1" w:rsidRPr="00797A5A" w14:paraId="61D3B597" w14:textId="77777777" w:rsidTr="00C62EC8">
        <w:trPr>
          <w:trHeight w:val="300"/>
          <w:jc w:val="center"/>
        </w:trPr>
        <w:tc>
          <w:tcPr>
            <w:tcW w:w="960" w:type="dxa"/>
            <w:shd w:val="clear" w:color="auto" w:fill="auto"/>
            <w:noWrap/>
            <w:tcMar>
              <w:top w:w="0" w:type="dxa"/>
              <w:left w:w="70" w:type="dxa"/>
              <w:bottom w:w="0" w:type="dxa"/>
              <w:right w:w="70" w:type="dxa"/>
            </w:tcMar>
            <w:vAlign w:val="bottom"/>
          </w:tcPr>
          <w:p w14:paraId="294C6272" w14:textId="77777777" w:rsidR="00C432F1" w:rsidRPr="00797A5A" w:rsidRDefault="00C432F1" w:rsidP="00C62EC8">
            <w:pPr>
              <w:jc w:val="right"/>
              <w:rPr>
                <w:rFonts w:ascii="Times New Roman" w:eastAsia="Times New Roman" w:hAnsi="Times New Roman" w:cs="Times New Roman"/>
                <w:sz w:val="22"/>
              </w:rPr>
            </w:pPr>
          </w:p>
        </w:tc>
        <w:tc>
          <w:tcPr>
            <w:tcW w:w="960" w:type="dxa"/>
            <w:shd w:val="clear" w:color="auto" w:fill="auto"/>
            <w:noWrap/>
            <w:tcMar>
              <w:top w:w="0" w:type="dxa"/>
              <w:left w:w="70" w:type="dxa"/>
              <w:bottom w:w="0" w:type="dxa"/>
              <w:right w:w="70" w:type="dxa"/>
            </w:tcMar>
            <w:vAlign w:val="bottom"/>
          </w:tcPr>
          <w:p w14:paraId="72697312" w14:textId="77777777" w:rsidR="00C432F1" w:rsidRPr="00797A5A" w:rsidRDefault="00C432F1" w:rsidP="00C62EC8">
            <w:pPr>
              <w:rPr>
                <w:rFonts w:ascii="Times New Roman" w:eastAsia="Times New Roman" w:hAnsi="Times New Roman" w:cs="Times New Roman"/>
                <w:sz w:val="22"/>
              </w:rPr>
            </w:pPr>
          </w:p>
        </w:tc>
        <w:tc>
          <w:tcPr>
            <w:tcW w:w="960" w:type="dxa"/>
            <w:shd w:val="clear" w:color="auto" w:fill="auto"/>
            <w:noWrap/>
            <w:tcMar>
              <w:top w:w="0" w:type="dxa"/>
              <w:left w:w="70" w:type="dxa"/>
              <w:bottom w:w="0" w:type="dxa"/>
              <w:right w:w="70" w:type="dxa"/>
            </w:tcMar>
            <w:vAlign w:val="bottom"/>
          </w:tcPr>
          <w:p w14:paraId="52707A91" w14:textId="77777777" w:rsidR="00C432F1" w:rsidRPr="00797A5A" w:rsidRDefault="00C432F1" w:rsidP="00C62EC8">
            <w:pPr>
              <w:jc w:val="right"/>
              <w:rPr>
                <w:rFonts w:ascii="Times New Roman" w:eastAsia="Times New Roman" w:hAnsi="Times New Roman" w:cs="Times New Roman"/>
                <w:b/>
                <w:bCs/>
                <w:sz w:val="22"/>
              </w:rPr>
            </w:pPr>
            <w:r w:rsidRPr="00797A5A">
              <w:rPr>
                <w:rFonts w:ascii="Times New Roman" w:eastAsia="Times New Roman" w:hAnsi="Times New Roman" w:cs="Times New Roman"/>
                <w:b/>
                <w:bCs/>
                <w:sz w:val="22"/>
              </w:rPr>
              <w:t>W</w:t>
            </w:r>
          </w:p>
        </w:tc>
        <w:tc>
          <w:tcPr>
            <w:tcW w:w="15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DE6C" w14:textId="77777777" w:rsidR="00C432F1" w:rsidRPr="00797A5A" w:rsidRDefault="00C432F1" w:rsidP="00C62EC8">
            <w:pPr>
              <w:jc w:val="right"/>
              <w:rPr>
                <w:rFonts w:ascii="Times New Roman" w:eastAsia="Times New Roman" w:hAnsi="Times New Roman" w:cs="Times New Roman"/>
                <w:sz w:val="22"/>
              </w:rPr>
            </w:pPr>
            <w:r w:rsidRPr="00797A5A">
              <w:rPr>
                <w:rFonts w:ascii="Times New Roman" w:eastAsia="Times New Roman" w:hAnsi="Times New Roman" w:cs="Times New Roman"/>
                <w:sz w:val="22"/>
              </w:rPr>
              <w:t>6,09%</w:t>
            </w:r>
          </w:p>
        </w:tc>
      </w:tr>
    </w:tbl>
    <w:p w14:paraId="11EA5253" w14:textId="77777777" w:rsidR="00C432F1" w:rsidRPr="00797A5A" w:rsidRDefault="00C432F1" w:rsidP="00C432F1">
      <w:pPr>
        <w:pStyle w:val="Textbody"/>
        <w:rPr>
          <w:rFonts w:cs="Times New Roman"/>
          <w:sz w:val="22"/>
          <w:szCs w:val="22"/>
        </w:rPr>
      </w:pPr>
    </w:p>
    <w:p w14:paraId="65650647" w14:textId="0233A928" w:rsidR="00C432F1" w:rsidRPr="00797A5A" w:rsidRDefault="00C432F1" w:rsidP="00C432F1">
      <w:pPr>
        <w:pStyle w:val="Textbody"/>
        <w:ind w:left="720"/>
        <w:rPr>
          <w:rFonts w:cs="Times New Roman"/>
          <w:b/>
          <w:sz w:val="22"/>
          <w:szCs w:val="22"/>
        </w:rPr>
      </w:pPr>
      <w:r w:rsidRPr="00797A5A">
        <w:rPr>
          <w:rFonts w:cs="Times New Roman"/>
          <w:b/>
          <w:sz w:val="22"/>
          <w:szCs w:val="22"/>
        </w:rPr>
        <w:t xml:space="preserve">Stawka Rekompensaty na pociągokilometr w okresie rozliczeniowym 2 dla </w:t>
      </w:r>
      <w:r w:rsidR="00797A5A">
        <w:rPr>
          <w:rFonts w:cs="Times New Roman"/>
          <w:b/>
          <w:sz w:val="22"/>
          <w:szCs w:val="22"/>
        </w:rPr>
        <w:t>obsługi</w:t>
      </w:r>
      <w:r w:rsidRPr="00797A5A">
        <w:rPr>
          <w:rFonts w:cs="Times New Roman"/>
          <w:b/>
          <w:sz w:val="22"/>
          <w:szCs w:val="22"/>
        </w:rPr>
        <w:t xml:space="preserve"> elektrycznej: </w:t>
      </w:r>
      <w:r w:rsidRPr="00797A5A">
        <w:rPr>
          <w:rFonts w:cs="Times New Roman"/>
          <w:b/>
          <w:sz w:val="22"/>
          <w:szCs w:val="22"/>
        </w:rPr>
        <w:br/>
        <w:t>20 zł + 20 zł/pockm x 6,09% = 21,22 zł</w:t>
      </w:r>
    </w:p>
    <w:p w14:paraId="0167DC76" w14:textId="06C385E6" w:rsidR="00DA0471" w:rsidRPr="007C4D26" w:rsidRDefault="00DA0471" w:rsidP="00DA0471">
      <w:pPr>
        <w:spacing w:line="240" w:lineRule="auto"/>
        <w:ind w:left="0" w:right="0" w:firstLine="0"/>
        <w:rPr>
          <w:rFonts w:ascii="Times New Roman" w:hAnsi="Times New Roman" w:cs="Times New Roman"/>
          <w:b/>
          <w:sz w:val="22"/>
        </w:rPr>
      </w:pPr>
      <w:r w:rsidRPr="007C4D26">
        <w:rPr>
          <w:rFonts w:ascii="Times New Roman" w:hAnsi="Times New Roman" w:cs="Times New Roman"/>
          <w:b/>
          <w:sz w:val="22"/>
        </w:rPr>
        <w:t>6.</w:t>
      </w:r>
      <w:r>
        <w:rPr>
          <w:rFonts w:ascii="Times New Roman" w:hAnsi="Times New Roman" w:cs="Times New Roman"/>
          <w:b/>
          <w:sz w:val="22"/>
        </w:rPr>
        <w:t>4</w:t>
      </w:r>
      <w:r w:rsidRPr="007C4D26">
        <w:rPr>
          <w:rFonts w:ascii="Times New Roman" w:hAnsi="Times New Roman" w:cs="Times New Roman"/>
          <w:b/>
          <w:sz w:val="22"/>
        </w:rPr>
        <w:t xml:space="preserve">. </w:t>
      </w:r>
      <w:r>
        <w:rPr>
          <w:rFonts w:ascii="Times New Roman" w:hAnsi="Times New Roman" w:cs="Times New Roman"/>
          <w:b/>
          <w:sz w:val="22"/>
        </w:rPr>
        <w:t xml:space="preserve">Zmiana </w:t>
      </w:r>
      <w:r w:rsidRPr="007C4D26">
        <w:rPr>
          <w:rFonts w:ascii="Times New Roman" w:hAnsi="Times New Roman" w:cs="Times New Roman"/>
          <w:b/>
          <w:sz w:val="22"/>
        </w:rPr>
        <w:t>w zakresie zmian dotyczących stawki podatku od towarów i usług oraz podatku akcyzowego, wysokości minimalnego wynagrodzenia za pracę albo wysokości minimalnej stawki godzinowej, zasad podlegania ubezpieczeniom społecznym lub ubezpieczeniu zdrowotnemu lub wysokości stawki składki na ubezpieczenie społeczne lub ubezpieczenie zdrowotne oraz zasad gromadzenia i wysokości wpłat do pracowniczych planów kapitałowych.</w:t>
      </w:r>
    </w:p>
    <w:p w14:paraId="08814D5F" w14:textId="4BE20C6D" w:rsidR="00DA0471" w:rsidRPr="007C4D26" w:rsidRDefault="00DA0471" w:rsidP="00DA0471">
      <w:pPr>
        <w:spacing w:line="240" w:lineRule="auto"/>
        <w:ind w:left="0" w:right="0" w:firstLine="0"/>
        <w:rPr>
          <w:rFonts w:ascii="Times New Roman" w:hAnsi="Times New Roman" w:cs="Times New Roman"/>
          <w:sz w:val="22"/>
        </w:rPr>
      </w:pPr>
      <w:r>
        <w:rPr>
          <w:rFonts w:ascii="Times New Roman" w:hAnsi="Times New Roman" w:cs="Times New Roman"/>
          <w:sz w:val="22"/>
        </w:rPr>
        <w:t>Zmiana</w:t>
      </w:r>
      <w:r w:rsidRPr="007C4D26">
        <w:rPr>
          <w:rFonts w:ascii="Times New Roman" w:hAnsi="Times New Roman" w:cs="Times New Roman"/>
          <w:sz w:val="22"/>
        </w:rPr>
        <w:t xml:space="preserve"> obliczan</w:t>
      </w:r>
      <w:r>
        <w:rPr>
          <w:rFonts w:ascii="Times New Roman" w:hAnsi="Times New Roman" w:cs="Times New Roman"/>
          <w:sz w:val="22"/>
        </w:rPr>
        <w:t>a</w:t>
      </w:r>
      <w:r w:rsidRPr="007C4D26">
        <w:rPr>
          <w:rFonts w:ascii="Times New Roman" w:hAnsi="Times New Roman" w:cs="Times New Roman"/>
          <w:sz w:val="22"/>
        </w:rPr>
        <w:t xml:space="preserve"> jest przy zastosowaniu następujących parametrów:</w:t>
      </w:r>
    </w:p>
    <w:p w14:paraId="6381F952" w14:textId="77777777" w:rsidR="00DA0471" w:rsidRPr="007C4D26" w:rsidRDefault="00DA0471" w:rsidP="00DA0471">
      <w:pPr>
        <w:pStyle w:val="Akapitzlist"/>
        <w:numPr>
          <w:ilvl w:val="0"/>
          <w:numId w:val="15"/>
        </w:numPr>
        <w:spacing w:line="240" w:lineRule="auto"/>
        <w:ind w:right="0"/>
        <w:rPr>
          <w:rFonts w:ascii="Times New Roman" w:hAnsi="Times New Roman" w:cs="Times New Roman"/>
          <w:sz w:val="22"/>
        </w:rPr>
      </w:pPr>
      <w:r w:rsidRPr="007C4D26">
        <w:rPr>
          <w:rFonts w:ascii="Times New Roman" w:hAnsi="Times New Roman" w:cs="Times New Roman"/>
          <w:sz w:val="22"/>
        </w:rPr>
        <w:t>SP – stawka podatku od towarów i usług oraz podatku akcyzowego</w:t>
      </w:r>
    </w:p>
    <w:p w14:paraId="0C46B2E5" w14:textId="77777777" w:rsidR="00DA0471" w:rsidRPr="007C4D26" w:rsidRDefault="00DA0471" w:rsidP="00DA0471">
      <w:pPr>
        <w:pStyle w:val="Akapitzlist"/>
        <w:numPr>
          <w:ilvl w:val="0"/>
          <w:numId w:val="15"/>
        </w:numPr>
        <w:spacing w:line="240" w:lineRule="auto"/>
        <w:ind w:right="0"/>
        <w:rPr>
          <w:rFonts w:ascii="Times New Roman" w:hAnsi="Times New Roman" w:cs="Times New Roman"/>
          <w:sz w:val="22"/>
        </w:rPr>
      </w:pPr>
      <w:r w:rsidRPr="007C4D26">
        <w:rPr>
          <w:rFonts w:ascii="Times New Roman" w:hAnsi="Times New Roman" w:cs="Times New Roman"/>
          <w:sz w:val="22"/>
        </w:rPr>
        <w:t>WMW – wysokość minimalnego wynagrodzenia za pracę albo wysokości minimalnej stawki godzinowej, ustalona na podstawie ustawy z dnia 10 października 2002 r. o minimalnym wynagrodzeniu za pracę,</w:t>
      </w:r>
    </w:p>
    <w:p w14:paraId="0F49ACCC" w14:textId="77777777" w:rsidR="00DA0471" w:rsidRPr="007C4D26" w:rsidRDefault="00DA0471" w:rsidP="00DA0471">
      <w:pPr>
        <w:pStyle w:val="Akapitzlist"/>
        <w:numPr>
          <w:ilvl w:val="0"/>
          <w:numId w:val="15"/>
        </w:numPr>
        <w:spacing w:line="240" w:lineRule="auto"/>
        <w:ind w:right="0"/>
        <w:rPr>
          <w:rFonts w:ascii="Times New Roman" w:hAnsi="Times New Roman" w:cs="Times New Roman"/>
          <w:sz w:val="22"/>
        </w:rPr>
      </w:pPr>
      <w:r w:rsidRPr="007C4D26">
        <w:rPr>
          <w:rFonts w:ascii="Times New Roman" w:hAnsi="Times New Roman" w:cs="Times New Roman"/>
          <w:sz w:val="22"/>
        </w:rPr>
        <w:t>SUS – zasady podlegania ubezpieczeniom społecznym lub ubezpieczeniu zdrowotnemu lub wysokości stawki składki na ubezpieczenia społeczne lub ubezpieczenie zdrowotne,</w:t>
      </w:r>
    </w:p>
    <w:p w14:paraId="1876CB07" w14:textId="77777777" w:rsidR="00DA0471" w:rsidRPr="007C4D26" w:rsidRDefault="00DA0471" w:rsidP="00DA0471">
      <w:pPr>
        <w:pStyle w:val="Akapitzlist"/>
        <w:numPr>
          <w:ilvl w:val="0"/>
          <w:numId w:val="15"/>
        </w:numPr>
        <w:spacing w:line="240" w:lineRule="auto"/>
        <w:ind w:right="0"/>
        <w:rPr>
          <w:rFonts w:ascii="Times New Roman" w:hAnsi="Times New Roman" w:cs="Times New Roman"/>
          <w:sz w:val="22"/>
        </w:rPr>
      </w:pPr>
      <w:r w:rsidRPr="007C4D26">
        <w:rPr>
          <w:rFonts w:ascii="Times New Roman" w:hAnsi="Times New Roman" w:cs="Times New Roman"/>
          <w:sz w:val="22"/>
        </w:rPr>
        <w:lastRenderedPageBreak/>
        <w:t>PPK – zasady gromadzenia i wysokości wpłat do pracowniczych planów kapitałowych, o których mowa w ustawie z dnia 4 października 2018 r. o pracowniczych planach kapitałowych.</w:t>
      </w:r>
    </w:p>
    <w:p w14:paraId="205798DF" w14:textId="329A6143" w:rsidR="00DA0471" w:rsidRPr="007C4D26" w:rsidRDefault="00DA0471" w:rsidP="00DA0471">
      <w:pPr>
        <w:spacing w:line="240" w:lineRule="auto"/>
        <w:ind w:left="0" w:right="0" w:firstLine="0"/>
        <w:rPr>
          <w:rFonts w:ascii="Times New Roman" w:hAnsi="Times New Roman" w:cs="Times New Roman"/>
          <w:sz w:val="22"/>
        </w:rPr>
      </w:pPr>
      <w:r>
        <w:rPr>
          <w:rFonts w:ascii="Times New Roman" w:hAnsi="Times New Roman" w:cs="Times New Roman"/>
          <w:sz w:val="22"/>
        </w:rPr>
        <w:t>Zmiana</w:t>
      </w:r>
      <w:r w:rsidRPr="007C4D26">
        <w:rPr>
          <w:rFonts w:ascii="Times New Roman" w:hAnsi="Times New Roman" w:cs="Times New Roman"/>
          <w:b/>
          <w:sz w:val="22"/>
        </w:rPr>
        <w:t xml:space="preserve"> </w:t>
      </w:r>
      <w:r w:rsidRPr="007C4D26">
        <w:rPr>
          <w:rFonts w:ascii="Times New Roman" w:hAnsi="Times New Roman" w:cs="Times New Roman"/>
          <w:sz w:val="22"/>
        </w:rPr>
        <w:t>będzie</w:t>
      </w:r>
      <w:r w:rsidRPr="007C4D26">
        <w:rPr>
          <w:rFonts w:ascii="Times New Roman" w:hAnsi="Times New Roman" w:cs="Times New Roman"/>
          <w:b/>
          <w:sz w:val="22"/>
        </w:rPr>
        <w:t xml:space="preserve"> </w:t>
      </w:r>
      <w:r w:rsidRPr="007C4D26">
        <w:rPr>
          <w:rFonts w:ascii="Times New Roman" w:hAnsi="Times New Roman" w:cs="Times New Roman"/>
          <w:sz w:val="22"/>
        </w:rPr>
        <w:t>obliczan</w:t>
      </w:r>
      <w:r>
        <w:rPr>
          <w:rFonts w:ascii="Times New Roman" w:hAnsi="Times New Roman" w:cs="Times New Roman"/>
          <w:sz w:val="22"/>
        </w:rPr>
        <w:t>a</w:t>
      </w:r>
      <w:r w:rsidRPr="007C4D26">
        <w:rPr>
          <w:rFonts w:ascii="Times New Roman" w:hAnsi="Times New Roman" w:cs="Times New Roman"/>
          <w:sz w:val="22"/>
        </w:rPr>
        <w:t xml:space="preserve"> przy każdorazowej zmianie przepisów obejmujących powyższe parametry. Każdy z parametrów będzie wyliczany z osobna w zakresie jego wpływu na zmianę rekompensaty na pociągkilometr, co w konsekwencji znajdzie swoje odzwierciedlenie w zmianie Rocznego Planu Finansowego na dany Okres Rozliczeniowy. </w:t>
      </w:r>
      <w:r w:rsidR="00A4041F">
        <w:rPr>
          <w:rFonts w:ascii="Times New Roman" w:hAnsi="Times New Roman" w:cs="Times New Roman"/>
          <w:sz w:val="22"/>
        </w:rPr>
        <w:t>Do sposobu uzgadniania zmian w tym zakresie będzie miał odpowiednio zastosowanie pkt 6.2.</w:t>
      </w:r>
    </w:p>
    <w:p w14:paraId="6973AA05" w14:textId="154E7D9A" w:rsidR="00C432F1" w:rsidRPr="00797A5A" w:rsidRDefault="00C432F1" w:rsidP="000009B3">
      <w:pPr>
        <w:ind w:left="73" w:right="0" w:hanging="11"/>
        <w:rPr>
          <w:rFonts w:ascii="Times New Roman" w:eastAsia="Tahoma" w:hAnsi="Times New Roman" w:cs="Times New Roman"/>
          <w:sz w:val="22"/>
        </w:rPr>
      </w:pPr>
    </w:p>
    <w:p w14:paraId="6D2795D4" w14:textId="01D8E86C" w:rsidR="008B6119" w:rsidRPr="007C4D26" w:rsidRDefault="00D322F9" w:rsidP="000009B3">
      <w:pPr>
        <w:ind w:left="73" w:right="0" w:hanging="11"/>
        <w:rPr>
          <w:rFonts w:ascii="Times New Roman" w:hAnsi="Times New Roman" w:cs="Times New Roman"/>
          <w:b/>
          <w:sz w:val="22"/>
        </w:rPr>
      </w:pPr>
      <w:r w:rsidRPr="007C4D26">
        <w:rPr>
          <w:rFonts w:ascii="Times New Roman" w:hAnsi="Times New Roman" w:cs="Times New Roman"/>
          <w:b/>
          <w:sz w:val="22"/>
        </w:rPr>
        <w:t>6</w:t>
      </w:r>
      <w:r w:rsidR="008B6119" w:rsidRPr="007C4D26">
        <w:rPr>
          <w:rFonts w:ascii="Times New Roman" w:hAnsi="Times New Roman" w:cs="Times New Roman"/>
          <w:b/>
          <w:sz w:val="22"/>
        </w:rPr>
        <w:t>.</w:t>
      </w:r>
      <w:r w:rsidRPr="007C4D26">
        <w:rPr>
          <w:rFonts w:ascii="Times New Roman" w:hAnsi="Times New Roman" w:cs="Times New Roman"/>
          <w:b/>
          <w:sz w:val="22"/>
        </w:rPr>
        <w:t>5</w:t>
      </w:r>
      <w:r w:rsidR="008B6119" w:rsidRPr="007C4D26">
        <w:rPr>
          <w:rFonts w:ascii="Times New Roman" w:hAnsi="Times New Roman" w:cs="Times New Roman"/>
          <w:b/>
          <w:sz w:val="22"/>
        </w:rPr>
        <w:t xml:space="preserve">. Waloryzacja </w:t>
      </w:r>
      <w:r w:rsidR="00FB0FF3" w:rsidRPr="007C4D26">
        <w:rPr>
          <w:rFonts w:ascii="Times New Roman" w:hAnsi="Times New Roman" w:cs="Times New Roman"/>
          <w:b/>
          <w:sz w:val="22"/>
        </w:rPr>
        <w:t>gwarantowanych Operatorowi przychodów ze sprzedaży biletów</w:t>
      </w:r>
    </w:p>
    <w:p w14:paraId="305994B6" w14:textId="4DA7298C" w:rsidR="00893D99" w:rsidRPr="007C4D26" w:rsidRDefault="00B33535" w:rsidP="00797A5A">
      <w:pPr>
        <w:spacing w:line="240" w:lineRule="auto"/>
        <w:ind w:left="73" w:right="0" w:hanging="11"/>
        <w:rPr>
          <w:rFonts w:ascii="Times New Roman" w:hAnsi="Times New Roman" w:cs="Times New Roman"/>
          <w:sz w:val="22"/>
        </w:rPr>
      </w:pPr>
      <w:r w:rsidRPr="007C4D26">
        <w:rPr>
          <w:rFonts w:ascii="Times New Roman" w:hAnsi="Times New Roman" w:cs="Times New Roman"/>
          <w:sz w:val="22"/>
        </w:rPr>
        <w:t>Organizator zastrzega sobie możliwość wprowadzenia zmian opłat przewozowych i stosowania upustów określonych w Załączniku nr 7 w celu uzyskania co najmniej gwarantowanych przychodów określonych w Umowie.</w:t>
      </w:r>
      <w:r w:rsidR="006D037F">
        <w:rPr>
          <w:rFonts w:ascii="Times New Roman" w:hAnsi="Times New Roman" w:cs="Times New Roman"/>
          <w:sz w:val="22"/>
        </w:rPr>
        <w:t xml:space="preserve"> </w:t>
      </w:r>
      <w:r w:rsidR="00893D99" w:rsidRPr="007C4D26">
        <w:rPr>
          <w:rFonts w:ascii="Times New Roman" w:hAnsi="Times New Roman" w:cs="Times New Roman"/>
          <w:sz w:val="22"/>
        </w:rPr>
        <w:t xml:space="preserve">Organizator przekaże Operatorowi informację o </w:t>
      </w:r>
      <w:r w:rsidR="00D93E40" w:rsidRPr="007C4D26">
        <w:rPr>
          <w:rFonts w:ascii="Times New Roman" w:hAnsi="Times New Roman" w:cs="Times New Roman"/>
          <w:sz w:val="22"/>
        </w:rPr>
        <w:t xml:space="preserve">zmianach opłat przewozowych </w:t>
      </w:r>
      <w:r w:rsidR="00481FEE" w:rsidRPr="007C4D26">
        <w:rPr>
          <w:rFonts w:ascii="Times New Roman" w:hAnsi="Times New Roman" w:cs="Times New Roman"/>
          <w:sz w:val="22"/>
        </w:rPr>
        <w:t>z co najmniej miesięcznym wyprzedzeniem, stosownie do zapisów pkt 4.3.2 Umowy</w:t>
      </w:r>
      <w:r w:rsidR="005968FC" w:rsidRPr="007C4D26">
        <w:rPr>
          <w:rFonts w:ascii="Times New Roman" w:hAnsi="Times New Roman" w:cs="Times New Roman"/>
          <w:sz w:val="22"/>
        </w:rPr>
        <w:t>.</w:t>
      </w:r>
    </w:p>
    <w:p w14:paraId="7930F7CF" w14:textId="77777777" w:rsidR="00B33535" w:rsidRPr="007C4D26" w:rsidRDefault="00B33535">
      <w:pPr>
        <w:ind w:left="73" w:right="0" w:hanging="11"/>
        <w:rPr>
          <w:rFonts w:ascii="Times New Roman" w:hAnsi="Times New Roman" w:cs="Times New Roman"/>
          <w:sz w:val="22"/>
        </w:rPr>
      </w:pPr>
    </w:p>
    <w:sectPr w:rsidR="00B33535" w:rsidRPr="007C4D26">
      <w:headerReference w:type="even" r:id="rId8"/>
      <w:footerReference w:type="even" r:id="rId9"/>
      <w:headerReference w:type="first" r:id="rId10"/>
      <w:footerReference w:type="first" r:id="rId11"/>
      <w:pgSz w:w="11906" w:h="16838"/>
      <w:pgMar w:top="1423" w:right="1412" w:bottom="1599" w:left="1340"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B1AB" w14:textId="77777777" w:rsidR="004F7D8E" w:rsidRDefault="004F7D8E">
      <w:pPr>
        <w:spacing w:after="0" w:line="240" w:lineRule="auto"/>
      </w:pPr>
      <w:r>
        <w:separator/>
      </w:r>
    </w:p>
  </w:endnote>
  <w:endnote w:type="continuationSeparator" w:id="0">
    <w:p w14:paraId="6E8A8BA8" w14:textId="77777777" w:rsidR="004F7D8E" w:rsidRDefault="004F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B4B" w14:textId="77777777" w:rsidR="0041341D" w:rsidRDefault="0041341D">
    <w:pPr>
      <w:spacing w:after="0" w:line="259" w:lineRule="auto"/>
      <w:ind w:left="0" w:right="291" w:firstLine="0"/>
      <w:jc w:val="center"/>
    </w:pPr>
    <w:r>
      <w:rPr>
        <w:rFonts w:ascii="Times New Roman" w:eastAsia="Times New Roman" w:hAnsi="Times New Roman" w:cs="Times New Roman"/>
        <w:sz w:val="24"/>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17D6">
      <w:rPr>
        <w:rFonts w:ascii="Times New Roman" w:eastAsia="Times New Roman" w:hAnsi="Times New Roman" w:cs="Times New Roman"/>
        <w:b/>
        <w:sz w:val="24"/>
      </w:rPr>
      <w:fldChar w:fldCharType="begin"/>
    </w:r>
    <w:r w:rsidR="004817D6">
      <w:rPr>
        <w:rFonts w:ascii="Times New Roman" w:eastAsia="Times New Roman" w:hAnsi="Times New Roman" w:cs="Times New Roman"/>
        <w:b/>
        <w:sz w:val="24"/>
      </w:rPr>
      <w:instrText xml:space="preserve"> NUMPAGES   \* MERGEFORMAT </w:instrText>
    </w:r>
    <w:r w:rsidR="004817D6">
      <w:rPr>
        <w:rFonts w:ascii="Times New Roman" w:eastAsia="Times New Roman" w:hAnsi="Times New Roman" w:cs="Times New Roman"/>
        <w:b/>
        <w:sz w:val="24"/>
      </w:rPr>
      <w:fldChar w:fldCharType="separate"/>
    </w:r>
    <w:r>
      <w:rPr>
        <w:rFonts w:ascii="Times New Roman" w:eastAsia="Times New Roman" w:hAnsi="Times New Roman" w:cs="Times New Roman"/>
        <w:b/>
        <w:sz w:val="24"/>
      </w:rPr>
      <w:t>5</w:t>
    </w:r>
    <w:r w:rsidR="004817D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4903" w14:textId="77777777" w:rsidR="0041341D" w:rsidRDefault="0041341D">
    <w:pPr>
      <w:spacing w:after="0" w:line="259" w:lineRule="auto"/>
      <w:ind w:left="0" w:right="291" w:firstLine="0"/>
      <w:jc w:val="center"/>
    </w:pPr>
    <w:r>
      <w:rPr>
        <w:rFonts w:ascii="Times New Roman" w:eastAsia="Times New Roman" w:hAnsi="Times New Roman" w:cs="Times New Roman"/>
        <w:sz w:val="24"/>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17D6">
      <w:rPr>
        <w:rFonts w:ascii="Times New Roman" w:eastAsia="Times New Roman" w:hAnsi="Times New Roman" w:cs="Times New Roman"/>
        <w:b/>
        <w:sz w:val="24"/>
      </w:rPr>
      <w:fldChar w:fldCharType="begin"/>
    </w:r>
    <w:r w:rsidR="004817D6">
      <w:rPr>
        <w:rFonts w:ascii="Times New Roman" w:eastAsia="Times New Roman" w:hAnsi="Times New Roman" w:cs="Times New Roman"/>
        <w:b/>
        <w:sz w:val="24"/>
      </w:rPr>
      <w:instrText xml:space="preserve"> NUMPAGES   \* MERGEFORMAT </w:instrText>
    </w:r>
    <w:r w:rsidR="004817D6">
      <w:rPr>
        <w:rFonts w:ascii="Times New Roman" w:eastAsia="Times New Roman" w:hAnsi="Times New Roman" w:cs="Times New Roman"/>
        <w:b/>
        <w:sz w:val="24"/>
      </w:rPr>
      <w:fldChar w:fldCharType="separate"/>
    </w:r>
    <w:r>
      <w:rPr>
        <w:rFonts w:ascii="Times New Roman" w:eastAsia="Times New Roman" w:hAnsi="Times New Roman" w:cs="Times New Roman"/>
        <w:b/>
        <w:sz w:val="24"/>
      </w:rPr>
      <w:t>5</w:t>
    </w:r>
    <w:r w:rsidR="004817D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269A" w14:textId="77777777" w:rsidR="004F7D8E" w:rsidRDefault="004F7D8E">
      <w:pPr>
        <w:spacing w:after="0" w:line="240" w:lineRule="auto"/>
      </w:pPr>
      <w:r>
        <w:separator/>
      </w:r>
    </w:p>
  </w:footnote>
  <w:footnote w:type="continuationSeparator" w:id="0">
    <w:p w14:paraId="1441D26F" w14:textId="77777777" w:rsidR="004F7D8E" w:rsidRDefault="004F7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24C7" w14:textId="77777777" w:rsidR="0041341D" w:rsidRDefault="0041341D">
    <w:pPr>
      <w:spacing w:after="0" w:line="259" w:lineRule="auto"/>
      <w:ind w:left="77" w:right="0" w:firstLine="0"/>
      <w:jc w:val="left"/>
    </w:pPr>
    <w:r>
      <w:t>Obowiązuje od [</w:t>
    </w:r>
    <w:r>
      <w:rPr>
        <w:shd w:val="clear" w:color="auto" w:fill="FFFF00"/>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CFD6" w14:textId="77777777" w:rsidR="0041341D" w:rsidRDefault="0041341D">
    <w:pPr>
      <w:spacing w:after="0" w:line="259" w:lineRule="auto"/>
      <w:ind w:left="77" w:right="0" w:firstLine="0"/>
      <w:jc w:val="left"/>
    </w:pPr>
    <w:r>
      <w:t>Obowiązuje od [</w:t>
    </w:r>
    <w:r>
      <w:rPr>
        <w:shd w:val="clear" w:color="auto" w:fill="FFFF00"/>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B90"/>
    <w:multiLevelType w:val="hybridMultilevel"/>
    <w:tmpl w:val="23E0C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3642B"/>
    <w:multiLevelType w:val="hybridMultilevel"/>
    <w:tmpl w:val="7B9809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B4A6B"/>
    <w:multiLevelType w:val="hybridMultilevel"/>
    <w:tmpl w:val="C0AAEC8A"/>
    <w:lvl w:ilvl="0" w:tplc="F8461FC6">
      <w:start w:val="1"/>
      <w:numFmt w:val="decimal"/>
      <w:lvlText w:val="%1)"/>
      <w:lvlJc w:val="left"/>
      <w:pPr>
        <w:ind w:left="10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516BDE4">
      <w:start w:val="1"/>
      <w:numFmt w:val="lowerLetter"/>
      <w:lvlText w:val="%2"/>
      <w:lvlJc w:val="left"/>
      <w:pPr>
        <w:ind w:left="1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2035DA">
      <w:start w:val="1"/>
      <w:numFmt w:val="lowerRoman"/>
      <w:lvlText w:val="%3"/>
      <w:lvlJc w:val="left"/>
      <w:pPr>
        <w:ind w:left="2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1347C86">
      <w:start w:val="1"/>
      <w:numFmt w:val="decimal"/>
      <w:lvlText w:val="%4"/>
      <w:lvlJc w:val="left"/>
      <w:pPr>
        <w:ind w:left="3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60D6D2">
      <w:start w:val="1"/>
      <w:numFmt w:val="lowerLetter"/>
      <w:lvlText w:val="%5"/>
      <w:lvlJc w:val="left"/>
      <w:pPr>
        <w:ind w:left="39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F2B534">
      <w:start w:val="1"/>
      <w:numFmt w:val="lowerRoman"/>
      <w:lvlText w:val="%6"/>
      <w:lvlJc w:val="left"/>
      <w:pPr>
        <w:ind w:left="46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16A3442">
      <w:start w:val="1"/>
      <w:numFmt w:val="decimal"/>
      <w:lvlText w:val="%7"/>
      <w:lvlJc w:val="left"/>
      <w:pPr>
        <w:ind w:left="5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F824D0">
      <w:start w:val="1"/>
      <w:numFmt w:val="lowerLetter"/>
      <w:lvlText w:val="%8"/>
      <w:lvlJc w:val="left"/>
      <w:pPr>
        <w:ind w:left="60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C548630">
      <w:start w:val="1"/>
      <w:numFmt w:val="lowerRoman"/>
      <w:lvlText w:val="%9"/>
      <w:lvlJc w:val="left"/>
      <w:pPr>
        <w:ind w:left="6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64F7FB7"/>
    <w:multiLevelType w:val="hybridMultilevel"/>
    <w:tmpl w:val="D9149358"/>
    <w:lvl w:ilvl="0" w:tplc="41E8B2EA">
      <w:start w:val="1"/>
      <w:numFmt w:val="decimal"/>
      <w:lvlText w:val="%1."/>
      <w:lvlJc w:val="left"/>
      <w:pPr>
        <w:ind w:left="1287" w:hanging="360"/>
      </w:pPr>
      <w:rPr>
        <w:rFonts w:ascii="Calibri" w:eastAsia="Times New Roman" w:hAnsi="Calibri" w:cs="Calibri"/>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DE70EE7E">
      <w:start w:val="1"/>
      <w:numFmt w:val="lowerLetter"/>
      <w:lvlText w:val="%4)"/>
      <w:lvlJc w:val="left"/>
      <w:pPr>
        <w:ind w:left="3447" w:hanging="360"/>
      </w:pPr>
      <w:rPr>
        <w:rFonts w:hint="default"/>
      </w:rPr>
    </w:lvl>
    <w:lvl w:ilvl="4" w:tplc="93F0CB5A">
      <w:start w:val="1"/>
      <w:numFmt w:val="decimal"/>
      <w:lvlText w:val="%5)"/>
      <w:lvlJc w:val="left"/>
      <w:rPr>
        <w:rFonts w:ascii="Calibri" w:hAnsi="Calibri" w:cs="Calibri" w:hint="default"/>
        <w:color w:val="000000"/>
      </w:rPr>
    </w:lvl>
    <w:lvl w:ilvl="5" w:tplc="0415001B">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84F3511"/>
    <w:multiLevelType w:val="hybridMultilevel"/>
    <w:tmpl w:val="032ADC86"/>
    <w:lvl w:ilvl="0" w:tplc="04150001">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5" w15:restartNumberingAfterBreak="0">
    <w:nsid w:val="1A544C97"/>
    <w:multiLevelType w:val="multilevel"/>
    <w:tmpl w:val="0415001D"/>
    <w:lvl w:ilvl="0">
      <w:start w:val="1"/>
      <w:numFmt w:val="decimal"/>
      <w:lvlText w:val="%1)"/>
      <w:lvlJc w:val="left"/>
      <w:pPr>
        <w:ind w:left="360" w:hanging="360"/>
      </w:pPr>
      <w:rPr>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E35098B"/>
    <w:multiLevelType w:val="hybridMultilevel"/>
    <w:tmpl w:val="3EC0CC58"/>
    <w:lvl w:ilvl="0" w:tplc="EF589BFA">
      <w:start w:val="1"/>
      <w:numFmt w:val="lowerLetter"/>
      <w:lvlText w:val="%1)"/>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C1E2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A94A1D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06E45A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6770C">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64794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08FA5C">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94A4F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E7A0CF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AB93962"/>
    <w:multiLevelType w:val="hybridMultilevel"/>
    <w:tmpl w:val="ED94EFE0"/>
    <w:lvl w:ilvl="0" w:tplc="F080E538">
      <w:start w:val="1"/>
      <w:numFmt w:val="lowerLetter"/>
      <w:lvlText w:val="%1)"/>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824A0">
      <w:start w:val="1"/>
      <w:numFmt w:val="lowerLetter"/>
      <w:lvlText w:val="%2"/>
      <w:lvlJc w:val="left"/>
      <w:pPr>
        <w:ind w:left="1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C27F1A">
      <w:start w:val="1"/>
      <w:numFmt w:val="lowerRoman"/>
      <w:lvlText w:val="%3"/>
      <w:lvlJc w:val="left"/>
      <w:pPr>
        <w:ind w:left="2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829D64">
      <w:start w:val="1"/>
      <w:numFmt w:val="decimal"/>
      <w:lvlText w:val="%4"/>
      <w:lvlJc w:val="left"/>
      <w:pPr>
        <w:ind w:left="3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F6AAA4">
      <w:start w:val="1"/>
      <w:numFmt w:val="lowerLetter"/>
      <w:lvlText w:val="%5"/>
      <w:lvlJc w:val="left"/>
      <w:pPr>
        <w:ind w:left="39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4E5760">
      <w:start w:val="1"/>
      <w:numFmt w:val="lowerRoman"/>
      <w:lvlText w:val="%6"/>
      <w:lvlJc w:val="left"/>
      <w:pPr>
        <w:ind w:left="46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9C69A4A">
      <w:start w:val="1"/>
      <w:numFmt w:val="decimal"/>
      <w:lvlText w:val="%7"/>
      <w:lvlJc w:val="left"/>
      <w:pPr>
        <w:ind w:left="53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A4038E">
      <w:start w:val="1"/>
      <w:numFmt w:val="lowerLetter"/>
      <w:lvlText w:val="%8"/>
      <w:lvlJc w:val="left"/>
      <w:pPr>
        <w:ind w:left="61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15652F6">
      <w:start w:val="1"/>
      <w:numFmt w:val="lowerRoman"/>
      <w:lvlText w:val="%9"/>
      <w:lvlJc w:val="left"/>
      <w:pPr>
        <w:ind w:left="68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E3B432B"/>
    <w:multiLevelType w:val="hybridMultilevel"/>
    <w:tmpl w:val="80301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376DF"/>
    <w:multiLevelType w:val="hybridMultilevel"/>
    <w:tmpl w:val="5A5CF108"/>
    <w:lvl w:ilvl="0" w:tplc="F0DAA4E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32755D33"/>
    <w:multiLevelType w:val="hybridMultilevel"/>
    <w:tmpl w:val="81F63A9E"/>
    <w:lvl w:ilvl="0" w:tplc="427E5B78">
      <w:start w:val="1"/>
      <w:numFmt w:val="decimal"/>
      <w:lvlText w:val="%1)"/>
      <w:lvlJc w:val="left"/>
      <w:pPr>
        <w:ind w:left="1353"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36B33E05"/>
    <w:multiLevelType w:val="hybridMultilevel"/>
    <w:tmpl w:val="6720D69C"/>
    <w:lvl w:ilvl="0" w:tplc="003C7504">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76491E">
      <w:start w:val="1"/>
      <w:numFmt w:val="lowerLetter"/>
      <w:lvlText w:val="%2)"/>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959E">
      <w:start w:val="1"/>
      <w:numFmt w:val="lowerRoman"/>
      <w:lvlText w:val="%3"/>
      <w:lvlJc w:val="left"/>
      <w:pPr>
        <w:ind w:left="2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847CB2">
      <w:start w:val="1"/>
      <w:numFmt w:val="decimal"/>
      <w:lvlText w:val="%4"/>
      <w:lvlJc w:val="left"/>
      <w:pPr>
        <w:ind w:left="30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54FBB4">
      <w:start w:val="1"/>
      <w:numFmt w:val="lowerLetter"/>
      <w:lvlText w:val="%5"/>
      <w:lvlJc w:val="left"/>
      <w:pPr>
        <w:ind w:left="3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A66EC8C">
      <w:start w:val="1"/>
      <w:numFmt w:val="lowerRoman"/>
      <w:lvlText w:val="%6"/>
      <w:lvlJc w:val="left"/>
      <w:pPr>
        <w:ind w:left="4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F429EF8">
      <w:start w:val="1"/>
      <w:numFmt w:val="decimal"/>
      <w:lvlText w:val="%7"/>
      <w:lvlJc w:val="left"/>
      <w:pPr>
        <w:ind w:left="5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102262">
      <w:start w:val="1"/>
      <w:numFmt w:val="lowerLetter"/>
      <w:lvlText w:val="%8"/>
      <w:lvlJc w:val="left"/>
      <w:pPr>
        <w:ind w:left="5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8B8C29C">
      <w:start w:val="1"/>
      <w:numFmt w:val="lowerRoman"/>
      <w:lvlText w:val="%9"/>
      <w:lvlJc w:val="left"/>
      <w:pPr>
        <w:ind w:left="6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B90487B"/>
    <w:multiLevelType w:val="hybridMultilevel"/>
    <w:tmpl w:val="6B7E1B28"/>
    <w:lvl w:ilvl="0" w:tplc="2C06263E">
      <w:start w:val="1"/>
      <w:numFmt w:val="decimal"/>
      <w:lvlText w:val="%1)"/>
      <w:lvlJc w:val="left"/>
      <w:pPr>
        <w:ind w:left="1287" w:hanging="360"/>
      </w:pPr>
      <w:rPr>
        <w:rFonts w:ascii="Calibri" w:eastAsia="Times New Roman" w:hAnsi="Calibri" w:cs="Calibri"/>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DE70EE7E">
      <w:start w:val="1"/>
      <w:numFmt w:val="lowerLetter"/>
      <w:lvlText w:val="%4)"/>
      <w:lvlJc w:val="left"/>
      <w:pPr>
        <w:ind w:left="3447" w:hanging="360"/>
      </w:pPr>
    </w:lvl>
    <w:lvl w:ilvl="4" w:tplc="93F0CB5A">
      <w:start w:val="1"/>
      <w:numFmt w:val="decimal"/>
      <w:lvlText w:val="%5)"/>
      <w:lvlJc w:val="left"/>
      <w:pPr>
        <w:ind w:left="0" w:firstLine="0"/>
      </w:pPr>
      <w:rPr>
        <w:rFonts w:ascii="Calibri" w:hAnsi="Calibri" w:cs="Calibri" w:hint="default"/>
        <w:color w:val="000000"/>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3" w15:restartNumberingAfterBreak="0">
    <w:nsid w:val="5EB164E3"/>
    <w:multiLevelType w:val="hybridMultilevel"/>
    <w:tmpl w:val="A0C8B008"/>
    <w:lvl w:ilvl="0" w:tplc="CDB06A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2744699"/>
    <w:multiLevelType w:val="hybridMultilevel"/>
    <w:tmpl w:val="E5440C9E"/>
    <w:lvl w:ilvl="0" w:tplc="8BDAB1E2">
      <w:start w:val="1"/>
      <w:numFmt w:val="decimal"/>
      <w:lvlText w:val="%1."/>
      <w:lvlJc w:val="left"/>
      <w:pPr>
        <w:ind w:left="797"/>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1" w:tplc="B816AB40">
      <w:start w:val="1"/>
      <w:numFmt w:val="lowerLetter"/>
      <w:lvlText w:val="%2"/>
      <w:lvlJc w:val="left"/>
      <w:pPr>
        <w:ind w:left="151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4AF06358">
      <w:start w:val="1"/>
      <w:numFmt w:val="lowerRoman"/>
      <w:lvlText w:val="%3"/>
      <w:lvlJc w:val="left"/>
      <w:pPr>
        <w:ind w:left="223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79C8AD6">
      <w:start w:val="1"/>
      <w:numFmt w:val="decimal"/>
      <w:lvlText w:val="%4"/>
      <w:lvlJc w:val="left"/>
      <w:pPr>
        <w:ind w:left="295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ACCEF85E">
      <w:start w:val="1"/>
      <w:numFmt w:val="lowerLetter"/>
      <w:lvlText w:val="%5"/>
      <w:lvlJc w:val="left"/>
      <w:pPr>
        <w:ind w:left="367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CDE46A8">
      <w:start w:val="1"/>
      <w:numFmt w:val="lowerRoman"/>
      <w:lvlText w:val="%6"/>
      <w:lvlJc w:val="left"/>
      <w:pPr>
        <w:ind w:left="439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15E2075C">
      <w:start w:val="1"/>
      <w:numFmt w:val="decimal"/>
      <w:lvlText w:val="%7"/>
      <w:lvlJc w:val="left"/>
      <w:pPr>
        <w:ind w:left="511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AEA5C18">
      <w:start w:val="1"/>
      <w:numFmt w:val="lowerLetter"/>
      <w:lvlText w:val="%8"/>
      <w:lvlJc w:val="left"/>
      <w:pPr>
        <w:ind w:left="583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98E4E282">
      <w:start w:val="1"/>
      <w:numFmt w:val="lowerRoman"/>
      <w:lvlText w:val="%9"/>
      <w:lvlJc w:val="left"/>
      <w:pPr>
        <w:ind w:left="655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4A84207"/>
    <w:multiLevelType w:val="multilevel"/>
    <w:tmpl w:val="0415001D"/>
    <w:lvl w:ilvl="0">
      <w:start w:val="1"/>
      <w:numFmt w:val="decimal"/>
      <w:lvlText w:val="%1)"/>
      <w:lvlJc w:val="left"/>
      <w:pPr>
        <w:ind w:left="1068" w:hanging="360"/>
      </w:pPr>
      <w:rPr>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428"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788"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48"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08"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68"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28"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588"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948"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81127C2"/>
    <w:multiLevelType w:val="multilevel"/>
    <w:tmpl w:val="E6A29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F77C9E"/>
    <w:multiLevelType w:val="hybridMultilevel"/>
    <w:tmpl w:val="F0E41080"/>
    <w:lvl w:ilvl="0" w:tplc="F91E95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74CF7239"/>
    <w:multiLevelType w:val="hybridMultilevel"/>
    <w:tmpl w:val="0810996A"/>
    <w:lvl w:ilvl="0" w:tplc="FC5E3A36">
      <w:start w:val="1"/>
      <w:numFmt w:val="lowerLetter"/>
      <w:lvlText w:val="%1)"/>
      <w:lvlJc w:val="left"/>
      <w:pPr>
        <w:ind w:left="1068" w:hanging="360"/>
      </w:pPr>
      <w:rPr>
        <w:rFonts w:ascii="Calibri" w:eastAsia="Times New Roman" w:hAnsi="Calibri" w:cs="Calibr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815109E"/>
    <w:multiLevelType w:val="multilevel"/>
    <w:tmpl w:val="F31E47B0"/>
    <w:lvl w:ilvl="0">
      <w:start w:val="1"/>
      <w:numFmt w:val="bullet"/>
      <w:lvlText w:val=""/>
      <w:lvlJc w:val="left"/>
      <w:pPr>
        <w:ind w:left="1068"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428"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788"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48"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08"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68"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28"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588"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948" w:hanging="360"/>
      </w:pPr>
      <w:rPr>
        <w:b w:val="0"/>
        <w:i w:val="0"/>
        <w:strike w:val="0"/>
        <w:dstrike w:val="0"/>
        <w:color w:val="000000"/>
        <w:sz w:val="16"/>
        <w:szCs w:val="16"/>
        <w:u w:val="none" w:color="000000"/>
        <w:bdr w:val="none" w:sz="0" w:space="0" w:color="auto"/>
        <w:shd w:val="clear" w:color="auto" w:fill="auto"/>
        <w:vertAlign w:val="baseline"/>
      </w:rPr>
    </w:lvl>
  </w:abstractNum>
  <w:num w:numId="1" w16cid:durableId="1543403495">
    <w:abstractNumId w:val="2"/>
  </w:num>
  <w:num w:numId="2" w16cid:durableId="620258767">
    <w:abstractNumId w:val="11"/>
  </w:num>
  <w:num w:numId="3" w16cid:durableId="1441877070">
    <w:abstractNumId w:val="7"/>
  </w:num>
  <w:num w:numId="4" w16cid:durableId="143545160">
    <w:abstractNumId w:val="6"/>
  </w:num>
  <w:num w:numId="5" w16cid:durableId="1152336558">
    <w:abstractNumId w:val="14"/>
  </w:num>
  <w:num w:numId="6" w16cid:durableId="633486694">
    <w:abstractNumId w:val="5"/>
  </w:num>
  <w:num w:numId="7" w16cid:durableId="1292202747">
    <w:abstractNumId w:val="15"/>
  </w:num>
  <w:num w:numId="8" w16cid:durableId="1859460917">
    <w:abstractNumId w:val="3"/>
  </w:num>
  <w:num w:numId="9" w16cid:durableId="1823042832">
    <w:abstractNumId w:val="18"/>
  </w:num>
  <w:num w:numId="10" w16cid:durableId="2057968996">
    <w:abstractNumId w:val="1"/>
  </w:num>
  <w:num w:numId="11" w16cid:durableId="803884712">
    <w:abstractNumId w:val="13"/>
  </w:num>
  <w:num w:numId="12" w16cid:durableId="944658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006248">
    <w:abstractNumId w:val="10"/>
  </w:num>
  <w:num w:numId="14" w16cid:durableId="1337539409">
    <w:abstractNumId w:val="17"/>
  </w:num>
  <w:num w:numId="15" w16cid:durableId="874579734">
    <w:abstractNumId w:val="8"/>
  </w:num>
  <w:num w:numId="16" w16cid:durableId="183597305">
    <w:abstractNumId w:val="0"/>
  </w:num>
  <w:num w:numId="17" w16cid:durableId="150021346">
    <w:abstractNumId w:val="4"/>
  </w:num>
  <w:num w:numId="18" w16cid:durableId="1484004002">
    <w:abstractNumId w:val="16"/>
  </w:num>
  <w:num w:numId="19" w16cid:durableId="915171924">
    <w:abstractNumId w:val="9"/>
  </w:num>
  <w:num w:numId="20" w16cid:durableId="508830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CE8A9E6-FBA0-45F3-944B-1F99A9E8B061}"/>
  </w:docVars>
  <w:rsids>
    <w:rsidRoot w:val="000902E2"/>
    <w:rsid w:val="000009B3"/>
    <w:rsid w:val="00000FF1"/>
    <w:rsid w:val="00024714"/>
    <w:rsid w:val="00047C24"/>
    <w:rsid w:val="0005483D"/>
    <w:rsid w:val="000663A0"/>
    <w:rsid w:val="000902E2"/>
    <w:rsid w:val="000C253D"/>
    <w:rsid w:val="000C2F30"/>
    <w:rsid w:val="000C3145"/>
    <w:rsid w:val="000C769C"/>
    <w:rsid w:val="000E1BE1"/>
    <w:rsid w:val="000E2BA0"/>
    <w:rsid w:val="00106142"/>
    <w:rsid w:val="00112F2D"/>
    <w:rsid w:val="001207A8"/>
    <w:rsid w:val="00140432"/>
    <w:rsid w:val="00156474"/>
    <w:rsid w:val="0016630B"/>
    <w:rsid w:val="0018276B"/>
    <w:rsid w:val="001837A9"/>
    <w:rsid w:val="001A44E6"/>
    <w:rsid w:val="001B206F"/>
    <w:rsid w:val="001B6D7A"/>
    <w:rsid w:val="001C011B"/>
    <w:rsid w:val="001C24ED"/>
    <w:rsid w:val="001D3C9B"/>
    <w:rsid w:val="001E1C1A"/>
    <w:rsid w:val="0020138F"/>
    <w:rsid w:val="002374CE"/>
    <w:rsid w:val="0025325B"/>
    <w:rsid w:val="00260E4D"/>
    <w:rsid w:val="00266F1E"/>
    <w:rsid w:val="002775CE"/>
    <w:rsid w:val="002A6C0F"/>
    <w:rsid w:val="002D1D7D"/>
    <w:rsid w:val="002D4833"/>
    <w:rsid w:val="002E2914"/>
    <w:rsid w:val="00325C0A"/>
    <w:rsid w:val="00335520"/>
    <w:rsid w:val="00352DBF"/>
    <w:rsid w:val="003604D8"/>
    <w:rsid w:val="00373D69"/>
    <w:rsid w:val="0038012F"/>
    <w:rsid w:val="00382BD0"/>
    <w:rsid w:val="0038413C"/>
    <w:rsid w:val="003A20A7"/>
    <w:rsid w:val="003B1C31"/>
    <w:rsid w:val="003B33C5"/>
    <w:rsid w:val="003B695C"/>
    <w:rsid w:val="003F5988"/>
    <w:rsid w:val="0041341D"/>
    <w:rsid w:val="0041707C"/>
    <w:rsid w:val="00430289"/>
    <w:rsid w:val="00436671"/>
    <w:rsid w:val="0044047E"/>
    <w:rsid w:val="00446168"/>
    <w:rsid w:val="00456A91"/>
    <w:rsid w:val="004606E1"/>
    <w:rsid w:val="00460C26"/>
    <w:rsid w:val="00461C99"/>
    <w:rsid w:val="004817D6"/>
    <w:rsid w:val="00481FEE"/>
    <w:rsid w:val="004A2A57"/>
    <w:rsid w:val="004A4ABF"/>
    <w:rsid w:val="004A5009"/>
    <w:rsid w:val="004A5888"/>
    <w:rsid w:val="004B10C1"/>
    <w:rsid w:val="004B1D6E"/>
    <w:rsid w:val="004C6AA9"/>
    <w:rsid w:val="004F0910"/>
    <w:rsid w:val="004F7D8E"/>
    <w:rsid w:val="005019FA"/>
    <w:rsid w:val="005064A7"/>
    <w:rsid w:val="005367D4"/>
    <w:rsid w:val="00544C3A"/>
    <w:rsid w:val="005462E8"/>
    <w:rsid w:val="00571550"/>
    <w:rsid w:val="0057789F"/>
    <w:rsid w:val="005968FC"/>
    <w:rsid w:val="005A0633"/>
    <w:rsid w:val="005A33DD"/>
    <w:rsid w:val="005D26DC"/>
    <w:rsid w:val="005F1949"/>
    <w:rsid w:val="005F794D"/>
    <w:rsid w:val="00601BA5"/>
    <w:rsid w:val="00605F59"/>
    <w:rsid w:val="006139BB"/>
    <w:rsid w:val="0062425B"/>
    <w:rsid w:val="00653FD3"/>
    <w:rsid w:val="00664072"/>
    <w:rsid w:val="0066625B"/>
    <w:rsid w:val="006705A7"/>
    <w:rsid w:val="00686155"/>
    <w:rsid w:val="00693319"/>
    <w:rsid w:val="006A2BBC"/>
    <w:rsid w:val="006B377F"/>
    <w:rsid w:val="006B5DE9"/>
    <w:rsid w:val="006C0F20"/>
    <w:rsid w:val="006C67C2"/>
    <w:rsid w:val="006C733C"/>
    <w:rsid w:val="006D037F"/>
    <w:rsid w:val="006E66F0"/>
    <w:rsid w:val="006F14A1"/>
    <w:rsid w:val="00702A3E"/>
    <w:rsid w:val="00740244"/>
    <w:rsid w:val="00760FA3"/>
    <w:rsid w:val="00761158"/>
    <w:rsid w:val="007766C5"/>
    <w:rsid w:val="007779FF"/>
    <w:rsid w:val="0078603D"/>
    <w:rsid w:val="00797A5A"/>
    <w:rsid w:val="007A1EAC"/>
    <w:rsid w:val="007A4D4E"/>
    <w:rsid w:val="007A7041"/>
    <w:rsid w:val="007B68B1"/>
    <w:rsid w:val="007C4D26"/>
    <w:rsid w:val="007D158A"/>
    <w:rsid w:val="00807929"/>
    <w:rsid w:val="0082096D"/>
    <w:rsid w:val="0084161C"/>
    <w:rsid w:val="00853E9F"/>
    <w:rsid w:val="00862B09"/>
    <w:rsid w:val="008715FD"/>
    <w:rsid w:val="00885179"/>
    <w:rsid w:val="00893D99"/>
    <w:rsid w:val="008B6119"/>
    <w:rsid w:val="008B7A30"/>
    <w:rsid w:val="008C48DF"/>
    <w:rsid w:val="008D7337"/>
    <w:rsid w:val="008F108E"/>
    <w:rsid w:val="00901902"/>
    <w:rsid w:val="00902FB0"/>
    <w:rsid w:val="009030C8"/>
    <w:rsid w:val="00903B03"/>
    <w:rsid w:val="009311D0"/>
    <w:rsid w:val="00934319"/>
    <w:rsid w:val="00940F13"/>
    <w:rsid w:val="009800E3"/>
    <w:rsid w:val="009B26C3"/>
    <w:rsid w:val="009E1C61"/>
    <w:rsid w:val="009E2EF5"/>
    <w:rsid w:val="00A06D0B"/>
    <w:rsid w:val="00A1354B"/>
    <w:rsid w:val="00A23E92"/>
    <w:rsid w:val="00A274BA"/>
    <w:rsid w:val="00A4041F"/>
    <w:rsid w:val="00A4566F"/>
    <w:rsid w:val="00A54FFC"/>
    <w:rsid w:val="00A60E7F"/>
    <w:rsid w:val="00AA7F33"/>
    <w:rsid w:val="00AB5643"/>
    <w:rsid w:val="00AC3E4B"/>
    <w:rsid w:val="00AC3ED7"/>
    <w:rsid w:val="00AC71D1"/>
    <w:rsid w:val="00AD4BF1"/>
    <w:rsid w:val="00AE49D8"/>
    <w:rsid w:val="00AE5427"/>
    <w:rsid w:val="00AF7C13"/>
    <w:rsid w:val="00B17840"/>
    <w:rsid w:val="00B33535"/>
    <w:rsid w:val="00B44471"/>
    <w:rsid w:val="00B70ADE"/>
    <w:rsid w:val="00B762AA"/>
    <w:rsid w:val="00B9547E"/>
    <w:rsid w:val="00B95BB4"/>
    <w:rsid w:val="00BB7AD3"/>
    <w:rsid w:val="00BF2A25"/>
    <w:rsid w:val="00C21E36"/>
    <w:rsid w:val="00C3033D"/>
    <w:rsid w:val="00C33E01"/>
    <w:rsid w:val="00C432F1"/>
    <w:rsid w:val="00C6187A"/>
    <w:rsid w:val="00C65BC4"/>
    <w:rsid w:val="00C827C8"/>
    <w:rsid w:val="00C90E6A"/>
    <w:rsid w:val="00C927F3"/>
    <w:rsid w:val="00C96851"/>
    <w:rsid w:val="00CA16FD"/>
    <w:rsid w:val="00CA724D"/>
    <w:rsid w:val="00CC606E"/>
    <w:rsid w:val="00CF7FB5"/>
    <w:rsid w:val="00D075B0"/>
    <w:rsid w:val="00D11185"/>
    <w:rsid w:val="00D12C88"/>
    <w:rsid w:val="00D312D1"/>
    <w:rsid w:val="00D322F9"/>
    <w:rsid w:val="00D32C79"/>
    <w:rsid w:val="00D61211"/>
    <w:rsid w:val="00D63CD9"/>
    <w:rsid w:val="00D65965"/>
    <w:rsid w:val="00D93E40"/>
    <w:rsid w:val="00D96CAB"/>
    <w:rsid w:val="00DA0471"/>
    <w:rsid w:val="00DA2B7F"/>
    <w:rsid w:val="00DA7182"/>
    <w:rsid w:val="00E0401E"/>
    <w:rsid w:val="00E052EF"/>
    <w:rsid w:val="00E207ED"/>
    <w:rsid w:val="00E57132"/>
    <w:rsid w:val="00E61656"/>
    <w:rsid w:val="00E66B38"/>
    <w:rsid w:val="00E96775"/>
    <w:rsid w:val="00EB7CD4"/>
    <w:rsid w:val="00EC1FFA"/>
    <w:rsid w:val="00EF3B4E"/>
    <w:rsid w:val="00F27263"/>
    <w:rsid w:val="00F477E9"/>
    <w:rsid w:val="00F50FDF"/>
    <w:rsid w:val="00F512AD"/>
    <w:rsid w:val="00F71914"/>
    <w:rsid w:val="00F721E3"/>
    <w:rsid w:val="00FB0FF3"/>
    <w:rsid w:val="00FC6B41"/>
    <w:rsid w:val="00FE54E6"/>
    <w:rsid w:val="00FE65D4"/>
    <w:rsid w:val="00FE7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5C36"/>
  <w15:docId w15:val="{F5303B35-B72C-44E3-8ADC-F6139D8F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4" w:line="384" w:lineRule="auto"/>
      <w:ind w:left="370" w:right="5" w:hanging="10"/>
      <w:jc w:val="both"/>
    </w:pPr>
    <w:rPr>
      <w:rFonts w:ascii="Arial" w:eastAsia="Arial" w:hAnsi="Arial" w:cs="Arial"/>
      <w:color w:val="000000"/>
      <w:sz w:val="16"/>
    </w:rPr>
  </w:style>
  <w:style w:type="paragraph" w:styleId="Nagwek1">
    <w:name w:val="heading 1"/>
    <w:next w:val="Normalny"/>
    <w:link w:val="Nagwek1Znak"/>
    <w:uiPriority w:val="9"/>
    <w:qFormat/>
    <w:pPr>
      <w:keepNext/>
      <w:keepLines/>
      <w:spacing w:after="231"/>
      <w:ind w:left="64"/>
      <w:jc w:val="center"/>
      <w:outlineLvl w:val="0"/>
    </w:pPr>
    <w:rPr>
      <w:rFonts w:ascii="Arial" w:eastAsia="Arial" w:hAnsi="Arial" w:cs="Arial"/>
      <w:b/>
      <w:color w:val="000000"/>
      <w:u w:val="single" w:color="000000"/>
    </w:rPr>
  </w:style>
  <w:style w:type="paragraph" w:styleId="Nagwek2">
    <w:name w:val="heading 2"/>
    <w:next w:val="Normalny"/>
    <w:link w:val="Nagwek2Znak"/>
    <w:uiPriority w:val="9"/>
    <w:unhideWhenUsed/>
    <w:qFormat/>
    <w:pPr>
      <w:keepNext/>
      <w:keepLines/>
      <w:spacing w:after="232"/>
      <w:ind w:left="10" w:hanging="10"/>
      <w:outlineLvl w:val="1"/>
    </w:pPr>
    <w:rPr>
      <w:rFonts w:ascii="Arial" w:eastAsia="Arial" w:hAnsi="Arial" w:cs="Arial"/>
      <w:b/>
      <w:color w:val="000000"/>
      <w:sz w:val="18"/>
    </w:rPr>
  </w:style>
  <w:style w:type="paragraph" w:styleId="Nagwek3">
    <w:name w:val="heading 3"/>
    <w:next w:val="Normalny"/>
    <w:link w:val="Nagwek3Znak"/>
    <w:uiPriority w:val="9"/>
    <w:unhideWhenUsed/>
    <w:qFormat/>
    <w:pPr>
      <w:keepNext/>
      <w:keepLines/>
      <w:spacing w:after="232"/>
      <w:ind w:left="10" w:hanging="10"/>
      <w:outlineLvl w:val="2"/>
    </w:pPr>
    <w:rPr>
      <w:rFonts w:ascii="Arial" w:eastAsia="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18"/>
    </w:rPr>
  </w:style>
  <w:style w:type="character" w:customStyle="1" w:styleId="Nagwek1Znak">
    <w:name w:val="Nagłówek 1 Znak"/>
    <w:link w:val="Nagwek1"/>
    <w:rPr>
      <w:rFonts w:ascii="Arial" w:eastAsia="Arial" w:hAnsi="Arial" w:cs="Arial"/>
      <w:b/>
      <w:color w:val="000000"/>
      <w:sz w:val="22"/>
      <w:u w:val="single" w:color="000000"/>
    </w:rPr>
  </w:style>
  <w:style w:type="character" w:customStyle="1" w:styleId="Nagwek3Znak">
    <w:name w:val="Nagłówek 3 Znak"/>
    <w:link w:val="Nagwek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xt1x">
    <w:name w:val="text 1.x"/>
    <w:basedOn w:val="Normalny"/>
    <w:qFormat/>
    <w:rsid w:val="002D4833"/>
    <w:pPr>
      <w:spacing w:before="120" w:after="120" w:line="288" w:lineRule="auto"/>
      <w:ind w:left="567" w:right="0" w:firstLine="0"/>
    </w:pPr>
    <w:rPr>
      <w:rFonts w:eastAsia="Times New Roman" w:cs="Times New Roman"/>
      <w:color w:val="auto"/>
      <w:sz w:val="22"/>
      <w:szCs w:val="24"/>
    </w:rPr>
  </w:style>
  <w:style w:type="paragraph" w:styleId="Bezodstpw">
    <w:name w:val="No Spacing"/>
    <w:uiPriority w:val="1"/>
    <w:qFormat/>
    <w:rsid w:val="002D4833"/>
    <w:pPr>
      <w:spacing w:after="0" w:line="240" w:lineRule="auto"/>
      <w:ind w:left="370" w:right="5" w:hanging="10"/>
      <w:jc w:val="both"/>
    </w:pPr>
    <w:rPr>
      <w:rFonts w:ascii="Arial" w:eastAsia="Arial" w:hAnsi="Arial" w:cs="Arial"/>
      <w:color w:val="000000"/>
      <w:sz w:val="16"/>
    </w:rPr>
  </w:style>
  <w:style w:type="table" w:styleId="Tabela-Siatka">
    <w:name w:val="Table Grid"/>
    <w:basedOn w:val="Standardowy"/>
    <w:uiPriority w:val="39"/>
    <w:rsid w:val="002D483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0FF1"/>
    <w:rPr>
      <w:sz w:val="16"/>
      <w:szCs w:val="16"/>
    </w:rPr>
  </w:style>
  <w:style w:type="paragraph" w:styleId="Tekstkomentarza">
    <w:name w:val="annotation text"/>
    <w:basedOn w:val="Normalny"/>
    <w:link w:val="TekstkomentarzaZnak"/>
    <w:uiPriority w:val="99"/>
    <w:semiHidden/>
    <w:unhideWhenUsed/>
    <w:rsid w:val="00000F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FF1"/>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000FF1"/>
    <w:rPr>
      <w:b/>
      <w:bCs/>
    </w:rPr>
  </w:style>
  <w:style w:type="character" w:customStyle="1" w:styleId="TematkomentarzaZnak">
    <w:name w:val="Temat komentarza Znak"/>
    <w:basedOn w:val="TekstkomentarzaZnak"/>
    <w:link w:val="Tematkomentarza"/>
    <w:uiPriority w:val="99"/>
    <w:semiHidden/>
    <w:rsid w:val="00000FF1"/>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00F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FF1"/>
    <w:rPr>
      <w:rFonts w:ascii="Segoe UI" w:eastAsia="Arial" w:hAnsi="Segoe UI" w:cs="Segoe UI"/>
      <w:color w:val="000000"/>
      <w:sz w:val="18"/>
      <w:szCs w:val="18"/>
    </w:rPr>
  </w:style>
  <w:style w:type="paragraph" w:styleId="Akapitzlist">
    <w:name w:val="List Paragraph"/>
    <w:basedOn w:val="Normalny"/>
    <w:uiPriority w:val="34"/>
    <w:qFormat/>
    <w:rsid w:val="005A33DD"/>
    <w:pPr>
      <w:ind w:left="720"/>
      <w:contextualSpacing/>
    </w:pPr>
  </w:style>
  <w:style w:type="paragraph" w:styleId="Nagwek">
    <w:name w:val="header"/>
    <w:basedOn w:val="Normalny"/>
    <w:link w:val="NagwekZnak"/>
    <w:uiPriority w:val="99"/>
    <w:unhideWhenUsed/>
    <w:rsid w:val="007C4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D26"/>
    <w:rPr>
      <w:rFonts w:ascii="Arial" w:eastAsia="Arial" w:hAnsi="Arial" w:cs="Arial"/>
      <w:color w:val="000000"/>
      <w:sz w:val="16"/>
    </w:rPr>
  </w:style>
  <w:style w:type="paragraph" w:customStyle="1" w:styleId="Textbody">
    <w:name w:val="Text body"/>
    <w:basedOn w:val="Normalny"/>
    <w:rsid w:val="00C432F1"/>
    <w:pPr>
      <w:widowControl w:val="0"/>
      <w:suppressAutoHyphens/>
      <w:autoSpaceDN w:val="0"/>
      <w:spacing w:after="120" w:line="240" w:lineRule="auto"/>
      <w:ind w:left="0" w:right="0" w:firstLine="0"/>
      <w:jc w:val="left"/>
      <w:textAlignment w:val="baseline"/>
    </w:pPr>
    <w:rPr>
      <w:rFonts w:ascii="Times New Roman" w:eastAsia="SimSun" w:hAnsi="Times New Roman" w:cs="Lucida Sans"/>
      <w:color w:val="auto"/>
      <w:kern w:val="3"/>
      <w:sz w:val="24"/>
      <w:szCs w:val="24"/>
      <w:lang w:eastAsia="zh-CN" w:bidi="hi-IN"/>
    </w:rPr>
  </w:style>
  <w:style w:type="paragraph" w:styleId="Stopka">
    <w:name w:val="footer"/>
    <w:basedOn w:val="Normalny"/>
    <w:link w:val="StopkaZnak"/>
    <w:uiPriority w:val="99"/>
    <w:semiHidden/>
    <w:unhideWhenUsed/>
    <w:rsid w:val="006F14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F14A1"/>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1791">
      <w:bodyDiv w:val="1"/>
      <w:marLeft w:val="0"/>
      <w:marRight w:val="0"/>
      <w:marTop w:val="0"/>
      <w:marBottom w:val="0"/>
      <w:divBdr>
        <w:top w:val="none" w:sz="0" w:space="0" w:color="auto"/>
        <w:left w:val="none" w:sz="0" w:space="0" w:color="auto"/>
        <w:bottom w:val="none" w:sz="0" w:space="0" w:color="auto"/>
        <w:right w:val="none" w:sz="0" w:space="0" w:color="auto"/>
      </w:divBdr>
    </w:div>
    <w:div w:id="1197429378">
      <w:bodyDiv w:val="1"/>
      <w:marLeft w:val="0"/>
      <w:marRight w:val="0"/>
      <w:marTop w:val="0"/>
      <w:marBottom w:val="0"/>
      <w:divBdr>
        <w:top w:val="none" w:sz="0" w:space="0" w:color="auto"/>
        <w:left w:val="none" w:sz="0" w:space="0" w:color="auto"/>
        <w:bottom w:val="none" w:sz="0" w:space="0" w:color="auto"/>
        <w:right w:val="none" w:sz="0" w:space="0" w:color="auto"/>
      </w:divBdr>
    </w:div>
    <w:div w:id="1284922362">
      <w:bodyDiv w:val="1"/>
      <w:marLeft w:val="0"/>
      <w:marRight w:val="0"/>
      <w:marTop w:val="0"/>
      <w:marBottom w:val="0"/>
      <w:divBdr>
        <w:top w:val="none" w:sz="0" w:space="0" w:color="auto"/>
        <w:left w:val="none" w:sz="0" w:space="0" w:color="auto"/>
        <w:bottom w:val="none" w:sz="0" w:space="0" w:color="auto"/>
        <w:right w:val="none" w:sz="0" w:space="0" w:color="auto"/>
      </w:divBdr>
    </w:div>
    <w:div w:id="208183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CE8A9E6-FBA0-45F3-944B-1F99A9E8B0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3548</Words>
  <Characters>21290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Strzeszewska Marta</dc:creator>
  <cp:keywords/>
  <cp:lastModifiedBy>Strzeszewska Marta</cp:lastModifiedBy>
  <cp:revision>12</cp:revision>
  <cp:lastPrinted>2024-03-15T14:28:00Z</cp:lastPrinted>
  <dcterms:created xsi:type="dcterms:W3CDTF">2023-07-03T11:25:00Z</dcterms:created>
  <dcterms:modified xsi:type="dcterms:W3CDTF">2024-03-21T08:23:00Z</dcterms:modified>
</cp:coreProperties>
</file>